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A8F7A" w14:textId="77777777" w:rsidR="0006267E" w:rsidRPr="00771E6E" w:rsidRDefault="0006267E" w:rsidP="0006267E">
      <w:pPr>
        <w:autoSpaceDE w:val="0"/>
        <w:autoSpaceDN w:val="0"/>
        <w:adjustRightInd w:val="0"/>
        <w:rPr>
          <w:rFonts w:asciiTheme="majorBidi" w:hAnsiTheme="majorBidi" w:cstheme="majorBidi"/>
        </w:rPr>
      </w:pPr>
      <w:r w:rsidRPr="00771E6E">
        <w:rPr>
          <w:rFonts w:asciiTheme="majorBidi" w:hAnsiTheme="majorBidi" w:cstheme="majorBidi"/>
          <w:noProof/>
          <w:lang w:val="en-GB" w:eastAsia="zh-CN"/>
        </w:rPr>
        <w:drawing>
          <wp:anchor distT="0" distB="0" distL="114300" distR="114300" simplePos="0" relativeHeight="251659264" behindDoc="0" locked="0" layoutInCell="1" allowOverlap="1" wp14:anchorId="03B5FC86" wp14:editId="77A54ED5">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7B4F001A" w14:textId="77777777" w:rsidR="0006267E" w:rsidRPr="00771E6E" w:rsidRDefault="0006267E" w:rsidP="0006267E">
      <w:pPr>
        <w:autoSpaceDE w:val="0"/>
        <w:autoSpaceDN w:val="0"/>
        <w:adjustRightInd w:val="0"/>
        <w:rPr>
          <w:rFonts w:asciiTheme="majorBidi" w:hAnsiTheme="majorBidi" w:cstheme="majorBidi"/>
        </w:rPr>
      </w:pPr>
    </w:p>
    <w:p w14:paraId="20C3DBE9" w14:textId="77777777" w:rsidR="0006267E" w:rsidRPr="00771E6E" w:rsidRDefault="0006267E" w:rsidP="0006267E">
      <w:pPr>
        <w:autoSpaceDE w:val="0"/>
        <w:autoSpaceDN w:val="0"/>
        <w:adjustRightInd w:val="0"/>
        <w:rPr>
          <w:rFonts w:asciiTheme="majorBidi" w:hAnsiTheme="majorBidi" w:cstheme="majorBidi"/>
        </w:rPr>
      </w:pPr>
    </w:p>
    <w:p w14:paraId="14D833DE" w14:textId="77777777" w:rsidR="0006267E" w:rsidRPr="00771E6E" w:rsidRDefault="0006267E" w:rsidP="0006267E">
      <w:pPr>
        <w:autoSpaceDE w:val="0"/>
        <w:autoSpaceDN w:val="0"/>
        <w:adjustRightInd w:val="0"/>
        <w:rPr>
          <w:rFonts w:asciiTheme="majorBidi" w:hAnsiTheme="majorBidi" w:cstheme="majorBidi"/>
        </w:rPr>
      </w:pPr>
    </w:p>
    <w:p w14:paraId="454A844B" w14:textId="77777777" w:rsidR="0006267E" w:rsidRPr="00771E6E" w:rsidRDefault="0006267E" w:rsidP="0006267E">
      <w:pPr>
        <w:autoSpaceDE w:val="0"/>
        <w:autoSpaceDN w:val="0"/>
        <w:adjustRightInd w:val="0"/>
        <w:jc w:val="center"/>
        <w:rPr>
          <w:rFonts w:asciiTheme="majorBidi" w:hAnsiTheme="majorBidi" w:cstheme="majorBidi"/>
        </w:rPr>
      </w:pPr>
    </w:p>
    <w:p w14:paraId="56C2175F"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p>
    <w:p w14:paraId="6F078774"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p>
    <w:p w14:paraId="0EE45538"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p>
    <w:p w14:paraId="68A6045B"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p>
    <w:p w14:paraId="44020E0B"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p>
    <w:p w14:paraId="1DE1A6EC"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p>
    <w:p w14:paraId="74CD66ED" w14:textId="77777777" w:rsidR="0006267E" w:rsidRPr="00771E6E" w:rsidRDefault="0006267E" w:rsidP="00F92E46">
      <w:pPr>
        <w:autoSpaceDE w:val="0"/>
        <w:autoSpaceDN w:val="0"/>
        <w:adjustRightInd w:val="0"/>
        <w:spacing w:line="240" w:lineRule="auto"/>
        <w:jc w:val="center"/>
        <w:rPr>
          <w:rFonts w:asciiTheme="majorBidi" w:hAnsiTheme="majorBidi" w:cstheme="majorBidi"/>
          <w:b/>
          <w:bCs/>
          <w:color w:val="222222"/>
          <w:sz w:val="28"/>
          <w:szCs w:val="28"/>
          <w:shd w:val="clear" w:color="auto" w:fill="FFFFFF"/>
        </w:rPr>
      </w:pPr>
      <w:r w:rsidRPr="00771E6E">
        <w:rPr>
          <w:rFonts w:asciiTheme="majorBidi" w:hAnsiTheme="majorBidi" w:cstheme="majorBidi"/>
          <w:b/>
          <w:bCs/>
          <w:color w:val="222222"/>
          <w:sz w:val="28"/>
          <w:szCs w:val="28"/>
          <w:shd w:val="clear" w:color="auto" w:fill="FFFFFF"/>
        </w:rPr>
        <w:t>“Acts and signs pleasing to children”</w:t>
      </w:r>
      <w:r w:rsidR="00036940" w:rsidRPr="00771E6E">
        <w:rPr>
          <w:rFonts w:asciiTheme="majorBidi" w:hAnsiTheme="majorBidi" w:cstheme="majorBidi"/>
          <w:b/>
          <w:bCs/>
          <w:color w:val="222222"/>
          <w:sz w:val="28"/>
          <w:szCs w:val="28"/>
          <w:shd w:val="clear" w:color="auto" w:fill="FFFFFF"/>
        </w:rPr>
        <w:t>:</w:t>
      </w:r>
      <w:r w:rsidRPr="00771E6E">
        <w:rPr>
          <w:rFonts w:asciiTheme="majorBidi" w:hAnsiTheme="majorBidi" w:cstheme="majorBidi"/>
          <w:b/>
          <w:bCs/>
          <w:color w:val="222222"/>
          <w:sz w:val="28"/>
          <w:szCs w:val="28"/>
          <w:shd w:val="clear" w:color="auto" w:fill="FFFFFF"/>
        </w:rPr>
        <w:t xml:space="preserve"> Musical Angels and </w:t>
      </w:r>
      <w:r w:rsidR="00036940" w:rsidRPr="00771E6E">
        <w:rPr>
          <w:rFonts w:asciiTheme="majorBidi" w:hAnsiTheme="majorBidi" w:cstheme="majorBidi"/>
          <w:b/>
          <w:bCs/>
          <w:color w:val="222222"/>
          <w:sz w:val="28"/>
          <w:szCs w:val="28"/>
          <w:shd w:val="clear" w:color="auto" w:fill="FFFFFF"/>
        </w:rPr>
        <w:t>Young</w:t>
      </w:r>
      <w:r w:rsidRPr="00771E6E">
        <w:rPr>
          <w:rFonts w:asciiTheme="majorBidi" w:hAnsiTheme="majorBidi" w:cstheme="majorBidi"/>
          <w:b/>
          <w:bCs/>
          <w:color w:val="222222"/>
          <w:sz w:val="28"/>
          <w:szCs w:val="28"/>
          <w:shd w:val="clear" w:color="auto" w:fill="FFFFFF"/>
        </w:rPr>
        <w:t xml:space="preserve"> Viewers in the Fifteenth-Century Florentine Home</w:t>
      </w:r>
    </w:p>
    <w:p w14:paraId="06F27EF9" w14:textId="77777777" w:rsidR="00DC780B" w:rsidRPr="00771E6E" w:rsidRDefault="00DC780B" w:rsidP="00F92E46">
      <w:pPr>
        <w:autoSpaceDE w:val="0"/>
        <w:autoSpaceDN w:val="0"/>
        <w:adjustRightInd w:val="0"/>
        <w:spacing w:line="240" w:lineRule="auto"/>
        <w:jc w:val="center"/>
        <w:rPr>
          <w:rFonts w:asciiTheme="majorBidi" w:hAnsiTheme="majorBidi" w:cstheme="majorBidi"/>
          <w:b/>
          <w:bCs/>
          <w:color w:val="222222"/>
          <w:sz w:val="28"/>
          <w:szCs w:val="28"/>
        </w:rPr>
      </w:pPr>
    </w:p>
    <w:p w14:paraId="1FFDC716" w14:textId="77777777" w:rsidR="0006267E" w:rsidRPr="00771E6E" w:rsidRDefault="00DC780B" w:rsidP="00F92E46">
      <w:pPr>
        <w:autoSpaceDE w:val="0"/>
        <w:autoSpaceDN w:val="0"/>
        <w:adjustRightInd w:val="0"/>
        <w:spacing w:line="240" w:lineRule="auto"/>
        <w:jc w:val="center"/>
        <w:rPr>
          <w:rFonts w:asciiTheme="majorBidi" w:hAnsiTheme="majorBidi" w:cstheme="majorBidi"/>
          <w:b/>
          <w:bCs/>
          <w:sz w:val="28"/>
          <w:szCs w:val="28"/>
        </w:rPr>
      </w:pPr>
      <w:r w:rsidRPr="00771E6E">
        <w:rPr>
          <w:rFonts w:asciiTheme="majorBidi" w:hAnsiTheme="majorBidi" w:cstheme="majorBidi"/>
          <w:b/>
          <w:bCs/>
          <w:color w:val="222222"/>
          <w:sz w:val="28"/>
          <w:szCs w:val="28"/>
        </w:rPr>
        <w:t>Volume I</w:t>
      </w:r>
      <w:r w:rsidR="0006267E" w:rsidRPr="00771E6E">
        <w:rPr>
          <w:rFonts w:asciiTheme="majorBidi" w:hAnsiTheme="majorBidi" w:cstheme="majorBidi"/>
          <w:b/>
          <w:bCs/>
          <w:color w:val="222222"/>
          <w:sz w:val="28"/>
          <w:szCs w:val="28"/>
        </w:rPr>
        <w:br/>
      </w:r>
      <w:r w:rsidR="0006267E" w:rsidRPr="00771E6E">
        <w:rPr>
          <w:rFonts w:asciiTheme="majorBidi" w:hAnsiTheme="majorBidi" w:cstheme="majorBidi"/>
          <w:b/>
          <w:bCs/>
          <w:color w:val="222222"/>
          <w:sz w:val="28"/>
          <w:szCs w:val="28"/>
        </w:rPr>
        <w:br/>
      </w:r>
    </w:p>
    <w:p w14:paraId="65CB6C69" w14:textId="77777777" w:rsidR="0006267E" w:rsidRPr="00771E6E" w:rsidRDefault="0006267E" w:rsidP="00F92E46">
      <w:pPr>
        <w:autoSpaceDE w:val="0"/>
        <w:autoSpaceDN w:val="0"/>
        <w:adjustRightInd w:val="0"/>
        <w:spacing w:line="240" w:lineRule="auto"/>
        <w:rPr>
          <w:rFonts w:asciiTheme="majorBidi" w:hAnsiTheme="majorBidi" w:cstheme="majorBidi"/>
        </w:rPr>
      </w:pPr>
    </w:p>
    <w:p w14:paraId="480AD4AE"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p>
    <w:p w14:paraId="628DFD90"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p>
    <w:p w14:paraId="7C455BCB" w14:textId="77777777" w:rsidR="0006267E" w:rsidRPr="00771E6E" w:rsidRDefault="0006267E" w:rsidP="00F92E46">
      <w:pPr>
        <w:autoSpaceDE w:val="0"/>
        <w:autoSpaceDN w:val="0"/>
        <w:adjustRightInd w:val="0"/>
        <w:spacing w:line="240" w:lineRule="auto"/>
        <w:jc w:val="center"/>
        <w:rPr>
          <w:rFonts w:asciiTheme="majorBidi" w:hAnsiTheme="majorBidi" w:cstheme="majorBidi"/>
          <w:b/>
          <w:bCs/>
        </w:rPr>
      </w:pPr>
      <w:r w:rsidRPr="00771E6E">
        <w:rPr>
          <w:rFonts w:asciiTheme="majorBidi" w:hAnsiTheme="majorBidi" w:cstheme="majorBidi"/>
          <w:b/>
          <w:bCs/>
        </w:rPr>
        <w:t>By:</w:t>
      </w:r>
    </w:p>
    <w:p w14:paraId="0BDF7CD3"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p>
    <w:p w14:paraId="17C46AB8" w14:textId="77777777" w:rsidR="0006267E" w:rsidRPr="00771E6E" w:rsidRDefault="0006267E" w:rsidP="00F92E46">
      <w:pPr>
        <w:autoSpaceDE w:val="0"/>
        <w:autoSpaceDN w:val="0"/>
        <w:adjustRightInd w:val="0"/>
        <w:spacing w:line="240" w:lineRule="auto"/>
        <w:jc w:val="center"/>
        <w:rPr>
          <w:rFonts w:asciiTheme="majorBidi" w:hAnsiTheme="majorBidi" w:cstheme="majorBidi"/>
          <w:sz w:val="28"/>
          <w:szCs w:val="28"/>
        </w:rPr>
      </w:pPr>
      <w:r w:rsidRPr="00771E6E">
        <w:rPr>
          <w:rFonts w:asciiTheme="majorBidi" w:hAnsiTheme="majorBidi" w:cstheme="majorBidi"/>
          <w:sz w:val="28"/>
          <w:szCs w:val="28"/>
        </w:rPr>
        <w:t>Serenella Sessini</w:t>
      </w:r>
    </w:p>
    <w:p w14:paraId="653ED3EE" w14:textId="77777777" w:rsidR="0006267E" w:rsidRPr="00771E6E" w:rsidRDefault="0006267E" w:rsidP="00F92E46">
      <w:pPr>
        <w:autoSpaceDE w:val="0"/>
        <w:autoSpaceDN w:val="0"/>
        <w:adjustRightInd w:val="0"/>
        <w:spacing w:line="240" w:lineRule="auto"/>
        <w:rPr>
          <w:rFonts w:asciiTheme="majorBidi" w:hAnsiTheme="majorBidi" w:cstheme="majorBidi"/>
          <w:sz w:val="28"/>
          <w:szCs w:val="28"/>
        </w:rPr>
      </w:pPr>
    </w:p>
    <w:p w14:paraId="36554F6B" w14:textId="77777777" w:rsidR="0006267E" w:rsidRPr="00771E6E" w:rsidRDefault="0006267E" w:rsidP="00F92E46">
      <w:pPr>
        <w:autoSpaceDE w:val="0"/>
        <w:autoSpaceDN w:val="0"/>
        <w:adjustRightInd w:val="0"/>
        <w:spacing w:line="240" w:lineRule="auto"/>
        <w:rPr>
          <w:rFonts w:asciiTheme="majorBidi" w:hAnsiTheme="majorBidi" w:cstheme="majorBidi"/>
        </w:rPr>
      </w:pPr>
    </w:p>
    <w:p w14:paraId="01D47C50" w14:textId="77777777" w:rsidR="0006267E" w:rsidRPr="00771E6E" w:rsidRDefault="0006267E" w:rsidP="00F92E46">
      <w:pPr>
        <w:autoSpaceDE w:val="0"/>
        <w:autoSpaceDN w:val="0"/>
        <w:adjustRightInd w:val="0"/>
        <w:spacing w:line="240" w:lineRule="auto"/>
        <w:rPr>
          <w:rFonts w:asciiTheme="majorBidi" w:hAnsiTheme="majorBidi" w:cstheme="majorBidi"/>
        </w:rPr>
      </w:pPr>
    </w:p>
    <w:p w14:paraId="4FB1C4A1" w14:textId="77777777" w:rsidR="0006267E" w:rsidRPr="00771E6E" w:rsidRDefault="0006267E" w:rsidP="00F92E46">
      <w:pPr>
        <w:autoSpaceDE w:val="0"/>
        <w:autoSpaceDN w:val="0"/>
        <w:adjustRightInd w:val="0"/>
        <w:spacing w:line="240" w:lineRule="auto"/>
        <w:rPr>
          <w:rFonts w:asciiTheme="majorBidi" w:hAnsiTheme="majorBidi" w:cstheme="majorBidi"/>
        </w:rPr>
      </w:pPr>
    </w:p>
    <w:p w14:paraId="71D13DD6"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r w:rsidRPr="00771E6E">
        <w:rPr>
          <w:rFonts w:asciiTheme="majorBidi" w:hAnsiTheme="majorBidi" w:cstheme="majorBidi"/>
        </w:rPr>
        <w:t>A thesis submitted in partial fulfilment of the requirements for the degree of</w:t>
      </w:r>
    </w:p>
    <w:p w14:paraId="033E3A6D" w14:textId="77777777" w:rsidR="0006267E" w:rsidRPr="00771E6E" w:rsidRDefault="0006267E" w:rsidP="00F92E46">
      <w:pPr>
        <w:spacing w:line="240" w:lineRule="auto"/>
        <w:jc w:val="center"/>
        <w:rPr>
          <w:rFonts w:asciiTheme="majorBidi" w:hAnsiTheme="majorBidi" w:cstheme="majorBidi"/>
        </w:rPr>
      </w:pPr>
      <w:r w:rsidRPr="00771E6E">
        <w:rPr>
          <w:rFonts w:asciiTheme="majorBidi" w:hAnsiTheme="majorBidi" w:cstheme="majorBidi"/>
        </w:rPr>
        <w:t xml:space="preserve">Doctor of Philosophy </w:t>
      </w:r>
    </w:p>
    <w:p w14:paraId="0554087F" w14:textId="77777777" w:rsidR="0006267E" w:rsidRPr="00771E6E" w:rsidRDefault="0006267E" w:rsidP="00F92E46">
      <w:pPr>
        <w:spacing w:line="240" w:lineRule="auto"/>
        <w:jc w:val="center"/>
        <w:rPr>
          <w:rFonts w:asciiTheme="majorBidi" w:hAnsiTheme="majorBidi" w:cstheme="majorBidi"/>
        </w:rPr>
      </w:pPr>
    </w:p>
    <w:p w14:paraId="03D699A7" w14:textId="77777777" w:rsidR="0006267E" w:rsidRPr="00771E6E" w:rsidRDefault="0006267E" w:rsidP="00F92E46">
      <w:pPr>
        <w:spacing w:line="240" w:lineRule="auto"/>
        <w:jc w:val="center"/>
        <w:rPr>
          <w:rFonts w:asciiTheme="majorBidi" w:hAnsiTheme="majorBidi" w:cstheme="majorBidi"/>
        </w:rPr>
      </w:pPr>
    </w:p>
    <w:p w14:paraId="5AD157E6" w14:textId="77777777" w:rsidR="0006267E" w:rsidRPr="00771E6E" w:rsidRDefault="0006267E" w:rsidP="00F92E46">
      <w:pPr>
        <w:spacing w:line="240" w:lineRule="auto"/>
        <w:jc w:val="center"/>
        <w:rPr>
          <w:rFonts w:asciiTheme="majorBidi" w:hAnsiTheme="majorBidi" w:cstheme="majorBidi"/>
        </w:rPr>
      </w:pPr>
    </w:p>
    <w:p w14:paraId="2C260500" w14:textId="77777777" w:rsidR="0006267E" w:rsidRPr="00771E6E" w:rsidRDefault="0006267E" w:rsidP="00F92E46">
      <w:pPr>
        <w:spacing w:line="240" w:lineRule="auto"/>
        <w:jc w:val="center"/>
        <w:rPr>
          <w:rFonts w:asciiTheme="majorBidi" w:hAnsiTheme="majorBidi" w:cstheme="majorBidi"/>
        </w:rPr>
      </w:pPr>
      <w:r w:rsidRPr="00771E6E">
        <w:rPr>
          <w:rFonts w:asciiTheme="majorBidi" w:hAnsiTheme="majorBidi" w:cstheme="majorBidi"/>
        </w:rPr>
        <w:t>The University of Sheffield</w:t>
      </w:r>
    </w:p>
    <w:p w14:paraId="499A99E8" w14:textId="77777777" w:rsidR="0006267E" w:rsidRPr="00771E6E" w:rsidRDefault="0006267E" w:rsidP="00F92E46">
      <w:pPr>
        <w:autoSpaceDE w:val="0"/>
        <w:autoSpaceDN w:val="0"/>
        <w:adjustRightInd w:val="0"/>
        <w:spacing w:line="240" w:lineRule="auto"/>
        <w:jc w:val="center"/>
        <w:rPr>
          <w:rFonts w:asciiTheme="majorBidi" w:hAnsiTheme="majorBidi" w:cstheme="majorBidi"/>
        </w:rPr>
      </w:pPr>
      <w:r w:rsidRPr="00771E6E">
        <w:rPr>
          <w:rFonts w:asciiTheme="majorBidi" w:hAnsiTheme="majorBidi" w:cstheme="majorBidi"/>
        </w:rPr>
        <w:t>Faculty of Arts and Humanities</w:t>
      </w:r>
    </w:p>
    <w:p w14:paraId="4B0F2901" w14:textId="77777777" w:rsidR="0006267E" w:rsidRPr="00771E6E" w:rsidRDefault="0006267E" w:rsidP="00F92E46">
      <w:pPr>
        <w:spacing w:line="240" w:lineRule="auto"/>
        <w:jc w:val="center"/>
        <w:rPr>
          <w:rFonts w:asciiTheme="majorBidi" w:hAnsiTheme="majorBidi" w:cstheme="majorBidi"/>
        </w:rPr>
      </w:pPr>
      <w:r w:rsidRPr="00771E6E">
        <w:rPr>
          <w:rFonts w:asciiTheme="majorBidi" w:hAnsiTheme="majorBidi" w:cstheme="majorBidi"/>
        </w:rPr>
        <w:t>Department of Music</w:t>
      </w:r>
    </w:p>
    <w:p w14:paraId="1FA4EF65" w14:textId="77777777" w:rsidR="0006267E" w:rsidRPr="00771E6E" w:rsidRDefault="0006267E" w:rsidP="00F92E46">
      <w:pPr>
        <w:spacing w:line="240" w:lineRule="auto"/>
        <w:jc w:val="center"/>
        <w:rPr>
          <w:rFonts w:asciiTheme="majorBidi" w:hAnsiTheme="majorBidi" w:cstheme="majorBidi"/>
        </w:rPr>
      </w:pPr>
    </w:p>
    <w:p w14:paraId="1580BBFA" w14:textId="77777777" w:rsidR="0006267E" w:rsidRPr="00771E6E" w:rsidRDefault="0006267E" w:rsidP="00F92E46">
      <w:pPr>
        <w:spacing w:line="240" w:lineRule="auto"/>
        <w:jc w:val="center"/>
        <w:rPr>
          <w:rFonts w:asciiTheme="majorBidi" w:hAnsiTheme="majorBidi" w:cstheme="majorBidi"/>
        </w:rPr>
      </w:pPr>
      <w:r w:rsidRPr="00771E6E">
        <w:rPr>
          <w:rFonts w:asciiTheme="majorBidi" w:hAnsiTheme="majorBidi" w:cstheme="majorBidi"/>
        </w:rPr>
        <w:t xml:space="preserve"> </w:t>
      </w:r>
    </w:p>
    <w:p w14:paraId="06B827D6" w14:textId="77777777" w:rsidR="0006267E" w:rsidRPr="00771E6E" w:rsidRDefault="0006267E" w:rsidP="00F92E46">
      <w:pPr>
        <w:spacing w:line="240" w:lineRule="auto"/>
        <w:jc w:val="center"/>
        <w:rPr>
          <w:rFonts w:asciiTheme="majorBidi" w:hAnsiTheme="majorBidi" w:cstheme="majorBidi"/>
        </w:rPr>
      </w:pPr>
    </w:p>
    <w:p w14:paraId="61DCF131" w14:textId="77777777" w:rsidR="0006267E" w:rsidRPr="00771E6E" w:rsidRDefault="0006267E" w:rsidP="00F92E46">
      <w:pPr>
        <w:spacing w:line="240" w:lineRule="auto"/>
        <w:jc w:val="center"/>
        <w:rPr>
          <w:rFonts w:asciiTheme="majorBidi" w:hAnsiTheme="majorBidi" w:cstheme="majorBidi"/>
        </w:rPr>
      </w:pPr>
    </w:p>
    <w:p w14:paraId="741DC455" w14:textId="77777777" w:rsidR="0006267E" w:rsidRPr="00771E6E" w:rsidRDefault="0006267E" w:rsidP="00F92E46">
      <w:pPr>
        <w:spacing w:line="240" w:lineRule="auto"/>
        <w:jc w:val="center"/>
        <w:rPr>
          <w:rFonts w:asciiTheme="majorBidi" w:hAnsiTheme="majorBidi" w:cstheme="majorBidi"/>
        </w:rPr>
      </w:pPr>
    </w:p>
    <w:p w14:paraId="3501E16C" w14:textId="77777777" w:rsidR="00810741" w:rsidRPr="00771E6E" w:rsidRDefault="0006267E" w:rsidP="00F92E46">
      <w:pPr>
        <w:spacing w:line="240" w:lineRule="auto"/>
        <w:jc w:val="center"/>
        <w:rPr>
          <w:rFonts w:asciiTheme="majorBidi" w:hAnsiTheme="majorBidi" w:cstheme="majorBidi"/>
        </w:rPr>
      </w:pPr>
      <w:r w:rsidRPr="00771E6E">
        <w:rPr>
          <w:rFonts w:asciiTheme="majorBidi" w:hAnsiTheme="majorBidi" w:cstheme="majorBidi"/>
        </w:rPr>
        <w:t>March 2019</w:t>
      </w:r>
    </w:p>
    <w:p w14:paraId="2431BF7B" w14:textId="77777777" w:rsidR="00810741" w:rsidRPr="00771E6E" w:rsidRDefault="00810741" w:rsidP="00F92E46">
      <w:pPr>
        <w:spacing w:line="240" w:lineRule="auto"/>
        <w:rPr>
          <w:rFonts w:asciiTheme="majorBidi" w:hAnsiTheme="majorBidi" w:cstheme="majorBidi"/>
        </w:rPr>
      </w:pPr>
      <w:r w:rsidRPr="00771E6E">
        <w:rPr>
          <w:rFonts w:asciiTheme="majorBidi" w:hAnsiTheme="majorBidi" w:cstheme="majorBidi"/>
        </w:rPr>
        <w:br w:type="page"/>
      </w:r>
    </w:p>
    <w:p w14:paraId="238BA3F5" w14:textId="77777777" w:rsidR="000025CE" w:rsidRPr="00771E6E" w:rsidRDefault="000025CE">
      <w:pPr>
        <w:spacing w:line="240" w:lineRule="auto"/>
        <w:rPr>
          <w:b/>
          <w:lang w:val="en-GB"/>
        </w:rPr>
      </w:pPr>
      <w:r w:rsidRPr="00771E6E">
        <w:rPr>
          <w:b/>
          <w:lang w:val="en-GB"/>
        </w:rPr>
        <w:lastRenderedPageBreak/>
        <w:br w:type="page"/>
      </w:r>
    </w:p>
    <w:p w14:paraId="3F1DB26A" w14:textId="77777777" w:rsidR="00FE75B6" w:rsidRPr="00771E6E" w:rsidRDefault="004528F4" w:rsidP="004F1D25">
      <w:pPr>
        <w:rPr>
          <w:b/>
          <w:lang w:val="en-GB"/>
        </w:rPr>
      </w:pPr>
      <w:r w:rsidRPr="00771E6E">
        <w:rPr>
          <w:b/>
          <w:lang w:val="en-GB"/>
        </w:rPr>
        <w:lastRenderedPageBreak/>
        <w:t>Abstract</w:t>
      </w:r>
    </w:p>
    <w:p w14:paraId="71526020" w14:textId="77777777" w:rsidR="004F1D25" w:rsidRPr="00771E6E" w:rsidRDefault="004F1D25" w:rsidP="004F1D25">
      <w:pPr>
        <w:rPr>
          <w:rFonts w:cs="Times New Roman"/>
        </w:rPr>
      </w:pPr>
    </w:p>
    <w:p w14:paraId="003EA0BE" w14:textId="77777777" w:rsidR="004F1D25" w:rsidRPr="00771E6E" w:rsidRDefault="004F1D25" w:rsidP="004F1D25">
      <w:pPr>
        <w:rPr>
          <w:rFonts w:cs="Times New Roman"/>
        </w:rPr>
      </w:pPr>
      <w:r w:rsidRPr="00771E6E">
        <w:rPr>
          <w:rFonts w:cs="Times New Roman"/>
        </w:rPr>
        <w:t>The Renaissance home was the very first space in which the fundamentals of moral education were imparted to new-</w:t>
      </w:r>
      <w:proofErr w:type="spellStart"/>
      <w:r w:rsidRPr="00771E6E">
        <w:rPr>
          <w:rFonts w:cs="Times New Roman"/>
        </w:rPr>
        <w:t>borns</w:t>
      </w:r>
      <w:proofErr w:type="spellEnd"/>
      <w:r w:rsidRPr="00771E6E">
        <w:rPr>
          <w:rFonts w:cs="Times New Roman"/>
        </w:rPr>
        <w:t xml:space="preserve"> and children, before they began formal schooling. This thesis investigates the hypothesis that images of musical angels would have been intended to act as models for these young members of the household to imitate, with the purpose of “shaping the mind” towards virtuous </w:t>
      </w:r>
      <w:proofErr w:type="spellStart"/>
      <w:r w:rsidRPr="00771E6E">
        <w:rPr>
          <w:rFonts w:cs="Times New Roman"/>
        </w:rPr>
        <w:t>behaviour</w:t>
      </w:r>
      <w:proofErr w:type="spellEnd"/>
      <w:r w:rsidRPr="00771E6E">
        <w:rPr>
          <w:rFonts w:cs="Times New Roman"/>
        </w:rPr>
        <w:t>.</w:t>
      </w:r>
      <w:r w:rsidRPr="00771E6E">
        <w:t xml:space="preserve"> To date, the role of musical angels has only been addressed as part of broader studies dedicated to angels as a whole, or else has focused on the identification of their instruments and music notation.</w:t>
      </w:r>
    </w:p>
    <w:p w14:paraId="7DA948E6" w14:textId="77777777" w:rsidR="004F1D25" w:rsidRPr="00771E6E" w:rsidRDefault="004F1D25" w:rsidP="004F1D25">
      <w:pPr>
        <w:ind w:firstLine="720"/>
        <w:rPr>
          <w:rFonts w:cs="Times New Roman"/>
        </w:rPr>
      </w:pPr>
      <w:r w:rsidRPr="00771E6E">
        <w:rPr>
          <w:rFonts w:cs="Times New Roman"/>
        </w:rPr>
        <w:t xml:space="preserve">Using an inter-disciplinary approach, this thesis provides fresh insight into the role of musical angels, and their pedagogic effect on young viewers within the Renaissance home, giving special attention to Florentine sources and case studies. The focus on children and efforts to shape their character involves a consideration of Renaissance education and the overlap between discourses on education and ethics, and in particular contemporary humanist notions advocating the use of positive </w:t>
      </w:r>
      <w:r w:rsidRPr="00771E6E">
        <w:rPr>
          <w:rFonts w:cs="Times New Roman"/>
          <w:i/>
        </w:rPr>
        <w:t>exempla</w:t>
      </w:r>
      <w:r w:rsidRPr="00771E6E">
        <w:rPr>
          <w:rFonts w:cs="Times New Roman"/>
        </w:rPr>
        <w:t xml:space="preserve">, intended for imitation, in order to impart moral values. This work then highlights a number of similarities between the child-like figures of angels, their musical practice, and contemporary children and their experiences. In order to further explore this theory, this thesis then provides new interpretations of the musical angels within a number of specific artworks that were intended for domestic settings, focusing in particular on Florentine </w:t>
      </w:r>
      <w:r w:rsidRPr="00771E6E">
        <w:rPr>
          <w:rFonts w:cs="Times New Roman"/>
          <w:i/>
        </w:rPr>
        <w:t>tondi</w:t>
      </w:r>
      <w:r w:rsidRPr="00771E6E">
        <w:rPr>
          <w:rFonts w:cs="Times New Roman"/>
        </w:rPr>
        <w:t xml:space="preserve">, which provide a particularly rich opportunity for the re-evaluation of these figures. </w:t>
      </w:r>
    </w:p>
    <w:p w14:paraId="625EA261" w14:textId="77777777" w:rsidR="004F1D25" w:rsidRPr="00771E6E" w:rsidRDefault="004F1D25" w:rsidP="004F1D25">
      <w:pPr>
        <w:ind w:firstLine="720"/>
        <w:rPr>
          <w:rFonts w:cs="Times New Roman"/>
        </w:rPr>
      </w:pPr>
      <w:r w:rsidRPr="00771E6E">
        <w:rPr>
          <w:rFonts w:cs="Times New Roman"/>
        </w:rPr>
        <w:t>This thesis argues that musical angels, almost always youthful in appearance, were intended to engage young viewers in the home; and that their musical activities were not simply generic, but intended to build specific links with the broader role of musical training in elite education, including moral and religious instruction.</w:t>
      </w:r>
    </w:p>
    <w:p w14:paraId="63885102" w14:textId="77777777" w:rsidR="00193840" w:rsidRPr="00771E6E" w:rsidRDefault="00193840">
      <w:pPr>
        <w:rPr>
          <w:rFonts w:cs="Times New Roman"/>
          <w:lang w:val="en-GB"/>
        </w:rPr>
      </w:pPr>
      <w:r w:rsidRPr="00771E6E">
        <w:rPr>
          <w:b/>
          <w:lang w:val="en-GB"/>
        </w:rPr>
        <w:br w:type="page"/>
      </w:r>
    </w:p>
    <w:p w14:paraId="7F989789" w14:textId="77777777" w:rsidR="000025CE" w:rsidRPr="00771E6E" w:rsidRDefault="000025CE">
      <w:pPr>
        <w:spacing w:line="240" w:lineRule="auto"/>
        <w:rPr>
          <w:b/>
          <w:lang w:val="en-GB"/>
        </w:rPr>
      </w:pPr>
      <w:r w:rsidRPr="00771E6E">
        <w:rPr>
          <w:b/>
          <w:lang w:val="en-GB"/>
        </w:rPr>
        <w:lastRenderedPageBreak/>
        <w:br w:type="page"/>
      </w:r>
    </w:p>
    <w:p w14:paraId="1BFA4C7F" w14:textId="77777777" w:rsidR="004528F4" w:rsidRPr="00771E6E" w:rsidRDefault="004528F4" w:rsidP="004528F4">
      <w:pPr>
        <w:rPr>
          <w:lang w:val="en-GB"/>
        </w:rPr>
      </w:pPr>
      <w:r w:rsidRPr="00771E6E">
        <w:rPr>
          <w:b/>
          <w:lang w:val="en-GB"/>
        </w:rPr>
        <w:lastRenderedPageBreak/>
        <w:t>Acknowledgements</w:t>
      </w:r>
    </w:p>
    <w:p w14:paraId="6C556300" w14:textId="77777777" w:rsidR="004528F4" w:rsidRPr="00771E6E" w:rsidRDefault="004528F4" w:rsidP="004528F4">
      <w:pPr>
        <w:rPr>
          <w:lang w:val="en-GB"/>
        </w:rPr>
      </w:pPr>
    </w:p>
    <w:p w14:paraId="22C3E00D" w14:textId="77777777" w:rsidR="004528F4" w:rsidRPr="00771E6E" w:rsidRDefault="004528F4" w:rsidP="004528F4">
      <w:pPr>
        <w:rPr>
          <w:b/>
          <w:lang w:val="en-GB"/>
        </w:rPr>
      </w:pPr>
      <w:r w:rsidRPr="00771E6E">
        <w:rPr>
          <w:lang w:val="en-GB"/>
        </w:rPr>
        <w:t>I am first and foremost grateful to the Leverhulme Trust for having funded my research, as part of the project “Music in the Art of Renaissance Italy, c. 1420-1540”, led by Dr Tim Shephard. I must also thank Dr Shephard and Dr James Shaw for their guidance and advice throughout my PhD, and the whole research team.</w:t>
      </w:r>
    </w:p>
    <w:p w14:paraId="4F771FAC" w14:textId="77777777" w:rsidR="004528F4" w:rsidRPr="00771E6E" w:rsidRDefault="004528F4" w:rsidP="004528F4">
      <w:pPr>
        <w:ind w:firstLine="720"/>
        <w:rPr>
          <w:b/>
          <w:lang w:val="en-GB"/>
        </w:rPr>
      </w:pPr>
      <w:r w:rsidRPr="00771E6E">
        <w:rPr>
          <w:lang w:val="en-GB"/>
        </w:rPr>
        <w:t>During these years I had the opportunity to present my research at a number of international conferences, which would have not been possible without the Leverhulme Trust, and the generous grants and bursaries that I received from the University of Sheffield Music Department Fund, the Learned Society Fund, the Music &amp; Letters Trust and the Gilchrist Educational Trust, who also significantly supported my research trip in Florence.</w:t>
      </w:r>
    </w:p>
    <w:p w14:paraId="2806F83B" w14:textId="77777777" w:rsidR="004528F4" w:rsidRPr="00771E6E" w:rsidRDefault="004528F4" w:rsidP="004528F4">
      <w:pPr>
        <w:ind w:firstLine="720"/>
        <w:rPr>
          <w:b/>
          <w:lang w:val="en-GB"/>
        </w:rPr>
      </w:pPr>
      <w:r w:rsidRPr="00771E6E">
        <w:rPr>
          <w:lang w:val="en-GB"/>
        </w:rPr>
        <w:t>I wish to thank the teams I have worked with at the V&amp;A and my managers for allowing me the time needed complete my research and thesis.</w:t>
      </w:r>
    </w:p>
    <w:p w14:paraId="2E6DB4BE" w14:textId="77777777" w:rsidR="003A017B" w:rsidRPr="00771E6E" w:rsidRDefault="004528F4" w:rsidP="001141E6">
      <w:pPr>
        <w:ind w:firstLine="720"/>
        <w:rPr>
          <w:lang w:val="en-GB"/>
        </w:rPr>
      </w:pPr>
      <w:r w:rsidRPr="00771E6E">
        <w:rPr>
          <w:lang w:val="en-GB"/>
        </w:rPr>
        <w:t>Finally, my thanks go to my project-partner and friend Laura, for having shared every aspect of our PhD and for the stimulating conversations around our topics, Eliana for her help with German translation, Chris and Talitha for proofreading, and of course family and friends for their support and encouragement.</w:t>
      </w:r>
    </w:p>
    <w:p w14:paraId="41BBB789" w14:textId="77777777" w:rsidR="003A017B" w:rsidRPr="00771E6E" w:rsidRDefault="003A017B">
      <w:pPr>
        <w:rPr>
          <w:rFonts w:cs="Times New Roman"/>
          <w:b/>
          <w:lang w:val="en-GB"/>
        </w:rPr>
      </w:pPr>
      <w:r w:rsidRPr="00771E6E">
        <w:rPr>
          <w:rFonts w:cs="Times New Roman"/>
          <w:b/>
          <w:lang w:val="en-GB"/>
        </w:rPr>
        <w:br w:type="page"/>
      </w:r>
    </w:p>
    <w:p w14:paraId="597CECCB" w14:textId="77777777" w:rsidR="000025CE" w:rsidRPr="00771E6E" w:rsidRDefault="000025CE">
      <w:pPr>
        <w:spacing w:line="240" w:lineRule="auto"/>
        <w:rPr>
          <w:b/>
          <w:lang w:val="en-GB"/>
        </w:rPr>
      </w:pPr>
      <w:r w:rsidRPr="00771E6E">
        <w:rPr>
          <w:b/>
          <w:lang w:val="en-GB"/>
        </w:rPr>
        <w:lastRenderedPageBreak/>
        <w:br w:type="page"/>
      </w:r>
    </w:p>
    <w:p w14:paraId="28950269" w14:textId="77777777" w:rsidR="00C63595" w:rsidRPr="00771E6E" w:rsidRDefault="00193840" w:rsidP="003F50E5">
      <w:pPr>
        <w:rPr>
          <w:b/>
          <w:lang w:val="en-GB"/>
        </w:rPr>
      </w:pPr>
      <w:r w:rsidRPr="00771E6E">
        <w:rPr>
          <w:b/>
          <w:lang w:val="en-GB"/>
        </w:rPr>
        <w:lastRenderedPageBreak/>
        <w:t>Table of Contents</w:t>
      </w:r>
    </w:p>
    <w:p w14:paraId="778A47BD" w14:textId="77777777" w:rsidR="007B7884" w:rsidRPr="00771E6E" w:rsidRDefault="007B7884" w:rsidP="003F50E5">
      <w:pPr>
        <w:rPr>
          <w:b/>
          <w:lang w:val="en-GB"/>
        </w:rPr>
      </w:pPr>
      <w:r w:rsidRPr="00771E6E">
        <w:rPr>
          <w:b/>
          <w:lang w:val="en-GB"/>
        </w:rPr>
        <w:t>Volume I</w:t>
      </w:r>
    </w:p>
    <w:p w14:paraId="75561DD7" w14:textId="62D3B4BB" w:rsidR="00182EED" w:rsidRPr="00771E6E" w:rsidRDefault="00094F64">
      <w:pPr>
        <w:pStyle w:val="TOC1"/>
        <w:rPr>
          <w:rFonts w:asciiTheme="minorHAnsi" w:hAnsiTheme="minorHAnsi" w:cstheme="minorBidi"/>
          <w:noProof/>
        </w:rPr>
      </w:pPr>
      <w:r w:rsidRPr="00771E6E">
        <w:rPr>
          <w:b/>
        </w:rPr>
        <w:fldChar w:fldCharType="begin"/>
      </w:r>
      <w:r w:rsidRPr="00771E6E">
        <w:rPr>
          <w:b/>
        </w:rPr>
        <w:instrText xml:space="preserve"> TOC \o "1-3" \h \z \u </w:instrText>
      </w:r>
      <w:r w:rsidRPr="00771E6E">
        <w:rPr>
          <w:b/>
        </w:rPr>
        <w:fldChar w:fldCharType="separate"/>
      </w:r>
      <w:hyperlink w:anchor="_Toc20167591" w:history="1">
        <w:r w:rsidR="00182EED" w:rsidRPr="00771E6E">
          <w:rPr>
            <w:rStyle w:val="Hyperlink"/>
            <w:noProof/>
          </w:rPr>
          <w:t>Introduction</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_Toc20167591 \h </w:instrText>
        </w:r>
        <w:r w:rsidR="00182EED" w:rsidRPr="00771E6E">
          <w:rPr>
            <w:noProof/>
            <w:webHidden/>
          </w:rPr>
        </w:r>
        <w:r w:rsidR="00182EED" w:rsidRPr="00771E6E">
          <w:rPr>
            <w:noProof/>
            <w:webHidden/>
          </w:rPr>
          <w:fldChar w:fldCharType="separate"/>
        </w:r>
        <w:r w:rsidR="00182EED" w:rsidRPr="00771E6E">
          <w:rPr>
            <w:noProof/>
            <w:webHidden/>
          </w:rPr>
          <w:t>1</w:t>
        </w:r>
        <w:r w:rsidR="00182EED" w:rsidRPr="00771E6E">
          <w:rPr>
            <w:noProof/>
            <w:webHidden/>
          </w:rPr>
          <w:fldChar w:fldCharType="end"/>
        </w:r>
      </w:hyperlink>
    </w:p>
    <w:p w14:paraId="03C3A7D6" w14:textId="3B92C515" w:rsidR="00182EED" w:rsidRPr="00771E6E" w:rsidRDefault="00973FDA">
      <w:pPr>
        <w:pStyle w:val="TOC1"/>
        <w:rPr>
          <w:rFonts w:asciiTheme="minorHAnsi" w:hAnsiTheme="minorHAnsi" w:cstheme="minorBidi"/>
          <w:noProof/>
        </w:rPr>
      </w:pPr>
      <w:hyperlink w:anchor="_Toc20167592" w:history="1">
        <w:r w:rsidR="00182EED" w:rsidRPr="00771E6E">
          <w:rPr>
            <w:rStyle w:val="Hyperlink"/>
            <w:noProof/>
          </w:rPr>
          <w:t>1. Moral Education in the Domestic Space</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_Toc20167592 \h </w:instrText>
        </w:r>
        <w:r w:rsidR="00182EED" w:rsidRPr="00771E6E">
          <w:rPr>
            <w:noProof/>
            <w:webHidden/>
          </w:rPr>
        </w:r>
        <w:r w:rsidR="00182EED" w:rsidRPr="00771E6E">
          <w:rPr>
            <w:noProof/>
            <w:webHidden/>
          </w:rPr>
          <w:fldChar w:fldCharType="separate"/>
        </w:r>
        <w:r w:rsidR="00182EED" w:rsidRPr="00771E6E">
          <w:rPr>
            <w:noProof/>
            <w:webHidden/>
          </w:rPr>
          <w:t>9</w:t>
        </w:r>
        <w:r w:rsidR="00182EED" w:rsidRPr="00771E6E">
          <w:rPr>
            <w:noProof/>
            <w:webHidden/>
          </w:rPr>
          <w:fldChar w:fldCharType="end"/>
        </w:r>
      </w:hyperlink>
    </w:p>
    <w:p w14:paraId="040A716C" w14:textId="6D0B968A" w:rsidR="00182EED" w:rsidRPr="00771E6E" w:rsidRDefault="00973FDA">
      <w:pPr>
        <w:pStyle w:val="TOC2"/>
        <w:tabs>
          <w:tab w:val="right" w:leader="dot" w:pos="8290"/>
        </w:tabs>
        <w:rPr>
          <w:rFonts w:asciiTheme="minorHAnsi" w:hAnsiTheme="minorHAnsi" w:cstheme="minorBidi"/>
          <w:noProof/>
        </w:rPr>
      </w:pPr>
      <w:hyperlink w:anchor="_Toc20167593" w:history="1">
        <w:r w:rsidR="00182EED" w:rsidRPr="00771E6E">
          <w:rPr>
            <w:rStyle w:val="Hyperlink"/>
            <w:noProof/>
          </w:rPr>
          <w:t>1.1 Beginning the Process: Moral Milk</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_Toc20167593 \h </w:instrText>
        </w:r>
        <w:r w:rsidR="00182EED" w:rsidRPr="00771E6E">
          <w:rPr>
            <w:noProof/>
            <w:webHidden/>
          </w:rPr>
        </w:r>
        <w:r w:rsidR="00182EED" w:rsidRPr="00771E6E">
          <w:rPr>
            <w:noProof/>
            <w:webHidden/>
          </w:rPr>
          <w:fldChar w:fldCharType="separate"/>
        </w:r>
        <w:r w:rsidR="00182EED" w:rsidRPr="00771E6E">
          <w:rPr>
            <w:noProof/>
            <w:webHidden/>
          </w:rPr>
          <w:t>9</w:t>
        </w:r>
        <w:r w:rsidR="00182EED" w:rsidRPr="00771E6E">
          <w:rPr>
            <w:noProof/>
            <w:webHidden/>
          </w:rPr>
          <w:fldChar w:fldCharType="end"/>
        </w:r>
      </w:hyperlink>
    </w:p>
    <w:p w14:paraId="1FADE3F3" w14:textId="08911891" w:rsidR="00182EED" w:rsidRPr="00771E6E" w:rsidRDefault="00973FDA">
      <w:pPr>
        <w:pStyle w:val="TOC2"/>
        <w:tabs>
          <w:tab w:val="right" w:leader="dot" w:pos="8290"/>
        </w:tabs>
        <w:rPr>
          <w:rFonts w:asciiTheme="minorHAnsi" w:hAnsiTheme="minorHAnsi" w:cstheme="minorBidi"/>
          <w:noProof/>
        </w:rPr>
      </w:pPr>
      <w:hyperlink w:anchor="_Toc20167594" w:history="1">
        <w:r w:rsidR="00182EED" w:rsidRPr="00771E6E">
          <w:rPr>
            <w:rStyle w:val="Hyperlink"/>
            <w:noProof/>
          </w:rPr>
          <w:t>1.2 Domestic Teaching: Learning the Basics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_Toc20167594 \h </w:instrText>
        </w:r>
        <w:r w:rsidR="00182EED" w:rsidRPr="00771E6E">
          <w:rPr>
            <w:noProof/>
            <w:webHidden/>
          </w:rPr>
        </w:r>
        <w:r w:rsidR="00182EED" w:rsidRPr="00771E6E">
          <w:rPr>
            <w:noProof/>
            <w:webHidden/>
          </w:rPr>
          <w:fldChar w:fldCharType="separate"/>
        </w:r>
        <w:r w:rsidR="00182EED" w:rsidRPr="00771E6E">
          <w:rPr>
            <w:noProof/>
            <w:webHidden/>
          </w:rPr>
          <w:t>17</w:t>
        </w:r>
        <w:r w:rsidR="00182EED" w:rsidRPr="00771E6E">
          <w:rPr>
            <w:noProof/>
            <w:webHidden/>
          </w:rPr>
          <w:fldChar w:fldCharType="end"/>
        </w:r>
      </w:hyperlink>
    </w:p>
    <w:p w14:paraId="6D0E9F17" w14:textId="53CBB4FE" w:rsidR="00182EED" w:rsidRPr="00771E6E" w:rsidRDefault="00973FDA">
      <w:pPr>
        <w:pStyle w:val="TOC2"/>
        <w:tabs>
          <w:tab w:val="right" w:leader="dot" w:pos="8290"/>
        </w:tabs>
        <w:rPr>
          <w:rFonts w:asciiTheme="minorHAnsi" w:hAnsiTheme="minorHAnsi" w:cstheme="minorBidi"/>
          <w:noProof/>
        </w:rPr>
      </w:pPr>
      <w:hyperlink w:anchor="_Toc20167595" w:history="1">
        <w:r w:rsidR="00182EED" w:rsidRPr="00771E6E">
          <w:rPr>
            <w:rStyle w:val="Hyperlink"/>
            <w:noProof/>
          </w:rPr>
          <w:t>1.3 Humanism and Education: Imitating Exempla</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_Toc20167595 \h </w:instrText>
        </w:r>
        <w:r w:rsidR="00182EED" w:rsidRPr="00771E6E">
          <w:rPr>
            <w:noProof/>
            <w:webHidden/>
          </w:rPr>
        </w:r>
        <w:r w:rsidR="00182EED" w:rsidRPr="00771E6E">
          <w:rPr>
            <w:noProof/>
            <w:webHidden/>
          </w:rPr>
          <w:fldChar w:fldCharType="separate"/>
        </w:r>
        <w:r w:rsidR="00182EED" w:rsidRPr="00771E6E">
          <w:rPr>
            <w:noProof/>
            <w:webHidden/>
          </w:rPr>
          <w:t>24</w:t>
        </w:r>
        <w:r w:rsidR="00182EED" w:rsidRPr="00771E6E">
          <w:rPr>
            <w:noProof/>
            <w:webHidden/>
          </w:rPr>
          <w:fldChar w:fldCharType="end"/>
        </w:r>
      </w:hyperlink>
    </w:p>
    <w:p w14:paraId="64FA2FF0" w14:textId="09B856D4" w:rsidR="00182EED" w:rsidRPr="00771E6E" w:rsidRDefault="00973FDA">
      <w:pPr>
        <w:pStyle w:val="TOC2"/>
        <w:tabs>
          <w:tab w:val="right" w:leader="dot" w:pos="8290"/>
        </w:tabs>
        <w:rPr>
          <w:rFonts w:asciiTheme="minorHAnsi" w:hAnsiTheme="minorHAnsi" w:cstheme="minorBidi"/>
          <w:noProof/>
        </w:rPr>
      </w:pPr>
      <w:hyperlink w:anchor="_Toc20167596" w:history="1">
        <w:r w:rsidR="00182EED" w:rsidRPr="00771E6E">
          <w:rPr>
            <w:rStyle w:val="Hyperlink"/>
            <w:noProof/>
          </w:rPr>
          <w:t>1.4 Images as Moral Teachers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_Toc20167596 \h </w:instrText>
        </w:r>
        <w:r w:rsidR="00182EED" w:rsidRPr="00771E6E">
          <w:rPr>
            <w:noProof/>
            <w:webHidden/>
          </w:rPr>
        </w:r>
        <w:r w:rsidR="00182EED" w:rsidRPr="00771E6E">
          <w:rPr>
            <w:noProof/>
            <w:webHidden/>
          </w:rPr>
          <w:fldChar w:fldCharType="separate"/>
        </w:r>
        <w:r w:rsidR="00182EED" w:rsidRPr="00771E6E">
          <w:rPr>
            <w:noProof/>
            <w:webHidden/>
          </w:rPr>
          <w:t>33</w:t>
        </w:r>
        <w:r w:rsidR="00182EED" w:rsidRPr="00771E6E">
          <w:rPr>
            <w:noProof/>
            <w:webHidden/>
          </w:rPr>
          <w:fldChar w:fldCharType="end"/>
        </w:r>
      </w:hyperlink>
    </w:p>
    <w:p w14:paraId="6D0DEA51" w14:textId="7517AB0D" w:rsidR="00182EED" w:rsidRPr="00771E6E" w:rsidRDefault="00973FDA">
      <w:pPr>
        <w:pStyle w:val="TOC2"/>
        <w:tabs>
          <w:tab w:val="right" w:leader="dot" w:pos="8290"/>
        </w:tabs>
        <w:rPr>
          <w:rFonts w:asciiTheme="minorHAnsi" w:hAnsiTheme="minorHAnsi" w:cstheme="minorBidi"/>
          <w:noProof/>
        </w:rPr>
      </w:pPr>
      <w:hyperlink w:anchor="_Toc20167597" w:history="1">
        <w:r w:rsidR="00182EED" w:rsidRPr="00771E6E">
          <w:rPr>
            <w:rStyle w:val="Hyperlink"/>
            <w:noProof/>
          </w:rPr>
          <w:t>1.5 Music as Moral Practice</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_Toc20167597 \h </w:instrText>
        </w:r>
        <w:r w:rsidR="00182EED" w:rsidRPr="00771E6E">
          <w:rPr>
            <w:noProof/>
            <w:webHidden/>
          </w:rPr>
        </w:r>
        <w:r w:rsidR="00182EED" w:rsidRPr="00771E6E">
          <w:rPr>
            <w:noProof/>
            <w:webHidden/>
          </w:rPr>
          <w:fldChar w:fldCharType="separate"/>
        </w:r>
        <w:r w:rsidR="00182EED" w:rsidRPr="00771E6E">
          <w:rPr>
            <w:noProof/>
            <w:webHidden/>
          </w:rPr>
          <w:t>45</w:t>
        </w:r>
        <w:r w:rsidR="00182EED" w:rsidRPr="00771E6E">
          <w:rPr>
            <w:noProof/>
            <w:webHidden/>
          </w:rPr>
          <w:fldChar w:fldCharType="end"/>
        </w:r>
      </w:hyperlink>
    </w:p>
    <w:p w14:paraId="49E3275A" w14:textId="211A33FE" w:rsidR="00182EED" w:rsidRPr="00771E6E" w:rsidRDefault="00973FDA">
      <w:pPr>
        <w:pStyle w:val="TOC2"/>
        <w:tabs>
          <w:tab w:val="right" w:leader="dot" w:pos="8290"/>
        </w:tabs>
        <w:rPr>
          <w:rFonts w:asciiTheme="minorHAnsi" w:hAnsiTheme="minorHAnsi" w:cstheme="minorBidi"/>
          <w:noProof/>
        </w:rPr>
      </w:pPr>
      <w:hyperlink w:anchor="_Toc20167598" w:history="1">
        <w:r w:rsidR="00182EED" w:rsidRPr="00771E6E">
          <w:rPr>
            <w:rStyle w:val="Hyperlink"/>
            <w:noProof/>
          </w:rPr>
          <w:t>1.6 Children, Music and Instruments in the Home</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_Toc20167598 \h </w:instrText>
        </w:r>
        <w:r w:rsidR="00182EED" w:rsidRPr="00771E6E">
          <w:rPr>
            <w:noProof/>
            <w:webHidden/>
          </w:rPr>
        </w:r>
        <w:r w:rsidR="00182EED" w:rsidRPr="00771E6E">
          <w:rPr>
            <w:noProof/>
            <w:webHidden/>
          </w:rPr>
          <w:fldChar w:fldCharType="separate"/>
        </w:r>
        <w:r w:rsidR="00182EED" w:rsidRPr="00771E6E">
          <w:rPr>
            <w:noProof/>
            <w:webHidden/>
          </w:rPr>
          <w:t>58</w:t>
        </w:r>
        <w:r w:rsidR="00182EED" w:rsidRPr="00771E6E">
          <w:rPr>
            <w:noProof/>
            <w:webHidden/>
          </w:rPr>
          <w:fldChar w:fldCharType="end"/>
        </w:r>
      </w:hyperlink>
    </w:p>
    <w:p w14:paraId="2A698056" w14:textId="67B71A11" w:rsidR="00182EED" w:rsidRPr="00771E6E" w:rsidRDefault="00973FDA">
      <w:pPr>
        <w:pStyle w:val="TOC1"/>
        <w:rPr>
          <w:rFonts w:asciiTheme="minorHAnsi" w:hAnsiTheme="minorHAnsi" w:cstheme="minorBidi"/>
          <w:noProof/>
        </w:rPr>
      </w:pPr>
      <w:hyperlink w:anchor="_Toc20167599" w:history="1">
        <w:r w:rsidR="00182EED" w:rsidRPr="00771E6E">
          <w:rPr>
            <w:rStyle w:val="Hyperlink"/>
            <w:noProof/>
          </w:rPr>
          <w:t>2. Musical Angels and Moral Education</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_Toc20167599 \h </w:instrText>
        </w:r>
        <w:r w:rsidR="00182EED" w:rsidRPr="00771E6E">
          <w:rPr>
            <w:noProof/>
            <w:webHidden/>
          </w:rPr>
        </w:r>
        <w:r w:rsidR="00182EED" w:rsidRPr="00771E6E">
          <w:rPr>
            <w:noProof/>
            <w:webHidden/>
          </w:rPr>
          <w:fldChar w:fldCharType="separate"/>
        </w:r>
        <w:r w:rsidR="00182EED" w:rsidRPr="00771E6E">
          <w:rPr>
            <w:noProof/>
            <w:webHidden/>
          </w:rPr>
          <w:t>66</w:t>
        </w:r>
        <w:r w:rsidR="00182EED" w:rsidRPr="00771E6E">
          <w:rPr>
            <w:noProof/>
            <w:webHidden/>
          </w:rPr>
          <w:fldChar w:fldCharType="end"/>
        </w:r>
      </w:hyperlink>
    </w:p>
    <w:p w14:paraId="2C6D3883" w14:textId="3EC42056" w:rsidR="00182EED" w:rsidRPr="00771E6E" w:rsidRDefault="00973FDA">
      <w:pPr>
        <w:pStyle w:val="TOC2"/>
        <w:tabs>
          <w:tab w:val="right" w:leader="dot" w:pos="8290"/>
        </w:tabs>
        <w:rPr>
          <w:rFonts w:asciiTheme="minorHAnsi" w:hAnsiTheme="minorHAnsi" w:cstheme="minorBidi"/>
          <w:noProof/>
        </w:rPr>
      </w:pPr>
      <w:hyperlink w:anchor="_Toc20167600" w:history="1">
        <w:r w:rsidR="00182EED" w:rsidRPr="00771E6E">
          <w:rPr>
            <w:rStyle w:val="Hyperlink"/>
            <w:noProof/>
          </w:rPr>
          <w:t>2.1 The Nature of Angels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_Toc20167600 \h </w:instrText>
        </w:r>
        <w:r w:rsidR="00182EED" w:rsidRPr="00771E6E">
          <w:rPr>
            <w:noProof/>
            <w:webHidden/>
          </w:rPr>
        </w:r>
        <w:r w:rsidR="00182EED" w:rsidRPr="00771E6E">
          <w:rPr>
            <w:noProof/>
            <w:webHidden/>
          </w:rPr>
          <w:fldChar w:fldCharType="separate"/>
        </w:r>
        <w:r w:rsidR="00182EED" w:rsidRPr="00771E6E">
          <w:rPr>
            <w:noProof/>
            <w:webHidden/>
          </w:rPr>
          <w:t>67</w:t>
        </w:r>
        <w:r w:rsidR="00182EED" w:rsidRPr="00771E6E">
          <w:rPr>
            <w:noProof/>
            <w:webHidden/>
          </w:rPr>
          <w:fldChar w:fldCharType="end"/>
        </w:r>
      </w:hyperlink>
    </w:p>
    <w:p w14:paraId="751DC830" w14:textId="399EBA18" w:rsidR="00182EED" w:rsidRPr="00771E6E" w:rsidRDefault="00973FDA">
      <w:pPr>
        <w:pStyle w:val="TOC2"/>
        <w:tabs>
          <w:tab w:val="right" w:leader="dot" w:pos="8290"/>
        </w:tabs>
        <w:rPr>
          <w:rFonts w:asciiTheme="minorHAnsi" w:hAnsiTheme="minorHAnsi" w:cstheme="minorBidi"/>
          <w:noProof/>
        </w:rPr>
      </w:pPr>
      <w:hyperlink w:anchor="_Toc20167601" w:history="1">
        <w:r w:rsidR="00182EED" w:rsidRPr="00771E6E">
          <w:rPr>
            <w:rStyle w:val="Hyperlink"/>
            <w:noProof/>
          </w:rPr>
          <w:t>2.2 Angels as Musicians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_Toc20167601 \h </w:instrText>
        </w:r>
        <w:r w:rsidR="00182EED" w:rsidRPr="00771E6E">
          <w:rPr>
            <w:noProof/>
            <w:webHidden/>
          </w:rPr>
        </w:r>
        <w:r w:rsidR="00182EED" w:rsidRPr="00771E6E">
          <w:rPr>
            <w:noProof/>
            <w:webHidden/>
          </w:rPr>
          <w:fldChar w:fldCharType="separate"/>
        </w:r>
        <w:r w:rsidR="00182EED" w:rsidRPr="00771E6E">
          <w:rPr>
            <w:noProof/>
            <w:webHidden/>
          </w:rPr>
          <w:t>76</w:t>
        </w:r>
        <w:r w:rsidR="00182EED" w:rsidRPr="00771E6E">
          <w:rPr>
            <w:noProof/>
            <w:webHidden/>
          </w:rPr>
          <w:fldChar w:fldCharType="end"/>
        </w:r>
      </w:hyperlink>
    </w:p>
    <w:p w14:paraId="1295C809" w14:textId="13027EBF" w:rsidR="00182EED" w:rsidRPr="00771E6E" w:rsidRDefault="00973FDA">
      <w:pPr>
        <w:pStyle w:val="TOC2"/>
        <w:tabs>
          <w:tab w:val="right" w:leader="dot" w:pos="8290"/>
        </w:tabs>
        <w:rPr>
          <w:rFonts w:asciiTheme="minorHAnsi" w:hAnsiTheme="minorHAnsi" w:cstheme="minorBidi"/>
          <w:noProof/>
        </w:rPr>
      </w:pPr>
      <w:hyperlink w:anchor="_Toc20167602" w:history="1">
        <w:r w:rsidR="00182EED" w:rsidRPr="00771E6E">
          <w:rPr>
            <w:rStyle w:val="Hyperlink"/>
            <w:noProof/>
          </w:rPr>
          <w:t>2.3 Emulating Angels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_Toc20167602 \h </w:instrText>
        </w:r>
        <w:r w:rsidR="00182EED" w:rsidRPr="00771E6E">
          <w:rPr>
            <w:noProof/>
            <w:webHidden/>
          </w:rPr>
        </w:r>
        <w:r w:rsidR="00182EED" w:rsidRPr="00771E6E">
          <w:rPr>
            <w:noProof/>
            <w:webHidden/>
          </w:rPr>
          <w:fldChar w:fldCharType="separate"/>
        </w:r>
        <w:r w:rsidR="00182EED" w:rsidRPr="00771E6E">
          <w:rPr>
            <w:noProof/>
            <w:webHidden/>
          </w:rPr>
          <w:t>81</w:t>
        </w:r>
        <w:r w:rsidR="00182EED" w:rsidRPr="00771E6E">
          <w:rPr>
            <w:noProof/>
            <w:webHidden/>
          </w:rPr>
          <w:fldChar w:fldCharType="end"/>
        </w:r>
      </w:hyperlink>
    </w:p>
    <w:p w14:paraId="1727B8A5" w14:textId="62A518F4" w:rsidR="00182EED" w:rsidRPr="00771E6E" w:rsidRDefault="00973FDA">
      <w:pPr>
        <w:pStyle w:val="TOC2"/>
        <w:tabs>
          <w:tab w:val="right" w:leader="dot" w:pos="8290"/>
        </w:tabs>
        <w:rPr>
          <w:rFonts w:asciiTheme="minorHAnsi" w:hAnsiTheme="minorHAnsi" w:cstheme="minorBidi"/>
          <w:noProof/>
        </w:rPr>
      </w:pPr>
      <w:hyperlink w:anchor="_Toc20167603" w:history="1">
        <w:r w:rsidR="00182EED" w:rsidRPr="00771E6E">
          <w:rPr>
            <w:rStyle w:val="Hyperlink"/>
            <w:noProof/>
          </w:rPr>
          <w:t>2.4 Angels as Guides and Teachers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_Toc20167603 \h </w:instrText>
        </w:r>
        <w:r w:rsidR="00182EED" w:rsidRPr="00771E6E">
          <w:rPr>
            <w:noProof/>
            <w:webHidden/>
          </w:rPr>
        </w:r>
        <w:r w:rsidR="00182EED" w:rsidRPr="00771E6E">
          <w:rPr>
            <w:noProof/>
            <w:webHidden/>
          </w:rPr>
          <w:fldChar w:fldCharType="separate"/>
        </w:r>
        <w:r w:rsidR="00182EED" w:rsidRPr="00771E6E">
          <w:rPr>
            <w:noProof/>
            <w:webHidden/>
          </w:rPr>
          <w:t>90</w:t>
        </w:r>
        <w:r w:rsidR="00182EED" w:rsidRPr="00771E6E">
          <w:rPr>
            <w:noProof/>
            <w:webHidden/>
          </w:rPr>
          <w:fldChar w:fldCharType="end"/>
        </w:r>
      </w:hyperlink>
    </w:p>
    <w:p w14:paraId="69E34E55" w14:textId="132EB771" w:rsidR="00182EED" w:rsidRPr="00771E6E" w:rsidRDefault="00973FDA">
      <w:pPr>
        <w:pStyle w:val="TOC2"/>
        <w:tabs>
          <w:tab w:val="right" w:leader="dot" w:pos="8290"/>
        </w:tabs>
        <w:rPr>
          <w:rFonts w:asciiTheme="minorHAnsi" w:hAnsiTheme="minorHAnsi" w:cstheme="minorBidi"/>
          <w:noProof/>
        </w:rPr>
      </w:pPr>
      <w:hyperlink w:anchor="_Toc20167604" w:history="1">
        <w:r w:rsidR="00182EED" w:rsidRPr="00771E6E">
          <w:rPr>
            <w:rStyle w:val="Hyperlink"/>
            <w:noProof/>
          </w:rPr>
          <w:t>2.5 Angels and Children</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_Toc20167604 \h </w:instrText>
        </w:r>
        <w:r w:rsidR="00182EED" w:rsidRPr="00771E6E">
          <w:rPr>
            <w:noProof/>
            <w:webHidden/>
          </w:rPr>
        </w:r>
        <w:r w:rsidR="00182EED" w:rsidRPr="00771E6E">
          <w:rPr>
            <w:noProof/>
            <w:webHidden/>
          </w:rPr>
          <w:fldChar w:fldCharType="separate"/>
        </w:r>
        <w:r w:rsidR="00182EED" w:rsidRPr="00771E6E">
          <w:rPr>
            <w:noProof/>
            <w:webHidden/>
          </w:rPr>
          <w:t>95</w:t>
        </w:r>
        <w:r w:rsidR="00182EED" w:rsidRPr="00771E6E">
          <w:rPr>
            <w:noProof/>
            <w:webHidden/>
          </w:rPr>
          <w:fldChar w:fldCharType="end"/>
        </w:r>
      </w:hyperlink>
    </w:p>
    <w:p w14:paraId="5040FC27" w14:textId="70A296BF" w:rsidR="00182EED" w:rsidRPr="00771E6E" w:rsidRDefault="00973FDA">
      <w:pPr>
        <w:pStyle w:val="TOC2"/>
        <w:tabs>
          <w:tab w:val="right" w:leader="dot" w:pos="8290"/>
        </w:tabs>
        <w:rPr>
          <w:rFonts w:asciiTheme="minorHAnsi" w:hAnsiTheme="minorHAnsi" w:cstheme="minorBidi"/>
          <w:noProof/>
        </w:rPr>
      </w:pPr>
      <w:hyperlink w:anchor="_Toc20167605" w:history="1">
        <w:r w:rsidR="00182EED" w:rsidRPr="00771E6E">
          <w:rPr>
            <w:rStyle w:val="Hyperlink"/>
            <w:noProof/>
          </w:rPr>
          <w:t>2.6 Angels at Home</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_Toc20167605 \h </w:instrText>
        </w:r>
        <w:r w:rsidR="00182EED" w:rsidRPr="00771E6E">
          <w:rPr>
            <w:noProof/>
            <w:webHidden/>
          </w:rPr>
        </w:r>
        <w:r w:rsidR="00182EED" w:rsidRPr="00771E6E">
          <w:rPr>
            <w:noProof/>
            <w:webHidden/>
          </w:rPr>
          <w:fldChar w:fldCharType="separate"/>
        </w:r>
        <w:r w:rsidR="00182EED" w:rsidRPr="00771E6E">
          <w:rPr>
            <w:noProof/>
            <w:webHidden/>
          </w:rPr>
          <w:t>102</w:t>
        </w:r>
        <w:r w:rsidR="00182EED" w:rsidRPr="00771E6E">
          <w:rPr>
            <w:noProof/>
            <w:webHidden/>
          </w:rPr>
          <w:fldChar w:fldCharType="end"/>
        </w:r>
      </w:hyperlink>
    </w:p>
    <w:p w14:paraId="681645DF" w14:textId="0861DC9F" w:rsidR="00182EED" w:rsidRPr="00771E6E" w:rsidRDefault="00973FDA">
      <w:pPr>
        <w:pStyle w:val="TOC1"/>
        <w:rPr>
          <w:rFonts w:asciiTheme="minorHAnsi" w:hAnsiTheme="minorHAnsi" w:cstheme="minorBidi"/>
          <w:noProof/>
        </w:rPr>
      </w:pPr>
      <w:hyperlink w:anchor="_Toc20167606" w:history="1">
        <w:r w:rsidR="00182EED" w:rsidRPr="00771E6E">
          <w:rPr>
            <w:rStyle w:val="Hyperlink"/>
            <w:noProof/>
          </w:rPr>
          <w:t>3. Tondi and Musical Angels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_Toc20167606 \h </w:instrText>
        </w:r>
        <w:r w:rsidR="00182EED" w:rsidRPr="00771E6E">
          <w:rPr>
            <w:noProof/>
            <w:webHidden/>
          </w:rPr>
        </w:r>
        <w:r w:rsidR="00182EED" w:rsidRPr="00771E6E">
          <w:rPr>
            <w:noProof/>
            <w:webHidden/>
          </w:rPr>
          <w:fldChar w:fldCharType="separate"/>
        </w:r>
        <w:r w:rsidR="00182EED" w:rsidRPr="00771E6E">
          <w:rPr>
            <w:noProof/>
            <w:webHidden/>
          </w:rPr>
          <w:t>112</w:t>
        </w:r>
        <w:r w:rsidR="00182EED" w:rsidRPr="00771E6E">
          <w:rPr>
            <w:noProof/>
            <w:webHidden/>
          </w:rPr>
          <w:fldChar w:fldCharType="end"/>
        </w:r>
      </w:hyperlink>
    </w:p>
    <w:p w14:paraId="398376D2" w14:textId="5C67542A" w:rsidR="00182EED" w:rsidRPr="00771E6E" w:rsidRDefault="00973FDA">
      <w:pPr>
        <w:pStyle w:val="TOC2"/>
        <w:tabs>
          <w:tab w:val="right" w:leader="dot" w:pos="8290"/>
        </w:tabs>
        <w:rPr>
          <w:rFonts w:asciiTheme="minorHAnsi" w:hAnsiTheme="minorHAnsi" w:cstheme="minorBidi"/>
          <w:noProof/>
        </w:rPr>
      </w:pPr>
      <w:hyperlink w:anchor="_Toc20167607" w:history="1">
        <w:r w:rsidR="00182EED" w:rsidRPr="00771E6E">
          <w:rPr>
            <w:rStyle w:val="Hyperlink"/>
            <w:noProof/>
          </w:rPr>
          <w:t>3.1. Tondi and their Circular Counterparts in the Home</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_Toc20167607 \h </w:instrText>
        </w:r>
        <w:r w:rsidR="00182EED" w:rsidRPr="00771E6E">
          <w:rPr>
            <w:noProof/>
            <w:webHidden/>
          </w:rPr>
        </w:r>
        <w:r w:rsidR="00182EED" w:rsidRPr="00771E6E">
          <w:rPr>
            <w:noProof/>
            <w:webHidden/>
          </w:rPr>
          <w:fldChar w:fldCharType="separate"/>
        </w:r>
        <w:r w:rsidR="00182EED" w:rsidRPr="00771E6E">
          <w:rPr>
            <w:noProof/>
            <w:webHidden/>
          </w:rPr>
          <w:t>112</w:t>
        </w:r>
        <w:r w:rsidR="00182EED" w:rsidRPr="00771E6E">
          <w:rPr>
            <w:noProof/>
            <w:webHidden/>
          </w:rPr>
          <w:fldChar w:fldCharType="end"/>
        </w:r>
      </w:hyperlink>
    </w:p>
    <w:p w14:paraId="037224F8" w14:textId="4F342160" w:rsidR="00182EED" w:rsidRPr="00771E6E" w:rsidRDefault="00973FDA">
      <w:pPr>
        <w:pStyle w:val="TOC3"/>
        <w:tabs>
          <w:tab w:val="right" w:leader="dot" w:pos="8290"/>
        </w:tabs>
        <w:rPr>
          <w:rFonts w:asciiTheme="minorHAnsi" w:eastAsiaTheme="minorEastAsia" w:hAnsiTheme="minorHAnsi" w:cstheme="minorBidi"/>
          <w:noProof/>
          <w:lang w:eastAsia="en-GB"/>
        </w:rPr>
      </w:pPr>
      <w:hyperlink w:anchor="_Toc20167608" w:history="1">
        <w:r w:rsidR="00182EED" w:rsidRPr="00771E6E">
          <w:rPr>
            <w:rStyle w:val="Hyperlink"/>
            <w:noProof/>
          </w:rPr>
          <w:t>3.1.1. Tondi and Mirrors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_Toc20167608 \h </w:instrText>
        </w:r>
        <w:r w:rsidR="00182EED" w:rsidRPr="00771E6E">
          <w:rPr>
            <w:noProof/>
            <w:webHidden/>
          </w:rPr>
        </w:r>
        <w:r w:rsidR="00182EED" w:rsidRPr="00771E6E">
          <w:rPr>
            <w:noProof/>
            <w:webHidden/>
          </w:rPr>
          <w:fldChar w:fldCharType="separate"/>
        </w:r>
        <w:r w:rsidR="00182EED" w:rsidRPr="00771E6E">
          <w:rPr>
            <w:noProof/>
            <w:webHidden/>
          </w:rPr>
          <w:t>115</w:t>
        </w:r>
        <w:r w:rsidR="00182EED" w:rsidRPr="00771E6E">
          <w:rPr>
            <w:noProof/>
            <w:webHidden/>
          </w:rPr>
          <w:fldChar w:fldCharType="end"/>
        </w:r>
      </w:hyperlink>
    </w:p>
    <w:p w14:paraId="4D00E6EE" w14:textId="4D060A36" w:rsidR="00182EED" w:rsidRPr="00771E6E" w:rsidRDefault="00973FDA">
      <w:pPr>
        <w:pStyle w:val="TOC3"/>
        <w:tabs>
          <w:tab w:val="right" w:leader="dot" w:pos="8290"/>
        </w:tabs>
        <w:rPr>
          <w:rFonts w:asciiTheme="minorHAnsi" w:eastAsiaTheme="minorEastAsia" w:hAnsiTheme="minorHAnsi" w:cstheme="minorBidi"/>
          <w:noProof/>
          <w:lang w:eastAsia="en-GB"/>
        </w:rPr>
      </w:pPr>
      <w:hyperlink w:anchor="_Toc20167609" w:history="1">
        <w:r w:rsidR="00182EED" w:rsidRPr="00771E6E">
          <w:rPr>
            <w:rStyle w:val="Hyperlink"/>
            <w:noProof/>
          </w:rPr>
          <w:t>3.1.2. Deschi da Parto, Maiolica Dishes and Metal Roundels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_Toc20167609 \h </w:instrText>
        </w:r>
        <w:r w:rsidR="00182EED" w:rsidRPr="00771E6E">
          <w:rPr>
            <w:noProof/>
            <w:webHidden/>
          </w:rPr>
        </w:r>
        <w:r w:rsidR="00182EED" w:rsidRPr="00771E6E">
          <w:rPr>
            <w:noProof/>
            <w:webHidden/>
          </w:rPr>
          <w:fldChar w:fldCharType="separate"/>
        </w:r>
        <w:r w:rsidR="00182EED" w:rsidRPr="00771E6E">
          <w:rPr>
            <w:noProof/>
            <w:webHidden/>
          </w:rPr>
          <w:t>124</w:t>
        </w:r>
        <w:r w:rsidR="00182EED" w:rsidRPr="00771E6E">
          <w:rPr>
            <w:noProof/>
            <w:webHidden/>
          </w:rPr>
          <w:fldChar w:fldCharType="end"/>
        </w:r>
      </w:hyperlink>
    </w:p>
    <w:p w14:paraId="36A81213" w14:textId="73E1B2B0" w:rsidR="00182EED" w:rsidRPr="00771E6E" w:rsidRDefault="00973FDA">
      <w:pPr>
        <w:pStyle w:val="TOC3"/>
        <w:tabs>
          <w:tab w:val="right" w:leader="dot" w:pos="8290"/>
        </w:tabs>
        <w:rPr>
          <w:rFonts w:asciiTheme="minorHAnsi" w:eastAsiaTheme="minorEastAsia" w:hAnsiTheme="minorHAnsi" w:cstheme="minorBidi"/>
          <w:noProof/>
          <w:lang w:eastAsia="en-GB"/>
        </w:rPr>
      </w:pPr>
      <w:hyperlink w:anchor="_Toc20167610" w:history="1">
        <w:r w:rsidR="00182EED" w:rsidRPr="00771E6E">
          <w:rPr>
            <w:rStyle w:val="Hyperlink"/>
            <w:noProof/>
          </w:rPr>
          <w:t>3.1.3. Children as an Intended Audience</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_Toc20167610 \h </w:instrText>
        </w:r>
        <w:r w:rsidR="00182EED" w:rsidRPr="00771E6E">
          <w:rPr>
            <w:noProof/>
            <w:webHidden/>
          </w:rPr>
        </w:r>
        <w:r w:rsidR="00182EED" w:rsidRPr="00771E6E">
          <w:rPr>
            <w:noProof/>
            <w:webHidden/>
          </w:rPr>
          <w:fldChar w:fldCharType="separate"/>
        </w:r>
        <w:r w:rsidR="00182EED" w:rsidRPr="00771E6E">
          <w:rPr>
            <w:noProof/>
            <w:webHidden/>
          </w:rPr>
          <w:t>128</w:t>
        </w:r>
        <w:r w:rsidR="00182EED" w:rsidRPr="00771E6E">
          <w:rPr>
            <w:noProof/>
            <w:webHidden/>
          </w:rPr>
          <w:fldChar w:fldCharType="end"/>
        </w:r>
      </w:hyperlink>
    </w:p>
    <w:p w14:paraId="68CA4608" w14:textId="3B055B69" w:rsidR="00182EED" w:rsidRPr="00771E6E" w:rsidRDefault="00973FDA">
      <w:pPr>
        <w:pStyle w:val="TOC2"/>
        <w:tabs>
          <w:tab w:val="right" w:leader="dot" w:pos="8290"/>
        </w:tabs>
        <w:rPr>
          <w:rFonts w:asciiTheme="minorHAnsi" w:hAnsiTheme="minorHAnsi" w:cstheme="minorBidi"/>
          <w:noProof/>
        </w:rPr>
      </w:pPr>
      <w:hyperlink w:anchor="_Toc20167611" w:history="1">
        <w:r w:rsidR="00182EED" w:rsidRPr="00771E6E">
          <w:rPr>
            <w:rStyle w:val="Hyperlink"/>
            <w:noProof/>
          </w:rPr>
          <w:t>3.2. Tondi with Singing Angels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_Toc20167611 \h </w:instrText>
        </w:r>
        <w:r w:rsidR="00182EED" w:rsidRPr="00771E6E">
          <w:rPr>
            <w:noProof/>
            <w:webHidden/>
          </w:rPr>
        </w:r>
        <w:r w:rsidR="00182EED" w:rsidRPr="00771E6E">
          <w:rPr>
            <w:noProof/>
            <w:webHidden/>
          </w:rPr>
          <w:fldChar w:fldCharType="separate"/>
        </w:r>
        <w:r w:rsidR="00182EED" w:rsidRPr="00771E6E">
          <w:rPr>
            <w:noProof/>
            <w:webHidden/>
          </w:rPr>
          <w:t>131</w:t>
        </w:r>
        <w:r w:rsidR="00182EED" w:rsidRPr="00771E6E">
          <w:rPr>
            <w:noProof/>
            <w:webHidden/>
          </w:rPr>
          <w:fldChar w:fldCharType="end"/>
        </w:r>
      </w:hyperlink>
    </w:p>
    <w:p w14:paraId="32ED86A9" w14:textId="64EAB423" w:rsidR="00182EED" w:rsidRPr="00771E6E" w:rsidRDefault="00973FDA">
      <w:pPr>
        <w:pStyle w:val="TOC3"/>
        <w:tabs>
          <w:tab w:val="right" w:leader="dot" w:pos="8290"/>
        </w:tabs>
        <w:rPr>
          <w:rFonts w:asciiTheme="minorHAnsi" w:eastAsiaTheme="minorEastAsia" w:hAnsiTheme="minorHAnsi" w:cstheme="minorBidi"/>
          <w:noProof/>
          <w:lang w:eastAsia="en-GB"/>
        </w:rPr>
      </w:pPr>
      <w:hyperlink w:anchor="_Toc20167612" w:history="1">
        <w:r w:rsidR="00182EED" w:rsidRPr="00771E6E">
          <w:rPr>
            <w:rStyle w:val="Hyperlink"/>
            <w:noProof/>
          </w:rPr>
          <w:t>3.2.1. Botticelli’s Musical Tondi</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_Toc20167612 \h </w:instrText>
        </w:r>
        <w:r w:rsidR="00182EED" w:rsidRPr="00771E6E">
          <w:rPr>
            <w:noProof/>
            <w:webHidden/>
          </w:rPr>
        </w:r>
        <w:r w:rsidR="00182EED" w:rsidRPr="00771E6E">
          <w:rPr>
            <w:noProof/>
            <w:webHidden/>
          </w:rPr>
          <w:fldChar w:fldCharType="separate"/>
        </w:r>
        <w:r w:rsidR="00182EED" w:rsidRPr="00771E6E">
          <w:rPr>
            <w:noProof/>
            <w:webHidden/>
          </w:rPr>
          <w:t>131</w:t>
        </w:r>
        <w:r w:rsidR="00182EED" w:rsidRPr="00771E6E">
          <w:rPr>
            <w:noProof/>
            <w:webHidden/>
          </w:rPr>
          <w:fldChar w:fldCharType="end"/>
        </w:r>
      </w:hyperlink>
    </w:p>
    <w:p w14:paraId="5D53CE7F" w14:textId="72306592" w:rsidR="00182EED" w:rsidRPr="00771E6E" w:rsidRDefault="00973FDA">
      <w:pPr>
        <w:pStyle w:val="TOC3"/>
        <w:tabs>
          <w:tab w:val="right" w:leader="dot" w:pos="8290"/>
        </w:tabs>
        <w:rPr>
          <w:rFonts w:asciiTheme="minorHAnsi" w:eastAsiaTheme="minorEastAsia" w:hAnsiTheme="minorHAnsi" w:cstheme="minorBidi"/>
          <w:noProof/>
          <w:lang w:eastAsia="en-GB"/>
        </w:rPr>
      </w:pPr>
      <w:hyperlink w:anchor="_Toc20167613" w:history="1">
        <w:r w:rsidR="00182EED" w:rsidRPr="00771E6E">
          <w:rPr>
            <w:rStyle w:val="Hyperlink"/>
            <w:noProof/>
          </w:rPr>
          <w:t>3.2.2 Tondi with Musical Notation</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_Toc20167613 \h </w:instrText>
        </w:r>
        <w:r w:rsidR="00182EED" w:rsidRPr="00771E6E">
          <w:rPr>
            <w:noProof/>
            <w:webHidden/>
          </w:rPr>
        </w:r>
        <w:r w:rsidR="00182EED" w:rsidRPr="00771E6E">
          <w:rPr>
            <w:noProof/>
            <w:webHidden/>
          </w:rPr>
          <w:fldChar w:fldCharType="separate"/>
        </w:r>
        <w:r w:rsidR="00182EED" w:rsidRPr="00771E6E">
          <w:rPr>
            <w:noProof/>
            <w:webHidden/>
          </w:rPr>
          <w:t>149</w:t>
        </w:r>
        <w:r w:rsidR="00182EED" w:rsidRPr="00771E6E">
          <w:rPr>
            <w:noProof/>
            <w:webHidden/>
          </w:rPr>
          <w:fldChar w:fldCharType="end"/>
        </w:r>
      </w:hyperlink>
    </w:p>
    <w:p w14:paraId="7325B474" w14:textId="5FD25C33" w:rsidR="00182EED" w:rsidRPr="00771E6E" w:rsidRDefault="00973FDA">
      <w:pPr>
        <w:pStyle w:val="TOC2"/>
        <w:tabs>
          <w:tab w:val="right" w:leader="dot" w:pos="8290"/>
        </w:tabs>
        <w:rPr>
          <w:rFonts w:asciiTheme="minorHAnsi" w:hAnsiTheme="minorHAnsi" w:cstheme="minorBidi"/>
          <w:noProof/>
        </w:rPr>
      </w:pPr>
      <w:hyperlink w:anchor="_Toc20167614" w:history="1">
        <w:r w:rsidR="00182EED" w:rsidRPr="00771E6E">
          <w:rPr>
            <w:rStyle w:val="Hyperlink"/>
            <w:noProof/>
          </w:rPr>
          <w:t>3.3 Tondi with Angels Playing Musical Instruments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_Toc20167614 \h </w:instrText>
        </w:r>
        <w:r w:rsidR="00182EED" w:rsidRPr="00771E6E">
          <w:rPr>
            <w:noProof/>
            <w:webHidden/>
          </w:rPr>
        </w:r>
        <w:r w:rsidR="00182EED" w:rsidRPr="00771E6E">
          <w:rPr>
            <w:noProof/>
            <w:webHidden/>
          </w:rPr>
          <w:fldChar w:fldCharType="separate"/>
        </w:r>
        <w:r w:rsidR="00182EED" w:rsidRPr="00771E6E">
          <w:rPr>
            <w:noProof/>
            <w:webHidden/>
          </w:rPr>
          <w:t>159</w:t>
        </w:r>
        <w:r w:rsidR="00182EED" w:rsidRPr="00771E6E">
          <w:rPr>
            <w:noProof/>
            <w:webHidden/>
          </w:rPr>
          <w:fldChar w:fldCharType="end"/>
        </w:r>
      </w:hyperlink>
    </w:p>
    <w:p w14:paraId="0888A993" w14:textId="2D3F6854" w:rsidR="00182EED" w:rsidRPr="00771E6E" w:rsidRDefault="00973FDA">
      <w:pPr>
        <w:pStyle w:val="TOC1"/>
        <w:rPr>
          <w:rFonts w:asciiTheme="minorHAnsi" w:hAnsiTheme="minorHAnsi" w:cstheme="minorBidi"/>
          <w:noProof/>
        </w:rPr>
      </w:pPr>
      <w:hyperlink w:anchor="_Toc20167615" w:history="1">
        <w:r w:rsidR="00182EED" w:rsidRPr="00771E6E">
          <w:rPr>
            <w:rStyle w:val="Hyperlink"/>
            <w:noProof/>
          </w:rPr>
          <w:t>4. Beyond Tondi: Musical Angels in Other Domestic Art and Decorated Furniture</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_Toc20167615 \h </w:instrText>
        </w:r>
        <w:r w:rsidR="00182EED" w:rsidRPr="00771E6E">
          <w:rPr>
            <w:noProof/>
            <w:webHidden/>
          </w:rPr>
        </w:r>
        <w:r w:rsidR="00182EED" w:rsidRPr="00771E6E">
          <w:rPr>
            <w:noProof/>
            <w:webHidden/>
          </w:rPr>
          <w:fldChar w:fldCharType="separate"/>
        </w:r>
        <w:r w:rsidR="00182EED" w:rsidRPr="00771E6E">
          <w:rPr>
            <w:noProof/>
            <w:webHidden/>
          </w:rPr>
          <w:t>167</w:t>
        </w:r>
        <w:r w:rsidR="00182EED" w:rsidRPr="00771E6E">
          <w:rPr>
            <w:noProof/>
            <w:webHidden/>
          </w:rPr>
          <w:fldChar w:fldCharType="end"/>
        </w:r>
      </w:hyperlink>
    </w:p>
    <w:p w14:paraId="7DDE2160" w14:textId="23BD63F4" w:rsidR="00182EED" w:rsidRPr="00771E6E" w:rsidRDefault="00973FDA">
      <w:pPr>
        <w:pStyle w:val="TOC2"/>
        <w:tabs>
          <w:tab w:val="right" w:leader="dot" w:pos="8290"/>
        </w:tabs>
        <w:rPr>
          <w:rFonts w:asciiTheme="minorHAnsi" w:hAnsiTheme="minorHAnsi" w:cstheme="minorBidi"/>
          <w:noProof/>
        </w:rPr>
      </w:pPr>
      <w:hyperlink w:anchor="_Toc20167616" w:history="1">
        <w:r w:rsidR="00182EED" w:rsidRPr="00771E6E">
          <w:rPr>
            <w:rStyle w:val="Hyperlink"/>
            <w:noProof/>
          </w:rPr>
          <w:t>4.1 Musical Angels in Paintings and Reproducible Media</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_Toc20167616 \h </w:instrText>
        </w:r>
        <w:r w:rsidR="00182EED" w:rsidRPr="00771E6E">
          <w:rPr>
            <w:noProof/>
            <w:webHidden/>
          </w:rPr>
        </w:r>
        <w:r w:rsidR="00182EED" w:rsidRPr="00771E6E">
          <w:rPr>
            <w:noProof/>
            <w:webHidden/>
          </w:rPr>
          <w:fldChar w:fldCharType="separate"/>
        </w:r>
        <w:r w:rsidR="00182EED" w:rsidRPr="00771E6E">
          <w:rPr>
            <w:noProof/>
            <w:webHidden/>
          </w:rPr>
          <w:t>168</w:t>
        </w:r>
        <w:r w:rsidR="00182EED" w:rsidRPr="00771E6E">
          <w:rPr>
            <w:noProof/>
            <w:webHidden/>
          </w:rPr>
          <w:fldChar w:fldCharType="end"/>
        </w:r>
      </w:hyperlink>
    </w:p>
    <w:p w14:paraId="4DB349D3" w14:textId="0FC986AC" w:rsidR="00182EED" w:rsidRPr="00771E6E" w:rsidRDefault="00973FDA">
      <w:pPr>
        <w:pStyle w:val="TOC2"/>
        <w:tabs>
          <w:tab w:val="right" w:leader="dot" w:pos="8290"/>
        </w:tabs>
        <w:rPr>
          <w:rFonts w:asciiTheme="minorHAnsi" w:hAnsiTheme="minorHAnsi" w:cstheme="minorBidi"/>
          <w:noProof/>
        </w:rPr>
      </w:pPr>
      <w:hyperlink w:anchor="_Toc20167617" w:history="1">
        <w:r w:rsidR="00182EED" w:rsidRPr="00771E6E">
          <w:rPr>
            <w:rStyle w:val="Hyperlink"/>
            <w:noProof/>
          </w:rPr>
          <w:t>4.2 Musical Angels in a Domestic Chapel</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_Toc20167617 \h </w:instrText>
        </w:r>
        <w:r w:rsidR="00182EED" w:rsidRPr="00771E6E">
          <w:rPr>
            <w:noProof/>
            <w:webHidden/>
          </w:rPr>
        </w:r>
        <w:r w:rsidR="00182EED" w:rsidRPr="00771E6E">
          <w:rPr>
            <w:noProof/>
            <w:webHidden/>
          </w:rPr>
          <w:fldChar w:fldCharType="separate"/>
        </w:r>
        <w:r w:rsidR="00182EED" w:rsidRPr="00771E6E">
          <w:rPr>
            <w:noProof/>
            <w:webHidden/>
          </w:rPr>
          <w:t>178</w:t>
        </w:r>
        <w:r w:rsidR="00182EED" w:rsidRPr="00771E6E">
          <w:rPr>
            <w:noProof/>
            <w:webHidden/>
          </w:rPr>
          <w:fldChar w:fldCharType="end"/>
        </w:r>
      </w:hyperlink>
    </w:p>
    <w:p w14:paraId="7223F77F" w14:textId="53B1AC67" w:rsidR="00182EED" w:rsidRPr="00771E6E" w:rsidRDefault="00973FDA">
      <w:pPr>
        <w:pStyle w:val="TOC2"/>
        <w:tabs>
          <w:tab w:val="right" w:leader="dot" w:pos="8290"/>
        </w:tabs>
        <w:rPr>
          <w:rFonts w:asciiTheme="minorHAnsi" w:hAnsiTheme="minorHAnsi" w:cstheme="minorBidi"/>
          <w:noProof/>
        </w:rPr>
      </w:pPr>
      <w:hyperlink w:anchor="_Toc20167618" w:history="1">
        <w:r w:rsidR="00182EED" w:rsidRPr="00771E6E">
          <w:rPr>
            <w:rStyle w:val="Hyperlink"/>
            <w:noProof/>
          </w:rPr>
          <w:t>4.3 Musical Angels in Decorated Furniture</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_Toc20167618 \h </w:instrText>
        </w:r>
        <w:r w:rsidR="00182EED" w:rsidRPr="00771E6E">
          <w:rPr>
            <w:noProof/>
            <w:webHidden/>
          </w:rPr>
        </w:r>
        <w:r w:rsidR="00182EED" w:rsidRPr="00771E6E">
          <w:rPr>
            <w:noProof/>
            <w:webHidden/>
          </w:rPr>
          <w:fldChar w:fldCharType="separate"/>
        </w:r>
        <w:r w:rsidR="00182EED" w:rsidRPr="00771E6E">
          <w:rPr>
            <w:noProof/>
            <w:webHidden/>
          </w:rPr>
          <w:t>182</w:t>
        </w:r>
        <w:r w:rsidR="00182EED" w:rsidRPr="00771E6E">
          <w:rPr>
            <w:noProof/>
            <w:webHidden/>
          </w:rPr>
          <w:fldChar w:fldCharType="end"/>
        </w:r>
      </w:hyperlink>
    </w:p>
    <w:p w14:paraId="68DAA6CA" w14:textId="5F13B69C" w:rsidR="00182EED" w:rsidRPr="00771E6E" w:rsidRDefault="00973FDA">
      <w:pPr>
        <w:pStyle w:val="TOC1"/>
        <w:rPr>
          <w:rFonts w:asciiTheme="minorHAnsi" w:hAnsiTheme="minorHAnsi" w:cstheme="minorBidi"/>
          <w:noProof/>
        </w:rPr>
      </w:pPr>
      <w:hyperlink w:anchor="_Toc20167619" w:history="1">
        <w:r w:rsidR="00182EED" w:rsidRPr="00771E6E">
          <w:rPr>
            <w:rStyle w:val="Hyperlink"/>
            <w:noProof/>
          </w:rPr>
          <w:t>Conclusions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_Toc20167619 \h </w:instrText>
        </w:r>
        <w:r w:rsidR="00182EED" w:rsidRPr="00771E6E">
          <w:rPr>
            <w:noProof/>
            <w:webHidden/>
          </w:rPr>
        </w:r>
        <w:r w:rsidR="00182EED" w:rsidRPr="00771E6E">
          <w:rPr>
            <w:noProof/>
            <w:webHidden/>
          </w:rPr>
          <w:fldChar w:fldCharType="separate"/>
        </w:r>
        <w:r w:rsidR="00182EED" w:rsidRPr="00771E6E">
          <w:rPr>
            <w:noProof/>
            <w:webHidden/>
          </w:rPr>
          <w:t>191</w:t>
        </w:r>
        <w:r w:rsidR="00182EED" w:rsidRPr="00771E6E">
          <w:rPr>
            <w:noProof/>
            <w:webHidden/>
          </w:rPr>
          <w:fldChar w:fldCharType="end"/>
        </w:r>
      </w:hyperlink>
    </w:p>
    <w:p w14:paraId="273D83B4" w14:textId="59947F08" w:rsidR="00182EED" w:rsidRPr="00771E6E" w:rsidRDefault="00973FDA">
      <w:pPr>
        <w:pStyle w:val="TOC1"/>
        <w:rPr>
          <w:rFonts w:asciiTheme="minorHAnsi" w:hAnsiTheme="minorHAnsi" w:cstheme="minorBidi"/>
          <w:noProof/>
        </w:rPr>
      </w:pPr>
      <w:hyperlink w:anchor="_Toc20167620" w:history="1">
        <w:r w:rsidR="00182EED" w:rsidRPr="00771E6E">
          <w:rPr>
            <w:rStyle w:val="Hyperlink"/>
            <w:noProof/>
          </w:rPr>
          <w:t>Bibliography</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_Toc20167620 \h </w:instrText>
        </w:r>
        <w:r w:rsidR="00182EED" w:rsidRPr="00771E6E">
          <w:rPr>
            <w:noProof/>
            <w:webHidden/>
          </w:rPr>
        </w:r>
        <w:r w:rsidR="00182EED" w:rsidRPr="00771E6E">
          <w:rPr>
            <w:noProof/>
            <w:webHidden/>
          </w:rPr>
          <w:fldChar w:fldCharType="separate"/>
        </w:r>
        <w:r w:rsidR="00182EED" w:rsidRPr="00771E6E">
          <w:rPr>
            <w:noProof/>
            <w:webHidden/>
          </w:rPr>
          <w:t>197</w:t>
        </w:r>
        <w:r w:rsidR="00182EED" w:rsidRPr="00771E6E">
          <w:rPr>
            <w:noProof/>
            <w:webHidden/>
          </w:rPr>
          <w:fldChar w:fldCharType="end"/>
        </w:r>
      </w:hyperlink>
    </w:p>
    <w:p w14:paraId="7DF24E94" w14:textId="3ED67381" w:rsidR="00182EED" w:rsidRPr="00771E6E" w:rsidRDefault="00973FDA">
      <w:pPr>
        <w:pStyle w:val="TOC2"/>
        <w:tabs>
          <w:tab w:val="right" w:leader="dot" w:pos="8290"/>
        </w:tabs>
        <w:rPr>
          <w:rFonts w:asciiTheme="minorHAnsi" w:hAnsiTheme="minorHAnsi" w:cstheme="minorBidi"/>
          <w:noProof/>
        </w:rPr>
      </w:pPr>
      <w:hyperlink w:anchor="_Toc20167621" w:history="1">
        <w:r w:rsidR="00182EED" w:rsidRPr="00771E6E">
          <w:rPr>
            <w:rStyle w:val="Hyperlink"/>
            <w:iCs/>
            <w:noProof/>
          </w:rPr>
          <w:t>Primary Sources</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_Toc20167621 \h </w:instrText>
        </w:r>
        <w:r w:rsidR="00182EED" w:rsidRPr="00771E6E">
          <w:rPr>
            <w:noProof/>
            <w:webHidden/>
          </w:rPr>
        </w:r>
        <w:r w:rsidR="00182EED" w:rsidRPr="00771E6E">
          <w:rPr>
            <w:noProof/>
            <w:webHidden/>
          </w:rPr>
          <w:fldChar w:fldCharType="separate"/>
        </w:r>
        <w:r w:rsidR="00182EED" w:rsidRPr="00771E6E">
          <w:rPr>
            <w:noProof/>
            <w:webHidden/>
          </w:rPr>
          <w:t>197</w:t>
        </w:r>
        <w:r w:rsidR="00182EED" w:rsidRPr="00771E6E">
          <w:rPr>
            <w:noProof/>
            <w:webHidden/>
          </w:rPr>
          <w:fldChar w:fldCharType="end"/>
        </w:r>
      </w:hyperlink>
    </w:p>
    <w:p w14:paraId="53BD7AD3" w14:textId="34527C49" w:rsidR="00182EED" w:rsidRPr="00771E6E" w:rsidRDefault="00973FDA">
      <w:pPr>
        <w:pStyle w:val="TOC2"/>
        <w:tabs>
          <w:tab w:val="right" w:leader="dot" w:pos="8290"/>
        </w:tabs>
        <w:rPr>
          <w:rFonts w:asciiTheme="minorHAnsi" w:hAnsiTheme="minorHAnsi" w:cstheme="minorBidi"/>
          <w:noProof/>
        </w:rPr>
      </w:pPr>
      <w:hyperlink w:anchor="_Toc20167622" w:history="1">
        <w:r w:rsidR="00182EED" w:rsidRPr="00771E6E">
          <w:rPr>
            <w:rStyle w:val="Hyperlink"/>
            <w:iCs/>
            <w:noProof/>
          </w:rPr>
          <w:t>Secondary Literature</w:t>
        </w:r>
        <w:r w:rsidR="00182EED" w:rsidRPr="00771E6E">
          <w:rPr>
            <w:noProof/>
            <w:webHidden/>
          </w:rPr>
          <w:tab/>
        </w:r>
        <w:r w:rsidR="00182EED" w:rsidRPr="00771E6E">
          <w:rPr>
            <w:noProof/>
            <w:webHidden/>
          </w:rPr>
          <w:fldChar w:fldCharType="begin"/>
        </w:r>
        <w:r w:rsidR="00182EED" w:rsidRPr="00771E6E">
          <w:rPr>
            <w:noProof/>
            <w:webHidden/>
          </w:rPr>
          <w:instrText xml:space="preserve"> PAGEREF _Toc20167622 \h </w:instrText>
        </w:r>
        <w:r w:rsidR="00182EED" w:rsidRPr="00771E6E">
          <w:rPr>
            <w:noProof/>
            <w:webHidden/>
          </w:rPr>
        </w:r>
        <w:r w:rsidR="00182EED" w:rsidRPr="00771E6E">
          <w:rPr>
            <w:noProof/>
            <w:webHidden/>
          </w:rPr>
          <w:fldChar w:fldCharType="separate"/>
        </w:r>
        <w:r w:rsidR="00182EED" w:rsidRPr="00771E6E">
          <w:rPr>
            <w:noProof/>
            <w:webHidden/>
          </w:rPr>
          <w:t>201</w:t>
        </w:r>
        <w:r w:rsidR="00182EED" w:rsidRPr="00771E6E">
          <w:rPr>
            <w:noProof/>
            <w:webHidden/>
          </w:rPr>
          <w:fldChar w:fldCharType="end"/>
        </w:r>
      </w:hyperlink>
    </w:p>
    <w:p w14:paraId="55392756" w14:textId="77777777" w:rsidR="00872EE8" w:rsidRPr="00771E6E" w:rsidRDefault="00094F64">
      <w:pPr>
        <w:rPr>
          <w:rFonts w:cs="Times New Roman"/>
          <w:b/>
          <w:lang w:val="en-GB"/>
        </w:rPr>
      </w:pPr>
      <w:r w:rsidRPr="00771E6E">
        <w:rPr>
          <w:rFonts w:cs="Times New Roman"/>
          <w:b/>
          <w:lang w:val="en-GB"/>
        </w:rPr>
        <w:fldChar w:fldCharType="end"/>
      </w:r>
    </w:p>
    <w:p w14:paraId="7E219142" w14:textId="77777777" w:rsidR="00872EE8" w:rsidRPr="00771E6E" w:rsidRDefault="00872EE8">
      <w:pPr>
        <w:rPr>
          <w:rFonts w:cs="Times New Roman"/>
          <w:b/>
          <w:lang w:val="en-GB"/>
        </w:rPr>
      </w:pPr>
    </w:p>
    <w:p w14:paraId="08F467CF" w14:textId="0CA702C2" w:rsidR="00A54EB7" w:rsidRPr="00771E6E" w:rsidRDefault="007B7884">
      <w:pPr>
        <w:rPr>
          <w:rFonts w:cs="Times New Roman"/>
          <w:b/>
          <w:lang w:val="en-GB"/>
        </w:rPr>
      </w:pPr>
      <w:r w:rsidRPr="00771E6E">
        <w:rPr>
          <w:rFonts w:cs="Times New Roman"/>
          <w:b/>
          <w:lang w:val="en-GB"/>
        </w:rPr>
        <w:lastRenderedPageBreak/>
        <w:t>Volume II</w:t>
      </w:r>
    </w:p>
    <w:p w14:paraId="233F2FBE" w14:textId="77777777" w:rsidR="007B7884" w:rsidRPr="00771E6E" w:rsidRDefault="007B7884">
      <w:pPr>
        <w:rPr>
          <w:rFonts w:cs="Times New Roman"/>
          <w:lang w:val="en-GB"/>
        </w:rPr>
      </w:pPr>
      <w:r w:rsidRPr="00771E6E">
        <w:rPr>
          <w:rFonts w:cs="Times New Roman"/>
          <w:lang w:val="en-GB"/>
        </w:rPr>
        <w:t>Figures…………………………………………………………………………………1</w:t>
      </w:r>
    </w:p>
    <w:p w14:paraId="3F23FB4C" w14:textId="626C6FE5" w:rsidR="00872EE8" w:rsidRPr="00771E6E" w:rsidRDefault="00872EE8">
      <w:pPr>
        <w:rPr>
          <w:rFonts w:cs="Times New Roman"/>
          <w:b/>
          <w:lang w:val="en-GB"/>
        </w:rPr>
      </w:pPr>
    </w:p>
    <w:p w14:paraId="750D837F" w14:textId="77777777" w:rsidR="00872EE8" w:rsidRPr="00771E6E" w:rsidRDefault="00872EE8">
      <w:pPr>
        <w:rPr>
          <w:rFonts w:cs="Times New Roman"/>
          <w:b/>
          <w:lang w:val="en-GB"/>
        </w:rPr>
      </w:pPr>
    </w:p>
    <w:p w14:paraId="7919E119" w14:textId="7F2377B6" w:rsidR="003A017B" w:rsidRPr="00771E6E" w:rsidRDefault="00A54EB7">
      <w:pPr>
        <w:rPr>
          <w:rFonts w:cs="Times New Roman"/>
          <w:lang w:val="en-GB"/>
        </w:rPr>
      </w:pPr>
      <w:r w:rsidRPr="00771E6E">
        <w:rPr>
          <w:rFonts w:cs="Times New Roman"/>
          <w:lang w:val="en-GB"/>
        </w:rPr>
        <w:t>Word Count</w:t>
      </w:r>
      <w:r w:rsidR="00051E3B" w:rsidRPr="00771E6E">
        <w:rPr>
          <w:rFonts w:cs="Times New Roman"/>
          <w:lang w:val="en-GB"/>
        </w:rPr>
        <w:t xml:space="preserve"> (excluding footnotes and bibliography)</w:t>
      </w:r>
      <w:r w:rsidRPr="00771E6E">
        <w:rPr>
          <w:rFonts w:cs="Times New Roman"/>
          <w:lang w:val="en-GB"/>
        </w:rPr>
        <w:t>: 6</w:t>
      </w:r>
      <w:r w:rsidR="00575EC8" w:rsidRPr="00771E6E">
        <w:rPr>
          <w:rFonts w:cs="Times New Roman"/>
          <w:lang w:val="en-GB"/>
        </w:rPr>
        <w:t>7</w:t>
      </w:r>
      <w:r w:rsidRPr="00771E6E">
        <w:rPr>
          <w:rFonts w:cs="Times New Roman"/>
          <w:lang w:val="en-GB"/>
        </w:rPr>
        <w:t>,</w:t>
      </w:r>
      <w:r w:rsidR="00575EC8" w:rsidRPr="00771E6E">
        <w:rPr>
          <w:rFonts w:cs="Times New Roman"/>
          <w:lang w:val="en-GB"/>
        </w:rPr>
        <w:t>986</w:t>
      </w:r>
      <w:r w:rsidR="003A017B" w:rsidRPr="00771E6E">
        <w:rPr>
          <w:rFonts w:cs="Times New Roman"/>
          <w:lang w:val="en-GB"/>
        </w:rPr>
        <w:br w:type="page"/>
      </w:r>
    </w:p>
    <w:p w14:paraId="70DD869F" w14:textId="77777777" w:rsidR="00C63595" w:rsidRPr="00771E6E" w:rsidRDefault="00C63595" w:rsidP="003F50E5">
      <w:pPr>
        <w:rPr>
          <w:b/>
        </w:rPr>
      </w:pPr>
      <w:r w:rsidRPr="00771E6E">
        <w:rPr>
          <w:b/>
        </w:rPr>
        <w:lastRenderedPageBreak/>
        <w:t>L</w:t>
      </w:r>
      <w:r w:rsidR="00193840" w:rsidRPr="00771E6E">
        <w:rPr>
          <w:b/>
        </w:rPr>
        <w:t>ist of Figures</w:t>
      </w:r>
    </w:p>
    <w:p w14:paraId="7D827C6A" w14:textId="77777777" w:rsidR="001840E8" w:rsidRPr="00771E6E" w:rsidRDefault="001840E8" w:rsidP="00182EED"/>
    <w:p w14:paraId="11EBFC0D" w14:textId="77777777" w:rsidR="00C551AC" w:rsidRPr="00771E6E" w:rsidRDefault="00C551AC" w:rsidP="00182EED"/>
    <w:p w14:paraId="253136D9" w14:textId="77777777" w:rsidR="005C33B3" w:rsidRPr="00771E6E" w:rsidRDefault="005C33B3" w:rsidP="005C33B3">
      <w:pPr>
        <w:rPr>
          <w:b/>
        </w:rPr>
      </w:pPr>
      <w:bookmarkStart w:id="0" w:name="_Toc2424310"/>
      <w:r w:rsidRPr="00771E6E">
        <w:rPr>
          <w:b/>
        </w:rPr>
        <w:t>Chapter 1</w:t>
      </w:r>
      <w:bookmarkEnd w:id="0"/>
    </w:p>
    <w:p w14:paraId="6C11D82E" w14:textId="77777777" w:rsidR="005C33B3" w:rsidRPr="00771E6E" w:rsidRDefault="005C33B3" w:rsidP="005C33B3"/>
    <w:p w14:paraId="039F4324" w14:textId="77777777" w:rsidR="005C33B3" w:rsidRPr="00771E6E" w:rsidRDefault="005C33B3" w:rsidP="00651627">
      <w:pPr>
        <w:ind w:left="709" w:hanging="709"/>
      </w:pPr>
      <w:r w:rsidRPr="00771E6E">
        <w:t xml:space="preserve">1.1 Cosimo </w:t>
      </w:r>
      <w:proofErr w:type="spellStart"/>
      <w:r w:rsidRPr="00771E6E">
        <w:t>Rosselli</w:t>
      </w:r>
      <w:proofErr w:type="spellEnd"/>
      <w:r w:rsidRPr="00771E6E">
        <w:t>, Madonna and Child with the Young Saint John the Baptist, ca. 1490, Metropolitan Museum of Art, New York.</w:t>
      </w:r>
    </w:p>
    <w:p w14:paraId="0FDF7B3F" w14:textId="77777777" w:rsidR="005C33B3" w:rsidRPr="00771E6E" w:rsidRDefault="005C33B3" w:rsidP="00651627">
      <w:pPr>
        <w:ind w:left="709" w:hanging="709"/>
      </w:pPr>
      <w:r w:rsidRPr="00771E6E">
        <w:t>1.2 Filippino Lippi, Madonna and Child, ca. 1483-84</w:t>
      </w:r>
      <w:r w:rsidRPr="00771E6E">
        <w:rPr>
          <w:iCs/>
        </w:rPr>
        <w:t>,</w:t>
      </w:r>
      <w:r w:rsidRPr="00771E6E">
        <w:t xml:space="preserve"> Metropolitan Museum of Art, New York.</w:t>
      </w:r>
    </w:p>
    <w:p w14:paraId="0B87D816" w14:textId="77777777" w:rsidR="005C33B3" w:rsidRPr="00771E6E" w:rsidRDefault="005C33B3" w:rsidP="00651627">
      <w:pPr>
        <w:ind w:left="709" w:hanging="709"/>
      </w:pPr>
      <w:r w:rsidRPr="00771E6E">
        <w:t xml:space="preserve">1.3 </w:t>
      </w:r>
      <w:proofErr w:type="spellStart"/>
      <w:r w:rsidRPr="00771E6E">
        <w:t>Ercole</w:t>
      </w:r>
      <w:proofErr w:type="spellEnd"/>
      <w:r w:rsidRPr="00771E6E">
        <w:t xml:space="preserve"> de Roberti, The Death of Lucrezia</w:t>
      </w:r>
      <w:r w:rsidR="002B317F" w:rsidRPr="00771E6E">
        <w:t>,</w:t>
      </w:r>
      <w:r w:rsidRPr="00771E6E">
        <w:t xml:space="preserve"> ca. 1485, Pinacoteca Nazionale</w:t>
      </w:r>
      <w:r w:rsidR="002B317F" w:rsidRPr="00771E6E">
        <w:t>,</w:t>
      </w:r>
      <w:r w:rsidRPr="00771E6E">
        <w:t xml:space="preserve"> Modena.</w:t>
      </w:r>
    </w:p>
    <w:p w14:paraId="7579804E" w14:textId="77777777" w:rsidR="005C33B3" w:rsidRPr="00771E6E" w:rsidRDefault="005C33B3" w:rsidP="00651627">
      <w:pPr>
        <w:ind w:left="709" w:hanging="709"/>
      </w:pPr>
      <w:r w:rsidRPr="00771E6E">
        <w:t xml:space="preserve">1.4 Twenty-Eight Illustrious Men, </w:t>
      </w:r>
      <w:proofErr w:type="spellStart"/>
      <w:r w:rsidR="00E972C9" w:rsidRPr="00771E6E">
        <w:t>Studiolo</w:t>
      </w:r>
      <w:proofErr w:type="spellEnd"/>
      <w:r w:rsidR="00E972C9" w:rsidRPr="00771E6E">
        <w:t xml:space="preserve"> of </w:t>
      </w:r>
      <w:r w:rsidRPr="00771E6E">
        <w:t xml:space="preserve">Federico da </w:t>
      </w:r>
      <w:proofErr w:type="spellStart"/>
      <w:r w:rsidRPr="00771E6E">
        <w:t>Montefeltro</w:t>
      </w:r>
      <w:proofErr w:type="spellEnd"/>
      <w:r w:rsidRPr="00771E6E">
        <w:t>, Ducal Palace, Urbino.</w:t>
      </w:r>
    </w:p>
    <w:p w14:paraId="513C3901" w14:textId="77777777" w:rsidR="005C33B3" w:rsidRPr="00771E6E" w:rsidRDefault="005C33B3" w:rsidP="00651627">
      <w:pPr>
        <w:ind w:left="709" w:hanging="709"/>
      </w:pPr>
      <w:r w:rsidRPr="00771E6E">
        <w:t xml:space="preserve">1.5 Andrea Mantegna, Ceiling of the Camera </w:t>
      </w:r>
      <w:proofErr w:type="spellStart"/>
      <w:r w:rsidRPr="00771E6E">
        <w:t>Picta</w:t>
      </w:r>
      <w:proofErr w:type="spellEnd"/>
      <w:r w:rsidRPr="00771E6E">
        <w:t xml:space="preserve">, with </w:t>
      </w:r>
      <w:r w:rsidR="002B317F" w:rsidRPr="00771E6E">
        <w:t>p</w:t>
      </w:r>
      <w:r w:rsidRPr="00771E6E">
        <w:t xml:space="preserve">ortraits of </w:t>
      </w:r>
      <w:r w:rsidR="002B317F" w:rsidRPr="00771E6E">
        <w:t>e</w:t>
      </w:r>
      <w:r w:rsidRPr="00771E6E">
        <w:t>ight Roman Emperors in roundels, Ducal Palace, Mantua.</w:t>
      </w:r>
    </w:p>
    <w:p w14:paraId="0E63C132" w14:textId="77777777" w:rsidR="005C33B3" w:rsidRPr="00771E6E" w:rsidRDefault="005C33B3" w:rsidP="00651627">
      <w:pPr>
        <w:ind w:left="709" w:hanging="709"/>
      </w:pPr>
      <w:r w:rsidRPr="00771E6E">
        <w:t xml:space="preserve">1.6 After </w:t>
      </w:r>
      <w:proofErr w:type="spellStart"/>
      <w:r w:rsidRPr="00771E6E">
        <w:t>Moderno</w:t>
      </w:r>
      <w:proofErr w:type="spellEnd"/>
      <w:r w:rsidRPr="00771E6E">
        <w:t>, Casket with Classical scenes, late 15</w:t>
      </w:r>
      <w:r w:rsidRPr="00771E6E">
        <w:rPr>
          <w:vertAlign w:val="superscript"/>
        </w:rPr>
        <w:t>th</w:t>
      </w:r>
      <w:r w:rsidRPr="00771E6E">
        <w:t xml:space="preserve"> century, British Museum, London.</w:t>
      </w:r>
    </w:p>
    <w:p w14:paraId="23F748DF" w14:textId="77777777" w:rsidR="005C33B3" w:rsidRPr="00771E6E" w:rsidRDefault="005C33B3" w:rsidP="00651627">
      <w:pPr>
        <w:ind w:left="709" w:hanging="709"/>
      </w:pPr>
      <w:r w:rsidRPr="00771E6E">
        <w:t xml:space="preserve">1.7 </w:t>
      </w:r>
      <w:proofErr w:type="spellStart"/>
      <w:r w:rsidRPr="00771E6E">
        <w:t>Valerius</w:t>
      </w:r>
      <w:proofErr w:type="spellEnd"/>
      <w:r w:rsidRPr="00771E6E">
        <w:t xml:space="preserve"> Maximus </w:t>
      </w:r>
      <w:proofErr w:type="spellStart"/>
      <w:r w:rsidRPr="00771E6E">
        <w:rPr>
          <w:i/>
        </w:rPr>
        <w:t>Facta</w:t>
      </w:r>
      <w:proofErr w:type="spellEnd"/>
      <w:r w:rsidRPr="00771E6E">
        <w:rPr>
          <w:i/>
        </w:rPr>
        <w:t xml:space="preserve"> et Dicta</w:t>
      </w:r>
      <w:r w:rsidRPr="00771E6E">
        <w:t xml:space="preserve"> </w:t>
      </w:r>
      <w:r w:rsidRPr="00771E6E">
        <w:rPr>
          <w:i/>
        </w:rPr>
        <w:t>Memorabilia</w:t>
      </w:r>
      <w:r w:rsidRPr="00771E6E">
        <w:t>, Rome ca. 1480, Spencer Collection</w:t>
      </w:r>
      <w:r w:rsidR="002B317F" w:rsidRPr="00771E6E">
        <w:t>,</w:t>
      </w:r>
      <w:r w:rsidRPr="00771E6E">
        <w:t xml:space="preserve"> Ms. 20, Public Library, New York.</w:t>
      </w:r>
    </w:p>
    <w:p w14:paraId="60B36535" w14:textId="77777777" w:rsidR="005C33B3" w:rsidRPr="00771E6E" w:rsidRDefault="005C33B3" w:rsidP="00651627">
      <w:pPr>
        <w:ind w:left="709" w:hanging="709"/>
      </w:pPr>
      <w:r w:rsidRPr="00771E6E">
        <w:t xml:space="preserve">1.8 Antonio </w:t>
      </w:r>
      <w:proofErr w:type="spellStart"/>
      <w:r w:rsidRPr="00771E6E">
        <w:t>Rossellino</w:t>
      </w:r>
      <w:proofErr w:type="spellEnd"/>
      <w:r w:rsidRPr="00771E6E">
        <w:t xml:space="preserve">, Bust of a Young Boy, 1460, Palazzo </w:t>
      </w:r>
      <w:proofErr w:type="spellStart"/>
      <w:r w:rsidRPr="00771E6E">
        <w:t>Davanzati</w:t>
      </w:r>
      <w:proofErr w:type="spellEnd"/>
      <w:r w:rsidRPr="00771E6E">
        <w:t>, Florence.</w:t>
      </w:r>
    </w:p>
    <w:p w14:paraId="5D3E860F" w14:textId="77777777" w:rsidR="005C33B3" w:rsidRPr="00771E6E" w:rsidRDefault="005C33B3" w:rsidP="00651627">
      <w:pPr>
        <w:ind w:left="709" w:hanging="709"/>
      </w:pPr>
      <w:r w:rsidRPr="00771E6E">
        <w:t xml:space="preserve">1.9 </w:t>
      </w:r>
      <w:proofErr w:type="spellStart"/>
      <w:r w:rsidRPr="00771E6E">
        <w:t>Desiderio</w:t>
      </w:r>
      <w:proofErr w:type="spellEnd"/>
      <w:r w:rsidRPr="00771E6E">
        <w:t xml:space="preserve"> da </w:t>
      </w:r>
      <w:proofErr w:type="spellStart"/>
      <w:r w:rsidRPr="00771E6E">
        <w:t>Settignano</w:t>
      </w:r>
      <w:proofErr w:type="spellEnd"/>
      <w:r w:rsidRPr="00771E6E">
        <w:t>, A Little Boy, 1455-60, National Gallery of Art, Washington D.C.</w:t>
      </w:r>
    </w:p>
    <w:p w14:paraId="42A9C531" w14:textId="77777777" w:rsidR="005C33B3" w:rsidRPr="00771E6E" w:rsidRDefault="005C33B3" w:rsidP="00651627">
      <w:pPr>
        <w:ind w:left="709" w:hanging="709"/>
      </w:pPr>
      <w:r w:rsidRPr="00771E6E">
        <w:t xml:space="preserve">1.10 </w:t>
      </w:r>
      <w:proofErr w:type="spellStart"/>
      <w:r w:rsidRPr="00771E6E">
        <w:t>Guidonian</w:t>
      </w:r>
      <w:proofErr w:type="spellEnd"/>
      <w:r w:rsidRPr="00771E6E">
        <w:t xml:space="preserve"> hand, from Bonaventura da Brescia, </w:t>
      </w:r>
      <w:proofErr w:type="spellStart"/>
      <w:r w:rsidRPr="00771E6E">
        <w:rPr>
          <w:i/>
          <w:iCs/>
        </w:rPr>
        <w:t>Breviloquium</w:t>
      </w:r>
      <w:proofErr w:type="spellEnd"/>
      <w:r w:rsidRPr="00771E6E">
        <w:rPr>
          <w:i/>
          <w:iCs/>
        </w:rPr>
        <w:t xml:space="preserve"> musicale </w:t>
      </w:r>
      <w:r w:rsidRPr="00771E6E">
        <w:t xml:space="preserve">(Brescia, 1497), sig. </w:t>
      </w:r>
      <w:proofErr w:type="spellStart"/>
      <w:r w:rsidRPr="00771E6E">
        <w:t>Aiii</w:t>
      </w:r>
      <w:proofErr w:type="spellEnd"/>
      <w:r w:rsidRPr="00771E6E">
        <w:t xml:space="preserve"> verso, Museo </w:t>
      </w:r>
      <w:proofErr w:type="spellStart"/>
      <w:r w:rsidRPr="00771E6E">
        <w:t>Internazionale</w:t>
      </w:r>
      <w:proofErr w:type="spellEnd"/>
      <w:r w:rsidRPr="00771E6E">
        <w:t>, Bologna.</w:t>
      </w:r>
    </w:p>
    <w:p w14:paraId="05FEB72E" w14:textId="77777777" w:rsidR="005C33B3" w:rsidRPr="00771E6E" w:rsidRDefault="005C33B3" w:rsidP="00651627">
      <w:pPr>
        <w:ind w:left="709" w:hanging="709"/>
      </w:pPr>
      <w:r w:rsidRPr="00771E6E">
        <w:rPr>
          <w:bCs/>
        </w:rPr>
        <w:t xml:space="preserve">1.11 </w:t>
      </w:r>
      <w:proofErr w:type="spellStart"/>
      <w:r w:rsidRPr="00771E6E">
        <w:t>Lamber</w:t>
      </w:r>
      <w:proofErr w:type="spellEnd"/>
      <w:r w:rsidRPr="00771E6E">
        <w:t xml:space="preserve"> </w:t>
      </w:r>
      <w:proofErr w:type="spellStart"/>
      <w:r w:rsidRPr="00771E6E">
        <w:t>Sustris</w:t>
      </w:r>
      <w:proofErr w:type="spellEnd"/>
      <w:r w:rsidRPr="00771E6E">
        <w:t>, Reclining Venus, ca. 1548, Rijksmuseum, Amsterdam.</w:t>
      </w:r>
    </w:p>
    <w:p w14:paraId="17C6130A" w14:textId="77777777" w:rsidR="005C33B3" w:rsidRPr="00771E6E" w:rsidRDefault="005C33B3" w:rsidP="00651627">
      <w:pPr>
        <w:ind w:left="709" w:hanging="709"/>
      </w:pPr>
      <w:r w:rsidRPr="00771E6E">
        <w:t xml:space="preserve">1.12 Francesco </w:t>
      </w:r>
      <w:proofErr w:type="spellStart"/>
      <w:r w:rsidRPr="00771E6E">
        <w:t>Salviati</w:t>
      </w:r>
      <w:proofErr w:type="spellEnd"/>
      <w:r w:rsidRPr="00771E6E">
        <w:t xml:space="preserve">, Portrait of a Lute Player, ca. 1545-50, </w:t>
      </w:r>
      <w:proofErr w:type="spellStart"/>
      <w:r w:rsidRPr="00771E6E">
        <w:t>Musée</w:t>
      </w:r>
      <w:proofErr w:type="spellEnd"/>
      <w:r w:rsidRPr="00771E6E">
        <w:t xml:space="preserve"> </w:t>
      </w:r>
      <w:proofErr w:type="spellStart"/>
      <w:r w:rsidRPr="00771E6E">
        <w:t>Jacquemart</w:t>
      </w:r>
      <w:proofErr w:type="spellEnd"/>
      <w:r w:rsidRPr="00771E6E">
        <w:t>-André, Paris.</w:t>
      </w:r>
    </w:p>
    <w:p w14:paraId="24D52A5F" w14:textId="77777777" w:rsidR="005C33B3" w:rsidRPr="00771E6E" w:rsidRDefault="005C33B3" w:rsidP="00651627">
      <w:pPr>
        <w:ind w:left="709" w:hanging="709"/>
      </w:pPr>
      <w:r w:rsidRPr="00771E6E">
        <w:t xml:space="preserve">1.13 </w:t>
      </w:r>
      <w:proofErr w:type="spellStart"/>
      <w:r w:rsidRPr="00771E6E">
        <w:t>Agnolo</w:t>
      </w:r>
      <w:proofErr w:type="spellEnd"/>
      <w:r w:rsidRPr="00771E6E">
        <w:t xml:space="preserve"> </w:t>
      </w:r>
      <w:proofErr w:type="spellStart"/>
      <w:r w:rsidRPr="00771E6E">
        <w:t>Bronzino</w:t>
      </w:r>
      <w:proofErr w:type="spellEnd"/>
      <w:r w:rsidRPr="00771E6E">
        <w:t xml:space="preserve">, Portrait of a Lute Player, ca. 1532-1534, Galleria </w:t>
      </w:r>
      <w:proofErr w:type="spellStart"/>
      <w:r w:rsidRPr="00771E6E">
        <w:t>degli</w:t>
      </w:r>
      <w:proofErr w:type="spellEnd"/>
      <w:r w:rsidRPr="00771E6E">
        <w:t xml:space="preserve"> Uffizi, Florence.</w:t>
      </w:r>
    </w:p>
    <w:p w14:paraId="20C739C8" w14:textId="77777777" w:rsidR="005C33B3" w:rsidRPr="00771E6E" w:rsidRDefault="005C33B3" w:rsidP="00651627">
      <w:pPr>
        <w:ind w:left="709" w:hanging="709"/>
      </w:pPr>
      <w:r w:rsidRPr="00771E6E">
        <w:t>1.14 Titian, Portrait of Two Boys, ca. 1544, Private Collection</w:t>
      </w:r>
      <w:r w:rsidR="002B317F" w:rsidRPr="00771E6E">
        <w:t>.</w:t>
      </w:r>
    </w:p>
    <w:p w14:paraId="16007B23" w14:textId="77777777" w:rsidR="00651627" w:rsidRPr="00771E6E" w:rsidRDefault="00651627">
      <w:pPr>
        <w:spacing w:line="240" w:lineRule="auto"/>
        <w:rPr>
          <w:b/>
        </w:rPr>
      </w:pPr>
      <w:r w:rsidRPr="00771E6E">
        <w:rPr>
          <w:b/>
        </w:rPr>
        <w:br w:type="page"/>
      </w:r>
    </w:p>
    <w:p w14:paraId="2B809A26" w14:textId="77777777" w:rsidR="005C33B3" w:rsidRPr="00771E6E" w:rsidRDefault="005C33B3" w:rsidP="001840E8">
      <w:pPr>
        <w:rPr>
          <w:b/>
        </w:rPr>
      </w:pPr>
      <w:r w:rsidRPr="00771E6E">
        <w:rPr>
          <w:b/>
        </w:rPr>
        <w:lastRenderedPageBreak/>
        <w:t>Chapter 2</w:t>
      </w:r>
    </w:p>
    <w:p w14:paraId="7FA672A0" w14:textId="77777777" w:rsidR="0064772C" w:rsidRPr="00771E6E" w:rsidRDefault="0064772C" w:rsidP="001840E8">
      <w:pPr>
        <w:rPr>
          <w:b/>
        </w:rPr>
      </w:pPr>
    </w:p>
    <w:p w14:paraId="2F8867A0" w14:textId="77777777" w:rsidR="005C33B3" w:rsidRPr="00771E6E" w:rsidRDefault="005C33B3" w:rsidP="00651627">
      <w:pPr>
        <w:ind w:left="709" w:hanging="709"/>
        <w:rPr>
          <w:rStyle w:val="Hyperlink"/>
          <w:color w:val="000000" w:themeColor="text1"/>
        </w:rPr>
      </w:pPr>
      <w:r w:rsidRPr="00771E6E">
        <w:t xml:space="preserve">2.1 Gentile da </w:t>
      </w:r>
      <w:proofErr w:type="spellStart"/>
      <w:r w:rsidRPr="00771E6E">
        <w:t>Fabriano</w:t>
      </w:r>
      <w:proofErr w:type="spellEnd"/>
      <w:r w:rsidRPr="00771E6E">
        <w:t xml:space="preserve">, Virgin and Child, 1426, Museo </w:t>
      </w:r>
      <w:proofErr w:type="spellStart"/>
      <w:r w:rsidRPr="00771E6E">
        <w:t>Diocesiano</w:t>
      </w:r>
      <w:proofErr w:type="spellEnd"/>
      <w:r w:rsidR="002B317F" w:rsidRPr="00771E6E">
        <w:t xml:space="preserve">, </w:t>
      </w:r>
      <w:r w:rsidRPr="00771E6E">
        <w:t>Velletri.</w:t>
      </w:r>
    </w:p>
    <w:p w14:paraId="1EFC3693" w14:textId="77777777" w:rsidR="005C33B3" w:rsidRPr="00771E6E" w:rsidRDefault="005C33B3" w:rsidP="00651627">
      <w:pPr>
        <w:ind w:left="709" w:hanging="709"/>
        <w:rPr>
          <w:rStyle w:val="Hyperlink"/>
          <w:color w:val="000000" w:themeColor="text1"/>
          <w:u w:val="none"/>
        </w:rPr>
      </w:pPr>
      <w:r w:rsidRPr="00771E6E">
        <w:t xml:space="preserve">2.2 </w:t>
      </w:r>
      <w:proofErr w:type="spellStart"/>
      <w:r w:rsidRPr="00771E6E">
        <w:t>Nardo</w:t>
      </w:r>
      <w:proofErr w:type="spellEnd"/>
      <w:r w:rsidRPr="00771E6E">
        <w:t xml:space="preserve"> di </w:t>
      </w:r>
      <w:proofErr w:type="spellStart"/>
      <w:r w:rsidRPr="00771E6E">
        <w:t>Cione</w:t>
      </w:r>
      <w:proofErr w:type="spellEnd"/>
      <w:r w:rsidRPr="00771E6E">
        <w:t xml:space="preserve">, Paradise, ca. 1355, </w:t>
      </w:r>
      <w:proofErr w:type="spellStart"/>
      <w:r w:rsidRPr="00771E6E">
        <w:t>Strozzi</w:t>
      </w:r>
      <w:proofErr w:type="spellEnd"/>
      <w:r w:rsidRPr="00771E6E">
        <w:t xml:space="preserve"> Chapel, Santa Maria Novella, Florence</w:t>
      </w:r>
    </w:p>
    <w:p w14:paraId="4CC669E3" w14:textId="77777777" w:rsidR="005C33B3" w:rsidRPr="00771E6E" w:rsidRDefault="005C33B3" w:rsidP="00651627">
      <w:pPr>
        <w:ind w:left="709" w:hanging="709"/>
      </w:pPr>
      <w:r w:rsidRPr="00771E6E">
        <w:rPr>
          <w:rStyle w:val="Hyperlink"/>
          <w:color w:val="000000" w:themeColor="text1"/>
          <w:u w:val="none"/>
        </w:rPr>
        <w:t xml:space="preserve">2.3 </w:t>
      </w:r>
      <w:r w:rsidRPr="00771E6E">
        <w:t xml:space="preserve">Giotto, Annunciation to Saint Anne, 1303-06, </w:t>
      </w:r>
      <w:proofErr w:type="spellStart"/>
      <w:r w:rsidRPr="00771E6E">
        <w:t>Scrovegni</w:t>
      </w:r>
      <w:proofErr w:type="spellEnd"/>
      <w:r w:rsidRPr="00771E6E">
        <w:t xml:space="preserve"> Chapel (Arena Chapel), Padua.</w:t>
      </w:r>
    </w:p>
    <w:p w14:paraId="72D9040D" w14:textId="77777777" w:rsidR="005C33B3" w:rsidRPr="00771E6E" w:rsidRDefault="005C33B3" w:rsidP="00651627">
      <w:pPr>
        <w:ind w:left="709" w:hanging="709"/>
      </w:pPr>
      <w:r w:rsidRPr="00771E6E">
        <w:t>2.4 Donatello, Pulpit, 1428, Cathedral, Prato</w:t>
      </w:r>
      <w:r w:rsidR="002B317F" w:rsidRPr="00771E6E">
        <w:t>.</w:t>
      </w:r>
    </w:p>
    <w:p w14:paraId="0A7D57B8" w14:textId="77777777" w:rsidR="005C33B3" w:rsidRPr="00771E6E" w:rsidRDefault="005C33B3" w:rsidP="00651627">
      <w:pPr>
        <w:ind w:left="709" w:hanging="709"/>
      </w:pPr>
      <w:r w:rsidRPr="00771E6E">
        <w:t xml:space="preserve">2.5 Donatello, Putto with tambourine from the Baptismal Font in Siena, 1429, Staatliche </w:t>
      </w:r>
      <w:proofErr w:type="spellStart"/>
      <w:r w:rsidRPr="00771E6E">
        <w:t>Museen</w:t>
      </w:r>
      <w:proofErr w:type="spellEnd"/>
      <w:r w:rsidRPr="00771E6E">
        <w:t>, Berlin.</w:t>
      </w:r>
    </w:p>
    <w:p w14:paraId="059ADE07" w14:textId="77777777" w:rsidR="005C33B3" w:rsidRPr="00771E6E" w:rsidRDefault="005C33B3" w:rsidP="00651627">
      <w:pPr>
        <w:ind w:left="709" w:hanging="709"/>
      </w:pPr>
      <w:r w:rsidRPr="00771E6E">
        <w:t>2.6 Donatello and workshop, Singing Angels, 1447-50, High Altar, Basilica del Santo, Padua.</w:t>
      </w:r>
    </w:p>
    <w:p w14:paraId="21445E27" w14:textId="77777777" w:rsidR="005C33B3" w:rsidRPr="00771E6E" w:rsidRDefault="005C33B3" w:rsidP="00651627">
      <w:pPr>
        <w:ind w:left="709" w:hanging="709"/>
      </w:pPr>
      <w:r w:rsidRPr="00771E6E">
        <w:t xml:space="preserve">2.7 Detail of the First Page of </w:t>
      </w:r>
      <w:r w:rsidRPr="00771E6E">
        <w:rPr>
          <w:i/>
        </w:rPr>
        <w:t xml:space="preserve">Opus </w:t>
      </w:r>
      <w:proofErr w:type="spellStart"/>
      <w:r w:rsidRPr="00771E6E">
        <w:rPr>
          <w:i/>
        </w:rPr>
        <w:t>musices</w:t>
      </w:r>
      <w:proofErr w:type="spellEnd"/>
      <w:r w:rsidRPr="00771E6E">
        <w:rPr>
          <w:i/>
        </w:rPr>
        <w:t xml:space="preserve"> Joan[n]</w:t>
      </w:r>
      <w:proofErr w:type="spellStart"/>
      <w:r w:rsidRPr="00771E6E">
        <w:rPr>
          <w:i/>
        </w:rPr>
        <w:t>isTinctoris</w:t>
      </w:r>
      <w:proofErr w:type="spellEnd"/>
      <w:r w:rsidRPr="00771E6E">
        <w:t xml:space="preserve"> (MS. 835 fol.2r), from Naples, ca. 1483, </w:t>
      </w:r>
      <w:proofErr w:type="spellStart"/>
      <w:r w:rsidRPr="00771E6E">
        <w:t>Biblioteca</w:t>
      </w:r>
      <w:proofErr w:type="spellEnd"/>
      <w:r w:rsidRPr="00771E6E">
        <w:t xml:space="preserve"> General </w:t>
      </w:r>
      <w:proofErr w:type="spellStart"/>
      <w:r w:rsidRPr="00771E6E">
        <w:t>i</w:t>
      </w:r>
      <w:proofErr w:type="spellEnd"/>
      <w:r w:rsidRPr="00771E6E">
        <w:t xml:space="preserve"> </w:t>
      </w:r>
      <w:proofErr w:type="spellStart"/>
      <w:r w:rsidRPr="00771E6E">
        <w:t>Històrica</w:t>
      </w:r>
      <w:proofErr w:type="spellEnd"/>
      <w:r w:rsidRPr="00771E6E">
        <w:t xml:space="preserve"> de la </w:t>
      </w:r>
      <w:proofErr w:type="spellStart"/>
      <w:r w:rsidRPr="00771E6E">
        <w:t>Universitat</w:t>
      </w:r>
      <w:proofErr w:type="spellEnd"/>
      <w:r w:rsidRPr="00771E6E">
        <w:t>, Valencia.</w:t>
      </w:r>
    </w:p>
    <w:p w14:paraId="56DCCD11" w14:textId="77777777" w:rsidR="005C33B3" w:rsidRPr="00771E6E" w:rsidRDefault="005C33B3" w:rsidP="00651627">
      <w:pPr>
        <w:ind w:left="709" w:hanging="709"/>
      </w:pPr>
      <w:r w:rsidRPr="00771E6E">
        <w:t>2.8 Fra Angelico, Last Judgement, ca. 1431, Museo di San Marco, Florence.</w:t>
      </w:r>
    </w:p>
    <w:p w14:paraId="6FB3E947" w14:textId="77777777" w:rsidR="005C33B3" w:rsidRPr="00771E6E" w:rsidRDefault="005C33B3" w:rsidP="00651627">
      <w:pPr>
        <w:ind w:left="709" w:hanging="709"/>
      </w:pPr>
      <w:r w:rsidRPr="00771E6E">
        <w:t xml:space="preserve">2.9 Luca </w:t>
      </w:r>
      <w:proofErr w:type="spellStart"/>
      <w:r w:rsidRPr="00771E6E">
        <w:t>della</w:t>
      </w:r>
      <w:proofErr w:type="spellEnd"/>
      <w:r w:rsidRPr="00771E6E">
        <w:t xml:space="preserve"> Robbia, Nativity with Gloria in Excelsis, ca. 1470, Museum of Fine Arts, Boston.</w:t>
      </w:r>
    </w:p>
    <w:p w14:paraId="64093C68" w14:textId="77777777" w:rsidR="005C33B3" w:rsidRPr="00771E6E" w:rsidRDefault="005C33B3" w:rsidP="00651627">
      <w:pPr>
        <w:ind w:left="709" w:hanging="709"/>
      </w:pPr>
      <w:r w:rsidRPr="00771E6E">
        <w:t xml:space="preserve">2.10 Luca </w:t>
      </w:r>
      <w:proofErr w:type="spellStart"/>
      <w:r w:rsidRPr="00771E6E">
        <w:t>della</w:t>
      </w:r>
      <w:proofErr w:type="spellEnd"/>
      <w:r w:rsidRPr="00771E6E">
        <w:t xml:space="preserve"> Robbia, </w:t>
      </w:r>
      <w:proofErr w:type="spellStart"/>
      <w:r w:rsidRPr="00771E6E">
        <w:t>Cantoria</w:t>
      </w:r>
      <w:proofErr w:type="spellEnd"/>
      <w:r w:rsidRPr="00771E6E">
        <w:t xml:space="preserve"> for Florence Cathedral, 1432-38, Museo </w:t>
      </w:r>
      <w:proofErr w:type="spellStart"/>
      <w:r w:rsidRPr="00771E6E">
        <w:t>dell’Opera</w:t>
      </w:r>
      <w:proofErr w:type="spellEnd"/>
      <w:r w:rsidRPr="00771E6E">
        <w:t xml:space="preserve"> del Duomo, Florence.</w:t>
      </w:r>
    </w:p>
    <w:p w14:paraId="515F461C" w14:textId="77777777" w:rsidR="005C33B3" w:rsidRPr="00771E6E" w:rsidRDefault="005C33B3" w:rsidP="00651627">
      <w:pPr>
        <w:ind w:left="709" w:hanging="709"/>
      </w:pPr>
      <w:r w:rsidRPr="00771E6E">
        <w:t>2.11 Fra Angelico, Christ glorified in the court of Heaven (part of Saint Domenico altarpiece for San Domenico at Fiesole), ca. 1423-4, National Gallery, London.</w:t>
      </w:r>
    </w:p>
    <w:p w14:paraId="4F118254" w14:textId="77777777" w:rsidR="005C33B3" w:rsidRPr="00771E6E" w:rsidRDefault="005C33B3" w:rsidP="00651627">
      <w:pPr>
        <w:ind w:left="709" w:hanging="709"/>
      </w:pPr>
      <w:r w:rsidRPr="00771E6E">
        <w:t xml:space="preserve">2.12 Matteo di Giovanni, The Assumption of the Virgin for </w:t>
      </w:r>
      <w:proofErr w:type="spellStart"/>
      <w:r w:rsidRPr="00771E6E">
        <w:t>Sant’Agostino</w:t>
      </w:r>
      <w:proofErr w:type="spellEnd"/>
      <w:r w:rsidRPr="00771E6E">
        <w:t xml:space="preserve"> in </w:t>
      </w:r>
      <w:proofErr w:type="spellStart"/>
      <w:r w:rsidRPr="00771E6E">
        <w:t>Asciano</w:t>
      </w:r>
      <w:proofErr w:type="spellEnd"/>
      <w:r w:rsidRPr="00771E6E">
        <w:t xml:space="preserve"> (Siena), ca. 1474, National Gallery, London.</w:t>
      </w:r>
    </w:p>
    <w:p w14:paraId="6DC1A867" w14:textId="77777777" w:rsidR="005C33B3" w:rsidRPr="00771E6E" w:rsidRDefault="005C33B3" w:rsidP="00651627">
      <w:pPr>
        <w:ind w:left="709" w:hanging="709"/>
        <w:rPr>
          <w:i/>
          <w:iCs/>
        </w:rPr>
      </w:pPr>
      <w:r w:rsidRPr="00771E6E">
        <w:t xml:space="preserve">2.13 </w:t>
      </w:r>
      <w:r w:rsidRPr="00771E6E">
        <w:rPr>
          <w:iCs/>
        </w:rPr>
        <w:t xml:space="preserve">Master of the Fiesole Epiphany, Coronation of the Virgin, ca. 1470-80, Galleria </w:t>
      </w:r>
      <w:proofErr w:type="spellStart"/>
      <w:r w:rsidRPr="00771E6E">
        <w:rPr>
          <w:iCs/>
        </w:rPr>
        <w:t>dell’Accademia</w:t>
      </w:r>
      <w:proofErr w:type="spellEnd"/>
      <w:r w:rsidRPr="00771E6E">
        <w:rPr>
          <w:iCs/>
        </w:rPr>
        <w:t>, Florence.</w:t>
      </w:r>
    </w:p>
    <w:p w14:paraId="39667A18" w14:textId="77777777" w:rsidR="005C33B3" w:rsidRPr="00771E6E" w:rsidRDefault="005C33B3" w:rsidP="00651627">
      <w:pPr>
        <w:ind w:left="709" w:hanging="709"/>
      </w:pPr>
      <w:r w:rsidRPr="00771E6E">
        <w:t>2.14 Virgin and Child, S</w:t>
      </w:r>
      <w:r w:rsidR="002B317F" w:rsidRPr="00771E6E">
        <w:t>ain</w:t>
      </w:r>
      <w:r w:rsidRPr="00771E6E">
        <w:t xml:space="preserve">t </w:t>
      </w:r>
      <w:proofErr w:type="spellStart"/>
      <w:r w:rsidRPr="00771E6E">
        <w:t>Roch</w:t>
      </w:r>
      <w:proofErr w:type="spellEnd"/>
      <w:r w:rsidRPr="00771E6E">
        <w:t xml:space="preserve"> and Sebastian, Veneto ca. 1500-10, Fitzwilliam Museum, Cambridge.</w:t>
      </w:r>
    </w:p>
    <w:p w14:paraId="2B66BC2B" w14:textId="77777777" w:rsidR="005C33B3" w:rsidRPr="00771E6E" w:rsidRDefault="005C33B3" w:rsidP="00651627">
      <w:pPr>
        <w:ind w:left="709" w:hanging="709"/>
      </w:pPr>
      <w:r w:rsidRPr="00771E6E">
        <w:t>2.15 Fra Angelico, Resurrection (detail), 1439-44, San Marco, Florence.</w:t>
      </w:r>
    </w:p>
    <w:p w14:paraId="1F4D821C" w14:textId="77777777" w:rsidR="005C33B3" w:rsidRPr="00771E6E" w:rsidRDefault="005C33B3" w:rsidP="00651627">
      <w:pPr>
        <w:ind w:left="709" w:hanging="709"/>
      </w:pPr>
      <w:r w:rsidRPr="00771E6E">
        <w:rPr>
          <w:rFonts w:asciiTheme="majorBidi" w:hAnsiTheme="majorBidi" w:cstheme="majorBidi"/>
          <w:noProof/>
        </w:rPr>
        <w:t xml:space="preserve">2.16 </w:t>
      </w:r>
      <w:r w:rsidRPr="00771E6E">
        <w:t>Fra Angelico, Last Judgement</w:t>
      </w:r>
      <w:r w:rsidR="00682832" w:rsidRPr="00771E6E">
        <w:t xml:space="preserve"> (</w:t>
      </w:r>
      <w:r w:rsidRPr="00771E6E">
        <w:t>detail</w:t>
      </w:r>
      <w:r w:rsidR="00682832" w:rsidRPr="00771E6E">
        <w:t>)</w:t>
      </w:r>
      <w:r w:rsidRPr="00771E6E">
        <w:t>, ca. 1431, San Marco, Florence.</w:t>
      </w:r>
    </w:p>
    <w:p w14:paraId="7B852065" w14:textId="77777777" w:rsidR="005C33B3" w:rsidRPr="00771E6E" w:rsidRDefault="005C33B3" w:rsidP="00651627">
      <w:pPr>
        <w:ind w:left="709" w:hanging="709"/>
      </w:pPr>
      <w:r w:rsidRPr="00771E6E">
        <w:t>2.17 Guardian Angel with Kneeling Man, ca. 1460, Book of Hours from Naples (Ms. Ludwig IX 12, fol. 305v), The J. Paul Getty Museum, Los Angeles.</w:t>
      </w:r>
    </w:p>
    <w:p w14:paraId="3D38B3AF" w14:textId="77777777" w:rsidR="005C33B3" w:rsidRPr="00771E6E" w:rsidRDefault="005C33B3" w:rsidP="00651627">
      <w:pPr>
        <w:ind w:left="709" w:hanging="709"/>
      </w:pPr>
      <w:r w:rsidRPr="00771E6E">
        <w:t xml:space="preserve">2.18 </w:t>
      </w:r>
      <w:proofErr w:type="spellStart"/>
      <w:r w:rsidRPr="00771E6E">
        <w:t>Benozzo</w:t>
      </w:r>
      <w:proofErr w:type="spellEnd"/>
      <w:r w:rsidRPr="00771E6E">
        <w:t xml:space="preserve"> </w:t>
      </w:r>
      <w:proofErr w:type="spellStart"/>
      <w:r w:rsidRPr="00771E6E">
        <w:t>Gozzoli</w:t>
      </w:r>
      <w:proofErr w:type="spellEnd"/>
      <w:r w:rsidRPr="00771E6E">
        <w:t xml:space="preserve">, Raphael and Tobias, 1464-65, </w:t>
      </w:r>
      <w:proofErr w:type="spellStart"/>
      <w:r w:rsidRPr="00771E6E">
        <w:t>Sant’Agostino</w:t>
      </w:r>
      <w:proofErr w:type="spellEnd"/>
      <w:r w:rsidRPr="00771E6E">
        <w:t xml:space="preserve">, San </w:t>
      </w:r>
      <w:proofErr w:type="spellStart"/>
      <w:r w:rsidRPr="00771E6E">
        <w:t>Gimignano</w:t>
      </w:r>
      <w:proofErr w:type="spellEnd"/>
      <w:r w:rsidRPr="00771E6E">
        <w:t>.</w:t>
      </w:r>
    </w:p>
    <w:p w14:paraId="4352171E" w14:textId="77777777" w:rsidR="005C33B3" w:rsidRPr="00771E6E" w:rsidRDefault="005C33B3" w:rsidP="00651627">
      <w:pPr>
        <w:ind w:left="709" w:hanging="709"/>
      </w:pPr>
      <w:r w:rsidRPr="00771E6E">
        <w:lastRenderedPageBreak/>
        <w:t xml:space="preserve">2.19 </w:t>
      </w:r>
      <w:proofErr w:type="spellStart"/>
      <w:r w:rsidRPr="00771E6E">
        <w:t>Cima</w:t>
      </w:r>
      <w:proofErr w:type="spellEnd"/>
      <w:r w:rsidRPr="00771E6E">
        <w:t xml:space="preserve"> da Conegliano, Raphael and Tobias with Saints (detail), 1514-15, </w:t>
      </w:r>
      <w:proofErr w:type="spellStart"/>
      <w:r w:rsidRPr="00771E6E">
        <w:t>Gallerie</w:t>
      </w:r>
      <w:proofErr w:type="spellEnd"/>
      <w:r w:rsidRPr="00771E6E">
        <w:t xml:space="preserve"> </w:t>
      </w:r>
      <w:proofErr w:type="spellStart"/>
      <w:r w:rsidRPr="00771E6E">
        <w:t>dell’Accademia</w:t>
      </w:r>
      <w:proofErr w:type="spellEnd"/>
      <w:r w:rsidRPr="00771E6E">
        <w:t>, Venice.</w:t>
      </w:r>
    </w:p>
    <w:p w14:paraId="3F4DABDF" w14:textId="77777777" w:rsidR="005C33B3" w:rsidRPr="00771E6E" w:rsidRDefault="005C33B3" w:rsidP="00651627">
      <w:pPr>
        <w:ind w:left="709" w:hanging="709"/>
      </w:pPr>
      <w:r w:rsidRPr="00771E6E">
        <w:t xml:space="preserve">2.20 Giorgio Giulio </w:t>
      </w:r>
      <w:proofErr w:type="spellStart"/>
      <w:r w:rsidRPr="00771E6E">
        <w:t>Clovio</w:t>
      </w:r>
      <w:proofErr w:type="spellEnd"/>
      <w:r w:rsidRPr="00771E6E">
        <w:t>, Raphael and Tobias, ca. 1508-38, Stuart de Rothesay Hours (MS 20927, f. 172r), British Library, London.</w:t>
      </w:r>
    </w:p>
    <w:p w14:paraId="21C758EA" w14:textId="77777777" w:rsidR="005C33B3" w:rsidRPr="00771E6E" w:rsidRDefault="005C33B3" w:rsidP="00651627">
      <w:pPr>
        <w:ind w:left="709" w:hanging="709"/>
      </w:pPr>
      <w:r w:rsidRPr="00771E6E">
        <w:t xml:space="preserve">2.21 Francesco </w:t>
      </w:r>
      <w:proofErr w:type="spellStart"/>
      <w:r w:rsidRPr="00771E6E">
        <w:t>Botticini</w:t>
      </w:r>
      <w:proofErr w:type="spellEnd"/>
      <w:r w:rsidRPr="00771E6E">
        <w:t>, Raphael and Tobias, 1480-90, Sacristy of Santa Maria del Fiore, Florence.</w:t>
      </w:r>
    </w:p>
    <w:p w14:paraId="77AAC6BF" w14:textId="77777777" w:rsidR="005C33B3" w:rsidRPr="00771E6E" w:rsidRDefault="005C33B3" w:rsidP="00651627">
      <w:pPr>
        <w:ind w:left="709" w:hanging="709"/>
        <w:rPr>
          <w:lang w:val="it-IT"/>
        </w:rPr>
      </w:pPr>
      <w:r w:rsidRPr="00771E6E">
        <w:t xml:space="preserve">2.22 Bartolomeo </w:t>
      </w:r>
      <w:proofErr w:type="spellStart"/>
      <w:r w:rsidRPr="00771E6E">
        <w:t>della</w:t>
      </w:r>
      <w:proofErr w:type="spellEnd"/>
      <w:r w:rsidRPr="00771E6E">
        <w:t xml:space="preserve"> </w:t>
      </w:r>
      <w:proofErr w:type="spellStart"/>
      <w:r w:rsidRPr="00771E6E">
        <w:t>Gatta</w:t>
      </w:r>
      <w:proofErr w:type="spellEnd"/>
      <w:r w:rsidRPr="00771E6E">
        <w:t xml:space="preserve"> (Pietro Dei), Archangel Michael, mid-1480s</w:t>
      </w:r>
      <w:r w:rsidRPr="00771E6E">
        <w:rPr>
          <w:lang w:val="it-IT"/>
        </w:rPr>
        <w:t>, Pinacoteca Comunale, Castiglion Fiorentino</w:t>
      </w:r>
      <w:r w:rsidRPr="00771E6E">
        <w:t xml:space="preserve">. </w:t>
      </w:r>
    </w:p>
    <w:p w14:paraId="6D978100" w14:textId="77777777" w:rsidR="005C33B3" w:rsidRPr="00771E6E" w:rsidRDefault="005C33B3" w:rsidP="00651627">
      <w:pPr>
        <w:ind w:left="709" w:hanging="709"/>
      </w:pPr>
      <w:r w:rsidRPr="00771E6E">
        <w:rPr>
          <w:lang w:val="it-IT"/>
        </w:rPr>
        <w:t xml:space="preserve">2.23 </w:t>
      </w:r>
      <w:r w:rsidRPr="00771E6E">
        <w:t xml:space="preserve">Jacopo del </w:t>
      </w:r>
      <w:proofErr w:type="spellStart"/>
      <w:r w:rsidRPr="00771E6E">
        <w:t>Sellaio</w:t>
      </w:r>
      <w:proofErr w:type="spellEnd"/>
      <w:r w:rsidRPr="00771E6E">
        <w:t xml:space="preserve">, Adoration of the Child, ca. 1493, Galleria G. Franchetti </w:t>
      </w:r>
      <w:proofErr w:type="spellStart"/>
      <w:r w:rsidRPr="00771E6E">
        <w:t>alla</w:t>
      </w:r>
      <w:proofErr w:type="spellEnd"/>
      <w:r w:rsidRPr="00771E6E">
        <w:t xml:space="preserve"> Ca’ </w:t>
      </w:r>
      <w:proofErr w:type="spellStart"/>
      <w:r w:rsidRPr="00771E6E">
        <w:t>D’Oro</w:t>
      </w:r>
      <w:proofErr w:type="spellEnd"/>
      <w:r w:rsidRPr="00771E6E">
        <w:t>, Venice.</w:t>
      </w:r>
    </w:p>
    <w:p w14:paraId="683CC154" w14:textId="77777777" w:rsidR="005C33B3" w:rsidRPr="00771E6E" w:rsidRDefault="005C33B3" w:rsidP="00651627">
      <w:pPr>
        <w:ind w:left="709" w:hanging="709"/>
      </w:pPr>
      <w:r w:rsidRPr="00771E6E">
        <w:t xml:space="preserve">2.24 </w:t>
      </w:r>
      <w:proofErr w:type="spellStart"/>
      <w:r w:rsidRPr="00771E6E">
        <w:t>Gherardo</w:t>
      </w:r>
      <w:proofErr w:type="spellEnd"/>
      <w:r w:rsidRPr="00771E6E">
        <w:t xml:space="preserve"> di Giovanni del Fora (</w:t>
      </w:r>
      <w:proofErr w:type="spellStart"/>
      <w:r w:rsidRPr="00771E6E">
        <w:t>attr</w:t>
      </w:r>
      <w:proofErr w:type="spellEnd"/>
      <w:r w:rsidRPr="00771E6E">
        <w:t>. to), Raphael and Tobias, ca. 1475, Allen Memorial Art Museum, Oberlin (OH).</w:t>
      </w:r>
    </w:p>
    <w:p w14:paraId="7DD195BE" w14:textId="77777777" w:rsidR="005C33B3" w:rsidRPr="00771E6E" w:rsidRDefault="005C33B3" w:rsidP="00651627">
      <w:pPr>
        <w:ind w:left="709" w:hanging="709"/>
      </w:pPr>
      <w:r w:rsidRPr="00771E6E">
        <w:t xml:space="preserve">2.25 Fra Bartolomeo, Mystic Marriage of Saint Catherine, 1512, Galleria </w:t>
      </w:r>
      <w:proofErr w:type="spellStart"/>
      <w:r w:rsidRPr="00771E6E">
        <w:t>Palatina</w:t>
      </w:r>
      <w:proofErr w:type="spellEnd"/>
      <w:r w:rsidRPr="00771E6E">
        <w:t>, Florence.</w:t>
      </w:r>
    </w:p>
    <w:p w14:paraId="6C6A9F3E" w14:textId="77777777" w:rsidR="005C33B3" w:rsidRPr="00771E6E" w:rsidRDefault="005C33B3" w:rsidP="00651627">
      <w:pPr>
        <w:ind w:left="709" w:hanging="709"/>
        <w:rPr>
          <w:rStyle w:val="Hyperlink"/>
          <w:color w:val="000000" w:themeColor="text1"/>
        </w:rPr>
      </w:pPr>
      <w:r w:rsidRPr="00771E6E">
        <w:t xml:space="preserve">2.26 Andrea </w:t>
      </w:r>
      <w:proofErr w:type="spellStart"/>
      <w:r w:rsidRPr="00771E6E">
        <w:t>della</w:t>
      </w:r>
      <w:proofErr w:type="spellEnd"/>
      <w:r w:rsidRPr="00771E6E">
        <w:t xml:space="preserve"> Robbia, Boy with a Pipe, late 15</w:t>
      </w:r>
      <w:r w:rsidRPr="00771E6E">
        <w:rPr>
          <w:vertAlign w:val="superscript"/>
        </w:rPr>
        <w:t>th</w:t>
      </w:r>
      <w:r w:rsidRPr="00771E6E">
        <w:t xml:space="preserve"> or early 16</w:t>
      </w:r>
      <w:r w:rsidRPr="00771E6E">
        <w:rPr>
          <w:vertAlign w:val="superscript"/>
        </w:rPr>
        <w:t>th</w:t>
      </w:r>
      <w:r w:rsidRPr="00771E6E">
        <w:t xml:space="preserve"> century, The State Hermitage Museum, Saint Petersburg.</w:t>
      </w:r>
    </w:p>
    <w:p w14:paraId="516C0C3A" w14:textId="77777777" w:rsidR="005C33B3" w:rsidRPr="00771E6E" w:rsidRDefault="005C33B3" w:rsidP="00651627">
      <w:pPr>
        <w:ind w:left="709" w:hanging="709"/>
        <w:rPr>
          <w:u w:val="single"/>
        </w:rPr>
      </w:pPr>
      <w:r w:rsidRPr="00771E6E">
        <w:rPr>
          <w:rStyle w:val="Hyperlink"/>
          <w:color w:val="000000" w:themeColor="text1"/>
          <w:u w:val="none"/>
        </w:rPr>
        <w:t xml:space="preserve">2.27 </w:t>
      </w:r>
      <w:r w:rsidRPr="00771E6E">
        <w:t xml:space="preserve">Andrea </w:t>
      </w:r>
      <w:proofErr w:type="spellStart"/>
      <w:r w:rsidRPr="00771E6E">
        <w:t>della</w:t>
      </w:r>
      <w:proofErr w:type="spellEnd"/>
      <w:r w:rsidRPr="00771E6E">
        <w:t xml:space="preserve"> Robbia, Boy playing the Bagpipes, ca. 1490-1520, Victoria and Albert Museum, London.</w:t>
      </w:r>
    </w:p>
    <w:p w14:paraId="391DECE8" w14:textId="77777777" w:rsidR="005C33B3" w:rsidRPr="00771E6E" w:rsidRDefault="005C33B3" w:rsidP="00651627">
      <w:pPr>
        <w:ind w:left="709" w:hanging="709"/>
      </w:pPr>
      <w:r w:rsidRPr="00771E6E">
        <w:t xml:space="preserve">2.28 Workshop of Giovanni </w:t>
      </w:r>
      <w:proofErr w:type="spellStart"/>
      <w:r w:rsidRPr="00771E6E">
        <w:t>della</w:t>
      </w:r>
      <w:proofErr w:type="spellEnd"/>
      <w:r w:rsidRPr="00771E6E">
        <w:t xml:space="preserve"> Robbia (</w:t>
      </w:r>
      <w:proofErr w:type="spellStart"/>
      <w:r w:rsidRPr="00771E6E">
        <w:t>attr</w:t>
      </w:r>
      <w:proofErr w:type="spellEnd"/>
      <w:r w:rsidRPr="00771E6E">
        <w:t>. to), Boy playing the Lute, first half 16</w:t>
      </w:r>
      <w:r w:rsidRPr="00771E6E">
        <w:rPr>
          <w:vertAlign w:val="superscript"/>
        </w:rPr>
        <w:t>th</w:t>
      </w:r>
      <w:r w:rsidRPr="00771E6E">
        <w:t xml:space="preserve"> c., Location Unknown.</w:t>
      </w:r>
    </w:p>
    <w:p w14:paraId="4C163FF8" w14:textId="77777777" w:rsidR="005C33B3" w:rsidRPr="00771E6E" w:rsidRDefault="005C33B3" w:rsidP="00651627">
      <w:pPr>
        <w:ind w:left="709" w:hanging="709"/>
      </w:pPr>
      <w:r w:rsidRPr="00771E6E">
        <w:t xml:space="preserve">2.29 Workshop of Della </w:t>
      </w:r>
      <w:proofErr w:type="spellStart"/>
      <w:r w:rsidRPr="00771E6E">
        <w:t>Robbias</w:t>
      </w:r>
      <w:proofErr w:type="spellEnd"/>
      <w:r w:rsidRPr="00771E6E">
        <w:t xml:space="preserve"> or follower, Angel with a Tambourine, ca. 1480-99, Casa Buonarroti, Florence.</w:t>
      </w:r>
    </w:p>
    <w:p w14:paraId="0CA0F612" w14:textId="77777777" w:rsidR="005C33B3" w:rsidRPr="00771E6E" w:rsidRDefault="005C33B3" w:rsidP="00651627">
      <w:pPr>
        <w:ind w:left="709" w:hanging="709"/>
      </w:pPr>
      <w:r w:rsidRPr="00771E6E">
        <w:t xml:space="preserve">2.30 Giovanni </w:t>
      </w:r>
      <w:proofErr w:type="spellStart"/>
      <w:r w:rsidRPr="00771E6E">
        <w:t>della</w:t>
      </w:r>
      <w:proofErr w:type="spellEnd"/>
      <w:r w:rsidRPr="00771E6E">
        <w:t xml:space="preserve"> Robbia, San Lucchese Altarpiece (detail), 1517, San Lucchese, </w:t>
      </w:r>
      <w:proofErr w:type="spellStart"/>
      <w:r w:rsidRPr="00771E6E">
        <w:t>Poggibonsi</w:t>
      </w:r>
      <w:proofErr w:type="spellEnd"/>
      <w:r w:rsidRPr="00771E6E">
        <w:t>.</w:t>
      </w:r>
    </w:p>
    <w:p w14:paraId="160CD660" w14:textId="77777777" w:rsidR="005C33B3" w:rsidRPr="00771E6E" w:rsidRDefault="005C33B3" w:rsidP="00651627">
      <w:pPr>
        <w:ind w:left="709" w:hanging="709"/>
      </w:pPr>
      <w:r w:rsidRPr="00771E6E">
        <w:t xml:space="preserve">2.31 Workshop of Andrea </w:t>
      </w:r>
      <w:proofErr w:type="spellStart"/>
      <w:r w:rsidRPr="00771E6E">
        <w:t>della</w:t>
      </w:r>
      <w:proofErr w:type="spellEnd"/>
      <w:r w:rsidRPr="00771E6E">
        <w:t xml:space="preserve"> Robbia, The Assumption of the Virgin (detail), late 15</w:t>
      </w:r>
      <w:r w:rsidRPr="00771E6E">
        <w:rPr>
          <w:vertAlign w:val="superscript"/>
        </w:rPr>
        <w:t>th</w:t>
      </w:r>
      <w:r w:rsidRPr="00771E6E">
        <w:t>-early 16</w:t>
      </w:r>
      <w:r w:rsidRPr="00771E6E">
        <w:rPr>
          <w:vertAlign w:val="superscript"/>
        </w:rPr>
        <w:t>th</w:t>
      </w:r>
      <w:r w:rsidRPr="00771E6E">
        <w:t xml:space="preserve"> c., The Metropolitan Museum, New York.</w:t>
      </w:r>
    </w:p>
    <w:p w14:paraId="0588DF72" w14:textId="77777777" w:rsidR="005C33B3" w:rsidRPr="00771E6E" w:rsidRDefault="005C33B3" w:rsidP="00651627">
      <w:pPr>
        <w:ind w:left="709" w:hanging="709"/>
      </w:pPr>
      <w:r w:rsidRPr="00771E6E">
        <w:t>2.32 Boy playing the Bagpipes, ca. 1425-1450, Book of Hours prob. from Veneto (MS M.1089, fol. 76r), The Morgan Library &amp; Museum, New York.</w:t>
      </w:r>
    </w:p>
    <w:p w14:paraId="6EF0BF39" w14:textId="77777777" w:rsidR="005C33B3" w:rsidRPr="00771E6E" w:rsidRDefault="005C33B3" w:rsidP="00651627">
      <w:pPr>
        <w:ind w:left="709" w:hanging="709"/>
        <w:rPr>
          <w:rStyle w:val="Hyperlink"/>
          <w:color w:val="auto"/>
          <w:u w:val="none"/>
        </w:rPr>
      </w:pPr>
      <w:r w:rsidRPr="00771E6E">
        <w:t>2.33 Boy playing the Bagpipes, ca. 1470, Book of Hours prob. from Milan (MS M.454, fol. 210r), The Morgan Library &amp; Museum, New York.</w:t>
      </w:r>
    </w:p>
    <w:p w14:paraId="24E4F15C" w14:textId="77777777" w:rsidR="005C33B3" w:rsidRPr="00771E6E" w:rsidRDefault="005C33B3" w:rsidP="00651627">
      <w:pPr>
        <w:ind w:left="709" w:hanging="709"/>
      </w:pPr>
      <w:r w:rsidRPr="00771E6E">
        <w:t>2.34 Relief after Donatello and frame by Paolo Schiavo, Virgin and Child, late ca. 1435-39, Victoria and Albert Museum, London</w:t>
      </w:r>
      <w:r w:rsidRPr="00771E6E">
        <w:rPr>
          <w:noProof/>
        </w:rPr>
        <w:t>.</w:t>
      </w:r>
    </w:p>
    <w:p w14:paraId="7E0C0F70" w14:textId="77777777" w:rsidR="00651627" w:rsidRPr="00771E6E" w:rsidRDefault="005C33B3" w:rsidP="00651627">
      <w:pPr>
        <w:ind w:left="709" w:hanging="709"/>
      </w:pPr>
      <w:r w:rsidRPr="00771E6E">
        <w:t>2.35</w:t>
      </w:r>
      <w:r w:rsidR="0064772C" w:rsidRPr="00771E6E">
        <w:t xml:space="preserve"> </w:t>
      </w:r>
      <w:r w:rsidRPr="00771E6E">
        <w:t>Giovanni di Nicola di Manzoni dal Colle (</w:t>
      </w:r>
      <w:proofErr w:type="spellStart"/>
      <w:r w:rsidRPr="00771E6E">
        <w:t>attr</w:t>
      </w:r>
      <w:proofErr w:type="spellEnd"/>
      <w:r w:rsidRPr="00771E6E">
        <w:t>. to), Nativity Inkstand, ca. 1509-10, Fitzwilliam Museum, Cambridge.</w:t>
      </w:r>
      <w:r w:rsidR="00651627" w:rsidRPr="00771E6E">
        <w:t xml:space="preserve"> </w:t>
      </w:r>
    </w:p>
    <w:p w14:paraId="2FB944A8" w14:textId="77777777" w:rsidR="005C33B3" w:rsidRPr="00771E6E" w:rsidRDefault="005C33B3" w:rsidP="00651627">
      <w:pPr>
        <w:ind w:left="709" w:hanging="709"/>
      </w:pPr>
      <w:r w:rsidRPr="00771E6E">
        <w:rPr>
          <w:b/>
        </w:rPr>
        <w:lastRenderedPageBreak/>
        <w:t>Chapter 3</w:t>
      </w:r>
    </w:p>
    <w:p w14:paraId="718BBC5E" w14:textId="77777777" w:rsidR="005C33B3" w:rsidRPr="00771E6E" w:rsidRDefault="005C33B3" w:rsidP="005C33B3"/>
    <w:p w14:paraId="18C64C1A" w14:textId="77777777" w:rsidR="005C33B3" w:rsidRPr="00771E6E" w:rsidRDefault="005C33B3" w:rsidP="00494B1D">
      <w:pPr>
        <w:ind w:left="709" w:hanging="709"/>
      </w:pPr>
      <w:r w:rsidRPr="00771E6E">
        <w:t xml:space="preserve">3.1 Woodcut from Girolamo Savonarola, </w:t>
      </w:r>
      <w:proofErr w:type="spellStart"/>
      <w:r w:rsidRPr="00771E6E">
        <w:t>Predica</w:t>
      </w:r>
      <w:proofErr w:type="spellEnd"/>
      <w:r w:rsidRPr="00771E6E">
        <w:t xml:space="preserve"> </w:t>
      </w:r>
      <w:proofErr w:type="spellStart"/>
      <w:r w:rsidRPr="00771E6E">
        <w:t>dell’Arte</w:t>
      </w:r>
      <w:proofErr w:type="spellEnd"/>
      <w:r w:rsidRPr="00771E6E">
        <w:t xml:space="preserve"> del Ben </w:t>
      </w:r>
      <w:proofErr w:type="spellStart"/>
      <w:r w:rsidRPr="00771E6E">
        <w:t>Morire</w:t>
      </w:r>
      <w:proofErr w:type="spellEnd"/>
      <w:r w:rsidRPr="00771E6E">
        <w:t>, Florence 1496 (1st ed.), Chapin Library, Williams College, Williamstown (MA).</w:t>
      </w:r>
    </w:p>
    <w:p w14:paraId="0A622EEE" w14:textId="77777777" w:rsidR="005C33B3" w:rsidRPr="00771E6E" w:rsidRDefault="005C33B3" w:rsidP="00494B1D">
      <w:pPr>
        <w:ind w:left="709" w:hanging="709"/>
      </w:pPr>
      <w:r w:rsidRPr="00771E6E">
        <w:t xml:space="preserve">3.2 Woodcut from Girolamo Savonarola, </w:t>
      </w:r>
      <w:proofErr w:type="spellStart"/>
      <w:r w:rsidRPr="00771E6E">
        <w:t>Predica</w:t>
      </w:r>
      <w:proofErr w:type="spellEnd"/>
      <w:r w:rsidRPr="00771E6E">
        <w:t xml:space="preserve"> </w:t>
      </w:r>
      <w:proofErr w:type="spellStart"/>
      <w:r w:rsidRPr="00771E6E">
        <w:t>dell’Arte</w:t>
      </w:r>
      <w:proofErr w:type="spellEnd"/>
      <w:r w:rsidRPr="00771E6E">
        <w:t xml:space="preserve"> del Ben </w:t>
      </w:r>
      <w:proofErr w:type="spellStart"/>
      <w:r w:rsidRPr="00771E6E">
        <w:t>Morire</w:t>
      </w:r>
      <w:proofErr w:type="spellEnd"/>
      <w:r w:rsidRPr="00771E6E">
        <w:t>, Florence 1497 (4</w:t>
      </w:r>
      <w:r w:rsidRPr="00771E6E">
        <w:rPr>
          <w:vertAlign w:val="superscript"/>
        </w:rPr>
        <w:t>th</w:t>
      </w:r>
      <w:r w:rsidRPr="00771E6E">
        <w:t xml:space="preserve"> ed.), fol. 1207r, The Metropolitan Museum of Art, New York.</w:t>
      </w:r>
    </w:p>
    <w:p w14:paraId="73AF1DC0" w14:textId="77777777" w:rsidR="005C33B3" w:rsidRPr="00771E6E" w:rsidRDefault="005C33B3" w:rsidP="00494B1D">
      <w:pPr>
        <w:ind w:left="709" w:hanging="709"/>
      </w:pPr>
      <w:r w:rsidRPr="00771E6E">
        <w:t>3.3 Workshop of Garofalo, Christ carrying the Cross, ca. 1500-1550, The Walters Art Museum, Baltimore (MD).</w:t>
      </w:r>
    </w:p>
    <w:p w14:paraId="20153EEC" w14:textId="77777777" w:rsidR="005C33B3" w:rsidRPr="00771E6E" w:rsidRDefault="005C33B3" w:rsidP="00494B1D">
      <w:pPr>
        <w:ind w:left="709" w:hanging="709"/>
      </w:pPr>
      <w:r w:rsidRPr="00771E6E">
        <w:t xml:space="preserve">3.4 Workshop of </w:t>
      </w:r>
      <w:proofErr w:type="spellStart"/>
      <w:r w:rsidRPr="00771E6E">
        <w:t>Filarete</w:t>
      </w:r>
      <w:proofErr w:type="spellEnd"/>
      <w:r w:rsidRPr="00771E6E">
        <w:t>, Julius Caesar, ca. 1440-49, Museo Nazionale del Bargello, Florence.</w:t>
      </w:r>
    </w:p>
    <w:p w14:paraId="6A1B9410" w14:textId="77777777" w:rsidR="005C33B3" w:rsidRPr="00771E6E" w:rsidRDefault="005C33B3" w:rsidP="00494B1D">
      <w:pPr>
        <w:ind w:left="709" w:hanging="709"/>
        <w:rPr>
          <w:rStyle w:val="Hyperlink"/>
          <w:color w:val="000000" w:themeColor="text1"/>
          <w:u w:val="none"/>
        </w:rPr>
      </w:pPr>
      <w:r w:rsidRPr="00771E6E">
        <w:t>3.5 Lysippus the Younger (</w:t>
      </w:r>
      <w:proofErr w:type="spellStart"/>
      <w:r w:rsidRPr="00771E6E">
        <w:t>attr</w:t>
      </w:r>
      <w:proofErr w:type="spellEnd"/>
      <w:r w:rsidRPr="00771E6E">
        <w:t>. to), Medal, ca. 1471-84, British Museum, London.</w:t>
      </w:r>
    </w:p>
    <w:p w14:paraId="3F0C09B9" w14:textId="77777777" w:rsidR="005C33B3" w:rsidRPr="00771E6E" w:rsidRDefault="005C33B3" w:rsidP="00494B1D">
      <w:pPr>
        <w:ind w:left="709" w:hanging="709"/>
        <w:rPr>
          <w:rStyle w:val="Hyperlink"/>
          <w:color w:val="000000" w:themeColor="text1"/>
          <w:u w:val="none"/>
        </w:rPr>
      </w:pPr>
      <w:r w:rsidRPr="00771E6E">
        <w:rPr>
          <w:rStyle w:val="Hyperlink"/>
          <w:color w:val="000000" w:themeColor="text1"/>
          <w:u w:val="none"/>
        </w:rPr>
        <w:t xml:space="preserve">3.6 </w:t>
      </w:r>
      <w:r w:rsidRPr="00771E6E">
        <w:t xml:space="preserve">Luca </w:t>
      </w:r>
      <w:proofErr w:type="spellStart"/>
      <w:r w:rsidRPr="00771E6E">
        <w:t>della</w:t>
      </w:r>
      <w:proofErr w:type="spellEnd"/>
      <w:r w:rsidRPr="00771E6E">
        <w:t xml:space="preserve"> Robbia, Virgin and Child with </w:t>
      </w:r>
      <w:r w:rsidR="005A788F" w:rsidRPr="00771E6E">
        <w:t>A</w:t>
      </w:r>
      <w:r w:rsidRPr="00771E6E">
        <w:t xml:space="preserve">ngels, 1425-50, Victoria and Albert Museum, London. </w:t>
      </w:r>
    </w:p>
    <w:p w14:paraId="4BDDC4DD" w14:textId="77777777" w:rsidR="005C33B3" w:rsidRPr="00771E6E" w:rsidRDefault="005C33B3" w:rsidP="00494B1D">
      <w:pPr>
        <w:ind w:left="709" w:hanging="709"/>
      </w:pPr>
      <w:r w:rsidRPr="00771E6E">
        <w:rPr>
          <w:rStyle w:val="Hyperlink"/>
          <w:color w:val="000000" w:themeColor="text1"/>
          <w:u w:val="none"/>
        </w:rPr>
        <w:t xml:space="preserve">3.7 </w:t>
      </w:r>
      <w:r w:rsidRPr="00771E6E">
        <w:t>Ferrarese (</w:t>
      </w:r>
      <w:r w:rsidR="005A788F" w:rsidRPr="00771E6E">
        <w:t>p</w:t>
      </w:r>
      <w:r w:rsidRPr="00771E6E">
        <w:t>ossibly Bernardino da Venezia), Mirror frame, 1490-1520, Victoria and Albert Museum, London.</w:t>
      </w:r>
    </w:p>
    <w:p w14:paraId="15D63724" w14:textId="77777777" w:rsidR="005C33B3" w:rsidRPr="00771E6E" w:rsidRDefault="005C33B3" w:rsidP="00494B1D">
      <w:pPr>
        <w:ind w:left="709" w:hanging="709"/>
        <w:rPr>
          <w:rStyle w:val="Hyperlink"/>
          <w:color w:val="000000" w:themeColor="text1"/>
          <w:u w:val="none"/>
        </w:rPr>
      </w:pPr>
      <w:r w:rsidRPr="00771E6E">
        <w:t xml:space="preserve">3.8 </w:t>
      </w:r>
      <w:proofErr w:type="spellStart"/>
      <w:r w:rsidRPr="00771E6E">
        <w:t>Neroccio</w:t>
      </w:r>
      <w:proofErr w:type="spellEnd"/>
      <w:r w:rsidRPr="00771E6E">
        <w:t xml:space="preserve"> de </w:t>
      </w:r>
      <w:proofErr w:type="spellStart"/>
      <w:r w:rsidRPr="00771E6E">
        <w:t>Landi</w:t>
      </w:r>
      <w:proofErr w:type="spellEnd"/>
      <w:r w:rsidRPr="00771E6E">
        <w:t>, Mirror frame</w:t>
      </w:r>
      <w:r w:rsidR="005A788F" w:rsidRPr="00771E6E">
        <w:t>,</w:t>
      </w:r>
      <w:r w:rsidRPr="00771E6E">
        <w:t xml:space="preserve"> ca. 1475-1500, Victoria and Albert Museum, London.</w:t>
      </w:r>
    </w:p>
    <w:p w14:paraId="560E2649" w14:textId="77777777" w:rsidR="005C33B3" w:rsidRPr="00771E6E" w:rsidRDefault="005C33B3" w:rsidP="00494B1D">
      <w:pPr>
        <w:ind w:left="709" w:hanging="709"/>
      </w:pPr>
      <w:r w:rsidRPr="00771E6E">
        <w:rPr>
          <w:rStyle w:val="Hyperlink"/>
          <w:color w:val="000000" w:themeColor="text1"/>
          <w:u w:val="none"/>
        </w:rPr>
        <w:t xml:space="preserve">3.9 </w:t>
      </w:r>
      <w:r w:rsidRPr="00771E6E">
        <w:t xml:space="preserve">Workshop of Baldassare </w:t>
      </w:r>
      <w:proofErr w:type="spellStart"/>
      <w:r w:rsidRPr="00771E6E">
        <w:t>Embriachi</w:t>
      </w:r>
      <w:proofErr w:type="spellEnd"/>
      <w:r w:rsidRPr="00771E6E">
        <w:t>, Mirror frame, 1400-1410, The Walters Art Museum, Baltimore (MD).</w:t>
      </w:r>
    </w:p>
    <w:p w14:paraId="77DF9FEC" w14:textId="77777777" w:rsidR="005C33B3" w:rsidRPr="00771E6E" w:rsidRDefault="005C33B3" w:rsidP="00494B1D">
      <w:pPr>
        <w:ind w:left="709" w:hanging="709"/>
        <w:rPr>
          <w:rStyle w:val="Hyperlink"/>
          <w:color w:val="000000" w:themeColor="text1"/>
          <w:u w:val="none"/>
        </w:rPr>
      </w:pPr>
      <w:r w:rsidRPr="00771E6E">
        <w:t xml:space="preserve">3.10 Workshop of Benedetto da </w:t>
      </w:r>
      <w:proofErr w:type="spellStart"/>
      <w:r w:rsidRPr="00771E6E">
        <w:t>Maiano</w:t>
      </w:r>
      <w:proofErr w:type="spellEnd"/>
      <w:r w:rsidRPr="00771E6E">
        <w:t xml:space="preserve"> (</w:t>
      </w:r>
      <w:proofErr w:type="spellStart"/>
      <w:r w:rsidRPr="00771E6E">
        <w:t>attr</w:t>
      </w:r>
      <w:proofErr w:type="spellEnd"/>
      <w:r w:rsidRPr="00771E6E">
        <w:t>. to), Mirror frame, ca. 1480, The Metropolitan Museum of Art, New York</w:t>
      </w:r>
      <w:r w:rsidRPr="00771E6E">
        <w:rPr>
          <w:rStyle w:val="Hyperlink"/>
          <w:color w:val="000000" w:themeColor="text1"/>
          <w:u w:val="none"/>
        </w:rPr>
        <w:t>.</w:t>
      </w:r>
    </w:p>
    <w:p w14:paraId="59072608" w14:textId="77777777" w:rsidR="005C33B3" w:rsidRPr="00771E6E" w:rsidRDefault="005C33B3" w:rsidP="00494B1D">
      <w:pPr>
        <w:ind w:left="709" w:hanging="709"/>
      </w:pPr>
      <w:r w:rsidRPr="00771E6E">
        <w:rPr>
          <w:rStyle w:val="Hyperlink"/>
          <w:color w:val="000000" w:themeColor="text1"/>
          <w:u w:val="none"/>
        </w:rPr>
        <w:t xml:space="preserve">3.11 </w:t>
      </w:r>
      <w:r w:rsidRPr="00771E6E">
        <w:t xml:space="preserve">Domenico di </w:t>
      </w:r>
      <w:proofErr w:type="spellStart"/>
      <w:r w:rsidRPr="00771E6E">
        <w:t>Bartolo</w:t>
      </w:r>
      <w:proofErr w:type="spellEnd"/>
      <w:r w:rsidRPr="00771E6E">
        <w:t xml:space="preserve"> or Carlo di Giovanni, Two Children, before 1445, Galleria G. Franchetti </w:t>
      </w:r>
      <w:proofErr w:type="spellStart"/>
      <w:r w:rsidRPr="00771E6E">
        <w:t>alla</w:t>
      </w:r>
      <w:proofErr w:type="spellEnd"/>
      <w:r w:rsidRPr="00771E6E">
        <w:t xml:space="preserve"> Ca’ </w:t>
      </w:r>
      <w:proofErr w:type="spellStart"/>
      <w:r w:rsidRPr="00771E6E">
        <w:t>d’Oro</w:t>
      </w:r>
      <w:proofErr w:type="spellEnd"/>
      <w:r w:rsidRPr="00771E6E">
        <w:t>, Venice.</w:t>
      </w:r>
    </w:p>
    <w:p w14:paraId="024AE025" w14:textId="77777777" w:rsidR="005C33B3" w:rsidRPr="00771E6E" w:rsidRDefault="005C33B3" w:rsidP="00494B1D">
      <w:pPr>
        <w:ind w:left="709" w:hanging="709"/>
      </w:pPr>
      <w:r w:rsidRPr="00771E6E">
        <w:t xml:space="preserve">3.12 Lippo </w:t>
      </w:r>
      <w:proofErr w:type="spellStart"/>
      <w:r w:rsidRPr="00771E6E">
        <w:t>d’Andrea</w:t>
      </w:r>
      <w:proofErr w:type="spellEnd"/>
      <w:r w:rsidRPr="00771E6E">
        <w:t xml:space="preserve"> (</w:t>
      </w:r>
      <w:proofErr w:type="spellStart"/>
      <w:r w:rsidRPr="00771E6E">
        <w:t>attr</w:t>
      </w:r>
      <w:proofErr w:type="spellEnd"/>
      <w:r w:rsidRPr="00771E6E">
        <w:t>. to), Child playing musical instruments, ca. 1420-30, Private collection, Florence.</w:t>
      </w:r>
    </w:p>
    <w:p w14:paraId="0D8599C0" w14:textId="77777777" w:rsidR="005C33B3" w:rsidRPr="00771E6E" w:rsidRDefault="005C33B3" w:rsidP="00494B1D">
      <w:pPr>
        <w:ind w:left="709" w:hanging="709"/>
        <w:rPr>
          <w:rStyle w:val="Hyperlink"/>
          <w:color w:val="000000" w:themeColor="text1"/>
          <w:u w:val="none"/>
        </w:rPr>
      </w:pPr>
      <w:r w:rsidRPr="00771E6E">
        <w:t xml:space="preserve">3.13 Master of the Triumph of the Moon at </w:t>
      </w:r>
      <w:proofErr w:type="spellStart"/>
      <w:r w:rsidRPr="00771E6E">
        <w:t>Marcigny</w:t>
      </w:r>
      <w:proofErr w:type="spellEnd"/>
      <w:r w:rsidRPr="00771E6E">
        <w:t>, Basin, 1524, British Museum, London.</w:t>
      </w:r>
    </w:p>
    <w:p w14:paraId="596817F8" w14:textId="77777777" w:rsidR="005C33B3" w:rsidRPr="00771E6E" w:rsidRDefault="005C33B3" w:rsidP="00494B1D">
      <w:pPr>
        <w:ind w:left="709" w:hanging="709"/>
      </w:pPr>
      <w:r w:rsidRPr="00771E6E">
        <w:rPr>
          <w:rStyle w:val="Hyperlink"/>
          <w:color w:val="000000" w:themeColor="text1"/>
          <w:u w:val="none"/>
        </w:rPr>
        <w:t>3.14</w:t>
      </w:r>
      <w:r w:rsidRPr="00771E6E">
        <w:t xml:space="preserve"> Donatello, </w:t>
      </w:r>
      <w:proofErr w:type="spellStart"/>
      <w:r w:rsidRPr="00771E6E">
        <w:t>Chellini</w:t>
      </w:r>
      <w:proofErr w:type="spellEnd"/>
      <w:r w:rsidRPr="00771E6E">
        <w:t xml:space="preserve"> Madonna, ca. 1450, Victoria and Albert Museum, London.</w:t>
      </w:r>
    </w:p>
    <w:p w14:paraId="096C5EF0" w14:textId="77777777" w:rsidR="005C33B3" w:rsidRPr="00771E6E" w:rsidRDefault="005C33B3" w:rsidP="00494B1D">
      <w:pPr>
        <w:ind w:left="709" w:hanging="709"/>
      </w:pPr>
      <w:r w:rsidRPr="00771E6E">
        <w:t xml:space="preserve">3.15 After </w:t>
      </w:r>
      <w:proofErr w:type="spellStart"/>
      <w:r w:rsidRPr="00771E6E">
        <w:t>Bertoldo</w:t>
      </w:r>
      <w:proofErr w:type="spellEnd"/>
      <w:r w:rsidRPr="00771E6E">
        <w:t xml:space="preserve"> di Giovanni, The Virgin and Child, before 1491, </w:t>
      </w:r>
      <w:proofErr w:type="spellStart"/>
      <w:r w:rsidRPr="00771E6E">
        <w:t>Musée</w:t>
      </w:r>
      <w:proofErr w:type="spellEnd"/>
      <w:r w:rsidRPr="00771E6E">
        <w:t xml:space="preserve"> du Louvre, Paris.</w:t>
      </w:r>
    </w:p>
    <w:p w14:paraId="1D82C880" w14:textId="77777777" w:rsidR="005C33B3" w:rsidRPr="00771E6E" w:rsidRDefault="005C33B3" w:rsidP="00494B1D">
      <w:pPr>
        <w:ind w:left="709" w:hanging="709"/>
        <w:rPr>
          <w:rStyle w:val="Hyperlink"/>
          <w:color w:val="000000" w:themeColor="text1"/>
        </w:rPr>
      </w:pPr>
      <w:r w:rsidRPr="00771E6E">
        <w:t>3.16 Francesco Marti, The Holy Family, ca. 1510, The Walters Art Museum, Baltimore (MD).</w:t>
      </w:r>
    </w:p>
    <w:p w14:paraId="3D528987" w14:textId="77777777" w:rsidR="005C33B3" w:rsidRPr="00771E6E" w:rsidRDefault="005C33B3" w:rsidP="00494B1D">
      <w:pPr>
        <w:ind w:left="709" w:hanging="709"/>
      </w:pPr>
      <w:r w:rsidRPr="00771E6E">
        <w:t xml:space="preserve">3.17 After Pietro Perugino and </w:t>
      </w:r>
      <w:r w:rsidR="005A788F" w:rsidRPr="00771E6E">
        <w:t>a</w:t>
      </w:r>
      <w:r w:rsidRPr="00771E6E">
        <w:t xml:space="preserve">fter Bernardino </w:t>
      </w:r>
      <w:proofErr w:type="spellStart"/>
      <w:r w:rsidRPr="00771E6E">
        <w:t>Betti</w:t>
      </w:r>
      <w:proofErr w:type="spellEnd"/>
      <w:r w:rsidRPr="00771E6E">
        <w:t xml:space="preserve"> </w:t>
      </w:r>
      <w:proofErr w:type="spellStart"/>
      <w:r w:rsidRPr="00771E6E">
        <w:t>Biagi</w:t>
      </w:r>
      <w:proofErr w:type="spellEnd"/>
      <w:r w:rsidRPr="00771E6E">
        <w:t xml:space="preserve"> </w:t>
      </w:r>
      <w:proofErr w:type="spellStart"/>
      <w:r w:rsidRPr="00771E6E">
        <w:t>Pintoricchio</w:t>
      </w:r>
      <w:proofErr w:type="spellEnd"/>
      <w:r w:rsidRPr="00771E6E">
        <w:t>, Dish with Angel, ca. 1510-25, British Museum, London.</w:t>
      </w:r>
    </w:p>
    <w:p w14:paraId="2272CE45" w14:textId="77777777" w:rsidR="005C33B3" w:rsidRPr="00771E6E" w:rsidRDefault="005C33B3" w:rsidP="00494B1D">
      <w:pPr>
        <w:ind w:left="709" w:hanging="709"/>
      </w:pPr>
      <w:r w:rsidRPr="00771E6E">
        <w:lastRenderedPageBreak/>
        <w:t>3.18 Dish with Angel, ca. 1510-30, The Metropolitan Museum of Art, New York.</w:t>
      </w:r>
    </w:p>
    <w:p w14:paraId="295FF8D2" w14:textId="77777777" w:rsidR="005C33B3" w:rsidRPr="00771E6E" w:rsidRDefault="005C33B3" w:rsidP="00494B1D">
      <w:pPr>
        <w:ind w:left="709" w:hanging="709"/>
      </w:pPr>
      <w:r w:rsidRPr="00771E6E">
        <w:t xml:space="preserve">3.19 Sandro Botticelli, </w:t>
      </w:r>
      <w:proofErr w:type="spellStart"/>
      <w:r w:rsidRPr="00771E6E">
        <w:t>Raczynski</w:t>
      </w:r>
      <w:proofErr w:type="spellEnd"/>
      <w:r w:rsidRPr="00771E6E">
        <w:t xml:space="preserve"> Tondo, 1481-83, </w:t>
      </w:r>
      <w:proofErr w:type="spellStart"/>
      <w:r w:rsidRPr="00771E6E">
        <w:t>Gemäldegalerie</w:t>
      </w:r>
      <w:proofErr w:type="spellEnd"/>
      <w:r w:rsidRPr="00771E6E">
        <w:t xml:space="preserve">, Berlin </w:t>
      </w:r>
    </w:p>
    <w:p w14:paraId="61D95C44" w14:textId="77777777" w:rsidR="005C33B3" w:rsidRPr="00771E6E" w:rsidRDefault="005C33B3" w:rsidP="00494B1D">
      <w:pPr>
        <w:ind w:left="709" w:hanging="709"/>
      </w:pPr>
      <w:r w:rsidRPr="00771E6E">
        <w:t xml:space="preserve">3.20 Sandro Botticelli, Madonna of the Pomegranate, ca. 1487, Galleria </w:t>
      </w:r>
      <w:proofErr w:type="spellStart"/>
      <w:r w:rsidRPr="00771E6E">
        <w:t>degli</w:t>
      </w:r>
      <w:proofErr w:type="spellEnd"/>
      <w:r w:rsidRPr="00771E6E">
        <w:t xml:space="preserve"> Uffizi, Florence.</w:t>
      </w:r>
    </w:p>
    <w:p w14:paraId="6AB57D95" w14:textId="77777777" w:rsidR="005C33B3" w:rsidRPr="00771E6E" w:rsidRDefault="005C33B3" w:rsidP="00494B1D">
      <w:pPr>
        <w:ind w:left="709" w:hanging="709"/>
      </w:pPr>
      <w:r w:rsidRPr="00771E6E">
        <w:t xml:space="preserve">3.21 Workshop of Sandro Botticelli, Virgin and Child with </w:t>
      </w:r>
      <w:r w:rsidR="005A788F" w:rsidRPr="00771E6E">
        <w:t>A</w:t>
      </w:r>
      <w:r w:rsidRPr="00771E6E">
        <w:t>ngels and S</w:t>
      </w:r>
      <w:r w:rsidR="005A788F" w:rsidRPr="00771E6E">
        <w:t>ain</w:t>
      </w:r>
      <w:r w:rsidRPr="00771E6E">
        <w:t>t John the Baptists, ca. 1488-90, Galleria Borghese, Rome.</w:t>
      </w:r>
    </w:p>
    <w:p w14:paraId="4F9FB803" w14:textId="77777777" w:rsidR="005C33B3" w:rsidRPr="00771E6E" w:rsidRDefault="005C33B3" w:rsidP="00494B1D">
      <w:pPr>
        <w:ind w:left="709" w:hanging="709"/>
      </w:pPr>
      <w:r w:rsidRPr="00771E6E">
        <w:t xml:space="preserve">3.22 Woodcut from </w:t>
      </w:r>
      <w:proofErr w:type="spellStart"/>
      <w:r w:rsidRPr="00771E6E">
        <w:t>Franchinus</w:t>
      </w:r>
      <w:proofErr w:type="spellEnd"/>
      <w:r w:rsidRPr="00771E6E">
        <w:t xml:space="preserve"> </w:t>
      </w:r>
      <w:proofErr w:type="spellStart"/>
      <w:r w:rsidRPr="00771E6E">
        <w:t>Gaffurius</w:t>
      </w:r>
      <w:proofErr w:type="spellEnd"/>
      <w:r w:rsidRPr="00771E6E">
        <w:t xml:space="preserve">, </w:t>
      </w:r>
      <w:proofErr w:type="spellStart"/>
      <w:r w:rsidRPr="00771E6E">
        <w:t>Practica</w:t>
      </w:r>
      <w:proofErr w:type="spellEnd"/>
      <w:r w:rsidRPr="00771E6E">
        <w:t xml:space="preserve"> </w:t>
      </w:r>
      <w:proofErr w:type="spellStart"/>
      <w:r w:rsidR="005A788F" w:rsidRPr="00771E6E">
        <w:t>M</w:t>
      </w:r>
      <w:r w:rsidRPr="00771E6E">
        <w:t>usicae</w:t>
      </w:r>
      <w:proofErr w:type="spellEnd"/>
      <w:r w:rsidRPr="00771E6E">
        <w:t>, Milan, 1496, f.5r</w:t>
      </w:r>
    </w:p>
    <w:p w14:paraId="3D6320BC" w14:textId="77777777" w:rsidR="005C33B3" w:rsidRPr="00771E6E" w:rsidRDefault="005C33B3" w:rsidP="00494B1D">
      <w:pPr>
        <w:ind w:left="709" w:hanging="709"/>
      </w:pPr>
      <w:r w:rsidRPr="00771E6E">
        <w:t xml:space="preserve">3.23 Luca </w:t>
      </w:r>
      <w:proofErr w:type="spellStart"/>
      <w:r w:rsidRPr="00771E6E">
        <w:t>della</w:t>
      </w:r>
      <w:proofErr w:type="spellEnd"/>
      <w:r w:rsidRPr="00771E6E">
        <w:t xml:space="preserve"> Robbia, </w:t>
      </w:r>
      <w:proofErr w:type="spellStart"/>
      <w:r w:rsidRPr="00771E6E">
        <w:t>Cantoria</w:t>
      </w:r>
      <w:proofErr w:type="spellEnd"/>
      <w:r w:rsidRPr="00771E6E">
        <w:t xml:space="preserve"> for Florence Cathedral (detail), 1432-38, Museo </w:t>
      </w:r>
      <w:proofErr w:type="spellStart"/>
      <w:r w:rsidRPr="00771E6E">
        <w:t>dell’Opera</w:t>
      </w:r>
      <w:proofErr w:type="spellEnd"/>
      <w:r w:rsidRPr="00771E6E">
        <w:t xml:space="preserve"> del Duomo, Florence.</w:t>
      </w:r>
    </w:p>
    <w:p w14:paraId="1EEB9761" w14:textId="77777777" w:rsidR="005C33B3" w:rsidRPr="00771E6E" w:rsidRDefault="005C33B3" w:rsidP="00494B1D">
      <w:pPr>
        <w:ind w:left="709" w:hanging="709"/>
      </w:pPr>
      <w:r w:rsidRPr="00771E6E">
        <w:t xml:space="preserve">3.24 </w:t>
      </w:r>
      <w:proofErr w:type="spellStart"/>
      <w:r w:rsidRPr="00771E6E">
        <w:t>Giovannino</w:t>
      </w:r>
      <w:proofErr w:type="spellEnd"/>
      <w:r w:rsidRPr="00771E6E">
        <w:t xml:space="preserve"> de’ Grassi, Bergamo sketchbook, end of 14</w:t>
      </w:r>
      <w:r w:rsidRPr="00771E6E">
        <w:rPr>
          <w:vertAlign w:val="superscript"/>
        </w:rPr>
        <w:t>th</w:t>
      </w:r>
      <w:r w:rsidRPr="00771E6E">
        <w:t xml:space="preserve"> c.</w:t>
      </w:r>
    </w:p>
    <w:p w14:paraId="4F1B17DD" w14:textId="77777777" w:rsidR="005C33B3" w:rsidRPr="00771E6E" w:rsidRDefault="005C33B3" w:rsidP="00494B1D">
      <w:pPr>
        <w:ind w:left="709" w:hanging="709"/>
      </w:pPr>
      <w:r w:rsidRPr="00771E6E">
        <w:t xml:space="preserve">3.25 Fra Filippo Lippi, Coronation of the Virgin (detail), ca. 1441-47, Galleria </w:t>
      </w:r>
      <w:proofErr w:type="spellStart"/>
      <w:r w:rsidRPr="00771E6E">
        <w:t>degli</w:t>
      </w:r>
      <w:proofErr w:type="spellEnd"/>
      <w:r w:rsidRPr="00771E6E">
        <w:t xml:space="preserve"> Uffizi, Florence.</w:t>
      </w:r>
    </w:p>
    <w:p w14:paraId="5D6F58E4" w14:textId="77777777" w:rsidR="005C33B3" w:rsidRPr="00771E6E" w:rsidRDefault="005C33B3" w:rsidP="00494B1D">
      <w:pPr>
        <w:ind w:left="709" w:hanging="709"/>
      </w:pPr>
      <w:r w:rsidRPr="00771E6E">
        <w:t xml:space="preserve">3.26 Giorgione, Three Ages of Man, 1500-01, Galleria </w:t>
      </w:r>
      <w:proofErr w:type="spellStart"/>
      <w:r w:rsidRPr="00771E6E">
        <w:t>Palatina</w:t>
      </w:r>
      <w:proofErr w:type="spellEnd"/>
      <w:r w:rsidRPr="00771E6E">
        <w:t xml:space="preserve">, Palazzo </w:t>
      </w:r>
      <w:proofErr w:type="spellStart"/>
      <w:r w:rsidRPr="00771E6E">
        <w:t>Pitti</w:t>
      </w:r>
      <w:proofErr w:type="spellEnd"/>
      <w:r w:rsidRPr="00771E6E">
        <w:t>, Florence.</w:t>
      </w:r>
    </w:p>
    <w:p w14:paraId="13B21A57" w14:textId="77777777" w:rsidR="005C33B3" w:rsidRPr="00771E6E" w:rsidRDefault="005C33B3" w:rsidP="00494B1D">
      <w:pPr>
        <w:ind w:left="709" w:hanging="709"/>
      </w:pPr>
      <w:r w:rsidRPr="00771E6E">
        <w:t>3.27 Possibly Titian, The Music Lesson, ca. 1535, The National Gallery, London.</w:t>
      </w:r>
    </w:p>
    <w:p w14:paraId="32A94A95" w14:textId="77777777" w:rsidR="005C33B3" w:rsidRPr="00771E6E" w:rsidRDefault="005C33B3" w:rsidP="00494B1D">
      <w:pPr>
        <w:ind w:left="709" w:hanging="709"/>
        <w:rPr>
          <w:shd w:val="clear" w:color="auto" w:fill="FFFFFF"/>
        </w:rPr>
      </w:pPr>
      <w:r w:rsidRPr="00771E6E">
        <w:t xml:space="preserve">3.28 Sandro Botticelli, Three Angels, 1475-80, Galleria </w:t>
      </w:r>
      <w:proofErr w:type="spellStart"/>
      <w:r w:rsidRPr="00771E6E">
        <w:t>degli</w:t>
      </w:r>
      <w:proofErr w:type="spellEnd"/>
      <w:r w:rsidRPr="00771E6E">
        <w:t xml:space="preserve"> Uffizi, Florence</w:t>
      </w:r>
      <w:r w:rsidRPr="00771E6E">
        <w:rPr>
          <w:shd w:val="clear" w:color="auto" w:fill="FFFFFF"/>
        </w:rPr>
        <w:t>.</w:t>
      </w:r>
    </w:p>
    <w:p w14:paraId="239EFAD7" w14:textId="77777777" w:rsidR="005C33B3" w:rsidRPr="00771E6E" w:rsidRDefault="005C33B3" w:rsidP="00494B1D">
      <w:pPr>
        <w:ind w:left="709" w:hanging="709"/>
      </w:pPr>
      <w:r w:rsidRPr="00771E6E">
        <w:rPr>
          <w:shd w:val="clear" w:color="auto" w:fill="FFFFFF"/>
        </w:rPr>
        <w:t xml:space="preserve">3.29 </w:t>
      </w:r>
      <w:r w:rsidRPr="00771E6E">
        <w:t xml:space="preserve">Sandro Botticelli, Virgin and Child with Angels, ca. 1490, </w:t>
      </w:r>
      <w:proofErr w:type="spellStart"/>
      <w:r w:rsidRPr="00771E6E">
        <w:t>Gemäldegalerie</w:t>
      </w:r>
      <w:proofErr w:type="spellEnd"/>
      <w:r w:rsidRPr="00771E6E">
        <w:t xml:space="preserve"> der </w:t>
      </w:r>
      <w:proofErr w:type="spellStart"/>
      <w:r w:rsidRPr="00771E6E">
        <w:t>Bildenden</w:t>
      </w:r>
      <w:proofErr w:type="spellEnd"/>
      <w:r w:rsidRPr="00771E6E">
        <w:t xml:space="preserve"> </w:t>
      </w:r>
      <w:proofErr w:type="spellStart"/>
      <w:r w:rsidRPr="00771E6E">
        <w:t>Künste</w:t>
      </w:r>
      <w:proofErr w:type="spellEnd"/>
      <w:r w:rsidRPr="00771E6E">
        <w:t>, Vienna.</w:t>
      </w:r>
    </w:p>
    <w:p w14:paraId="2509D33D" w14:textId="77777777" w:rsidR="005C33B3" w:rsidRPr="00771E6E" w:rsidRDefault="005C33B3" w:rsidP="00494B1D">
      <w:pPr>
        <w:ind w:left="709" w:hanging="709"/>
      </w:pPr>
      <w:r w:rsidRPr="00771E6E">
        <w:t xml:space="preserve">3.30 Francesco </w:t>
      </w:r>
      <w:proofErr w:type="spellStart"/>
      <w:r w:rsidRPr="00771E6E">
        <w:t>d’Antonio</w:t>
      </w:r>
      <w:proofErr w:type="spellEnd"/>
      <w:r w:rsidRPr="00771E6E">
        <w:t xml:space="preserve">, Organ shutters from </w:t>
      </w:r>
      <w:proofErr w:type="spellStart"/>
      <w:r w:rsidRPr="00771E6E">
        <w:t>Orsanmichele</w:t>
      </w:r>
      <w:proofErr w:type="spellEnd"/>
      <w:r w:rsidRPr="00771E6E">
        <w:t xml:space="preserve">, 1429, Galleria </w:t>
      </w:r>
      <w:proofErr w:type="spellStart"/>
      <w:r w:rsidRPr="00771E6E">
        <w:t>dell’Accademia</w:t>
      </w:r>
      <w:proofErr w:type="spellEnd"/>
      <w:r w:rsidRPr="00771E6E">
        <w:t>, Florence.</w:t>
      </w:r>
    </w:p>
    <w:p w14:paraId="04F9896E" w14:textId="77777777" w:rsidR="005C33B3" w:rsidRPr="00771E6E" w:rsidRDefault="005C33B3" w:rsidP="00494B1D">
      <w:pPr>
        <w:ind w:left="709" w:hanging="709"/>
        <w:rPr>
          <w:rStyle w:val="Hyperlink"/>
          <w:color w:val="000000" w:themeColor="text1"/>
        </w:rPr>
      </w:pPr>
      <w:r w:rsidRPr="00771E6E">
        <w:t xml:space="preserve">3.31 Workshop of Sandro Botticelli, Virgin and Child with Angels, </w:t>
      </w:r>
      <w:proofErr w:type="spellStart"/>
      <w:r w:rsidRPr="00771E6E">
        <w:t>Wawel</w:t>
      </w:r>
      <w:proofErr w:type="spellEnd"/>
      <w:r w:rsidRPr="00771E6E">
        <w:t xml:space="preserve"> Museum, Kraków</w:t>
      </w:r>
      <w:r w:rsidR="005A788F" w:rsidRPr="00771E6E">
        <w:t>.</w:t>
      </w:r>
    </w:p>
    <w:p w14:paraId="7419F243" w14:textId="77777777" w:rsidR="005C33B3" w:rsidRPr="00771E6E" w:rsidRDefault="005C33B3" w:rsidP="00494B1D">
      <w:pPr>
        <w:ind w:left="709" w:hanging="709"/>
        <w:rPr>
          <w:rStyle w:val="Hyperlink"/>
          <w:color w:val="000000" w:themeColor="text1"/>
        </w:rPr>
      </w:pPr>
      <w:r w:rsidRPr="00771E6E">
        <w:t xml:space="preserve">3.32 Workshop of Sandro Botticelli, Virgin and Child with Angel, ca. 1500, </w:t>
      </w:r>
      <w:proofErr w:type="spellStart"/>
      <w:r w:rsidRPr="00771E6E">
        <w:t>Musée</w:t>
      </w:r>
      <w:proofErr w:type="spellEnd"/>
      <w:r w:rsidRPr="00771E6E">
        <w:t xml:space="preserve"> du Petit-Palais, Avignon.</w:t>
      </w:r>
    </w:p>
    <w:p w14:paraId="226FE21D" w14:textId="77777777" w:rsidR="005C33B3" w:rsidRPr="00771E6E" w:rsidRDefault="005C33B3" w:rsidP="00494B1D">
      <w:pPr>
        <w:ind w:left="709" w:hanging="709"/>
      </w:pPr>
      <w:r w:rsidRPr="00771E6E">
        <w:t xml:space="preserve">3.33 Sandro Botticelli, Magnificat Tondo, 1481, Galleria </w:t>
      </w:r>
      <w:proofErr w:type="spellStart"/>
      <w:r w:rsidRPr="00771E6E">
        <w:t>degli</w:t>
      </w:r>
      <w:proofErr w:type="spellEnd"/>
      <w:r w:rsidRPr="00771E6E">
        <w:t xml:space="preserve"> Uffizi, Florence.</w:t>
      </w:r>
    </w:p>
    <w:p w14:paraId="39422A0F" w14:textId="77777777" w:rsidR="005C33B3" w:rsidRPr="00771E6E" w:rsidRDefault="005C33B3" w:rsidP="00494B1D">
      <w:pPr>
        <w:ind w:left="709" w:hanging="709"/>
      </w:pPr>
      <w:r w:rsidRPr="00771E6E">
        <w:t>3.34 Sandro Botticelli and workshop, Virgin and Child with one Angel, ca. 1490, Bob Jones University Museum and Gallery, Greenville (SC).</w:t>
      </w:r>
    </w:p>
    <w:p w14:paraId="3A544BC7" w14:textId="77777777" w:rsidR="005C33B3" w:rsidRPr="00771E6E" w:rsidRDefault="005C33B3" w:rsidP="00494B1D">
      <w:pPr>
        <w:ind w:left="709" w:hanging="709"/>
        <w:rPr>
          <w:u w:val="single"/>
        </w:rPr>
      </w:pPr>
      <w:r w:rsidRPr="00771E6E">
        <w:t>3.35 Sandro Botticelli, Madonna of the Pavilion, ca. 1490, Pinacoteca Ambrosiana, Milan.</w:t>
      </w:r>
    </w:p>
    <w:p w14:paraId="4EEBF253" w14:textId="77777777" w:rsidR="005C33B3" w:rsidRPr="00771E6E" w:rsidRDefault="005C33B3" w:rsidP="00494B1D">
      <w:pPr>
        <w:ind w:left="709" w:hanging="709"/>
      </w:pPr>
      <w:r w:rsidRPr="00771E6E">
        <w:t xml:space="preserve">3.36 Filippino Lippi, Tondo Corsini, ca. 1482-83, Fondazione </w:t>
      </w:r>
      <w:proofErr w:type="spellStart"/>
      <w:r w:rsidRPr="00771E6E">
        <w:t>Cassa</w:t>
      </w:r>
      <w:proofErr w:type="spellEnd"/>
      <w:r w:rsidRPr="00771E6E">
        <w:t xml:space="preserve"> di </w:t>
      </w:r>
      <w:proofErr w:type="spellStart"/>
      <w:r w:rsidRPr="00771E6E">
        <w:t>Risparmio</w:t>
      </w:r>
      <w:proofErr w:type="spellEnd"/>
      <w:r w:rsidRPr="00771E6E">
        <w:t>, Florence.</w:t>
      </w:r>
    </w:p>
    <w:p w14:paraId="4CBC3C9C" w14:textId="77777777" w:rsidR="005C33B3" w:rsidRPr="00771E6E" w:rsidRDefault="005C33B3" w:rsidP="00494B1D">
      <w:pPr>
        <w:ind w:left="709" w:hanging="709"/>
      </w:pPr>
      <w:r w:rsidRPr="00771E6E">
        <w:t>3.37 Filippino Lippi, Portrait of a Musician, ca. 1483-1485, National Gallery of Ireland, Dublin.</w:t>
      </w:r>
    </w:p>
    <w:p w14:paraId="6C6DFA12" w14:textId="77777777" w:rsidR="005C33B3" w:rsidRPr="00771E6E" w:rsidRDefault="005C33B3" w:rsidP="00494B1D">
      <w:pPr>
        <w:ind w:left="709" w:hanging="709"/>
      </w:pPr>
      <w:r w:rsidRPr="00771E6E">
        <w:lastRenderedPageBreak/>
        <w:t>3.38 Venetian artist, Head of Cherub Singing, 1470-1500, The Walters Art Museum, Baltimore (MD).</w:t>
      </w:r>
    </w:p>
    <w:p w14:paraId="521F76BB" w14:textId="77777777" w:rsidR="005C33B3" w:rsidRPr="00771E6E" w:rsidRDefault="005C33B3" w:rsidP="00494B1D">
      <w:pPr>
        <w:ind w:left="709" w:hanging="709"/>
      </w:pPr>
      <w:r w:rsidRPr="00771E6E">
        <w:t>3.39 Venetian artist, Head of Cherub Singing, 1470-1500, The Walters Art Museum, Baltimore (MD).</w:t>
      </w:r>
    </w:p>
    <w:p w14:paraId="1C1AB6E2" w14:textId="77777777" w:rsidR="005C33B3" w:rsidRPr="00771E6E" w:rsidRDefault="005C33B3" w:rsidP="00494B1D">
      <w:pPr>
        <w:ind w:left="709" w:hanging="709"/>
      </w:pPr>
      <w:r w:rsidRPr="00771E6E">
        <w:t>3.40 Filippino Lippi, Study of a Hand, ca. 1472-1504, British Museum, London.</w:t>
      </w:r>
    </w:p>
    <w:p w14:paraId="47E6B280" w14:textId="77777777" w:rsidR="005C33B3" w:rsidRPr="00771E6E" w:rsidRDefault="005C33B3" w:rsidP="00494B1D">
      <w:pPr>
        <w:ind w:left="709" w:hanging="709"/>
      </w:pPr>
      <w:r w:rsidRPr="00771E6E">
        <w:t xml:space="preserve">3.41 Master of the Holden Tondo, Virgin and Child with Angels, ca. 1485-90, The </w:t>
      </w:r>
      <w:proofErr w:type="spellStart"/>
      <w:r w:rsidRPr="00771E6E">
        <w:t>Courtauld</w:t>
      </w:r>
      <w:proofErr w:type="spellEnd"/>
      <w:r w:rsidRPr="00771E6E">
        <w:t xml:space="preserve"> Gallery, London.</w:t>
      </w:r>
    </w:p>
    <w:p w14:paraId="785AAD64" w14:textId="77777777" w:rsidR="005C33B3" w:rsidRPr="00771E6E" w:rsidRDefault="005C33B3" w:rsidP="00494B1D">
      <w:pPr>
        <w:ind w:left="709" w:hanging="709"/>
      </w:pPr>
      <w:r w:rsidRPr="00771E6E">
        <w:t>3.42 Raffaellino del Garbo, Virgin and Child with the Young S</w:t>
      </w:r>
      <w:r w:rsidR="005A788F" w:rsidRPr="00771E6E">
        <w:t>ain</w:t>
      </w:r>
      <w:r w:rsidRPr="00771E6E">
        <w:t>t John the Baptist and Angels, ca. 1493-94, Kelvingrove Art Gallery and Museum, Glasgow.</w:t>
      </w:r>
    </w:p>
    <w:p w14:paraId="49BACDD0" w14:textId="77777777" w:rsidR="005C33B3" w:rsidRPr="00771E6E" w:rsidRDefault="005C33B3" w:rsidP="00494B1D">
      <w:pPr>
        <w:ind w:left="709" w:hanging="709"/>
      </w:pPr>
      <w:r w:rsidRPr="00771E6E">
        <w:t>3.43 Filippino Lippi, The Holy Family with Saint John the Baptist and Saint Margaret, ca. 1495, The Cleveland Museum of Art, Cleveland (OH).</w:t>
      </w:r>
    </w:p>
    <w:p w14:paraId="1E768167" w14:textId="77777777" w:rsidR="005C33B3" w:rsidRPr="00771E6E" w:rsidRDefault="005C33B3" w:rsidP="00494B1D">
      <w:pPr>
        <w:ind w:left="709" w:hanging="709"/>
      </w:pPr>
      <w:r w:rsidRPr="00771E6E">
        <w:t>3.44 Raffaellino del Garbo, Virgin and Child with the Young S</w:t>
      </w:r>
      <w:r w:rsidR="005A788F" w:rsidRPr="00771E6E">
        <w:t>ain</w:t>
      </w:r>
      <w:r w:rsidRPr="00771E6E">
        <w:t xml:space="preserve">t John the Baptist, ca. 1485-1500, Museo di Capodimonte, Naples. </w:t>
      </w:r>
    </w:p>
    <w:p w14:paraId="434F01EB" w14:textId="77777777" w:rsidR="005C33B3" w:rsidRPr="00771E6E" w:rsidRDefault="005C33B3" w:rsidP="00494B1D">
      <w:pPr>
        <w:ind w:left="709" w:hanging="709"/>
      </w:pPr>
      <w:r w:rsidRPr="00771E6E">
        <w:t xml:space="preserve">3.45 Workshop of Raffaello </w:t>
      </w:r>
      <w:proofErr w:type="spellStart"/>
      <w:r w:rsidRPr="00771E6E">
        <w:t>Botticini</w:t>
      </w:r>
      <w:proofErr w:type="spellEnd"/>
      <w:r w:rsidRPr="00771E6E">
        <w:t xml:space="preserve"> (possibly with Giuliano </w:t>
      </w:r>
      <w:proofErr w:type="spellStart"/>
      <w:r w:rsidRPr="00771E6E">
        <w:t>Burgiardini</w:t>
      </w:r>
      <w:proofErr w:type="spellEnd"/>
      <w:r w:rsidRPr="00771E6E">
        <w:t>), Virgin and Child with the Young S</w:t>
      </w:r>
      <w:r w:rsidR="005A788F" w:rsidRPr="00771E6E">
        <w:t>ain</w:t>
      </w:r>
      <w:r w:rsidRPr="00771E6E">
        <w:t xml:space="preserve">t John the Baptist and Angels, Location unknown. </w:t>
      </w:r>
    </w:p>
    <w:p w14:paraId="4909625F" w14:textId="77777777" w:rsidR="005C33B3" w:rsidRPr="00771E6E" w:rsidRDefault="005C33B3" w:rsidP="00494B1D">
      <w:pPr>
        <w:ind w:left="709" w:hanging="709"/>
      </w:pPr>
      <w:r w:rsidRPr="00771E6E">
        <w:t>3.46 Piero di Cosimo, Virgin and Child with the Young Saint John the Baptist, Saint Cecilia and Angels, ca. 1505, Art Institute, Chicago (IL).</w:t>
      </w:r>
    </w:p>
    <w:p w14:paraId="080FB3BA" w14:textId="77777777" w:rsidR="005C33B3" w:rsidRPr="00771E6E" w:rsidRDefault="005C33B3" w:rsidP="00494B1D">
      <w:pPr>
        <w:ind w:left="709" w:hanging="709"/>
      </w:pPr>
      <w:r w:rsidRPr="00771E6E">
        <w:t>3.47 Master of the Borghese Tondo, Holy Family with Young S</w:t>
      </w:r>
      <w:r w:rsidR="005A788F" w:rsidRPr="00771E6E">
        <w:t>ain</w:t>
      </w:r>
      <w:r w:rsidRPr="00771E6E">
        <w:t>t John the Baptist and Angelic Choir, Location unknown.</w:t>
      </w:r>
    </w:p>
    <w:p w14:paraId="5D6E988C" w14:textId="77777777" w:rsidR="005C33B3" w:rsidRPr="00771E6E" w:rsidRDefault="005C33B3" w:rsidP="00494B1D">
      <w:pPr>
        <w:ind w:left="709" w:hanging="709"/>
      </w:pPr>
      <w:r w:rsidRPr="00771E6E">
        <w:t xml:space="preserve">3.48 </w:t>
      </w:r>
      <w:proofErr w:type="spellStart"/>
      <w:r w:rsidRPr="00771E6E">
        <w:t>Mariotto</w:t>
      </w:r>
      <w:proofErr w:type="spellEnd"/>
      <w:r w:rsidRPr="00771E6E">
        <w:t xml:space="preserve"> </w:t>
      </w:r>
      <w:proofErr w:type="spellStart"/>
      <w:r w:rsidRPr="00771E6E">
        <w:t>Albertinelli</w:t>
      </w:r>
      <w:proofErr w:type="spellEnd"/>
      <w:r w:rsidRPr="00771E6E">
        <w:t xml:space="preserve">, Adoration of the Child with an Angel and an Angelic Choir, ca. 1497-98, Galleria </w:t>
      </w:r>
      <w:proofErr w:type="spellStart"/>
      <w:r w:rsidRPr="00771E6E">
        <w:t>Palatina</w:t>
      </w:r>
      <w:proofErr w:type="spellEnd"/>
      <w:r w:rsidRPr="00771E6E">
        <w:t xml:space="preserve">, Palazzo </w:t>
      </w:r>
      <w:proofErr w:type="spellStart"/>
      <w:r w:rsidRPr="00771E6E">
        <w:t>Pitti</w:t>
      </w:r>
      <w:proofErr w:type="spellEnd"/>
      <w:r w:rsidRPr="00771E6E">
        <w:t>, Florence.</w:t>
      </w:r>
    </w:p>
    <w:p w14:paraId="76DF129D" w14:textId="77777777" w:rsidR="005C33B3" w:rsidRPr="00771E6E" w:rsidRDefault="005C33B3" w:rsidP="00494B1D">
      <w:pPr>
        <w:ind w:left="709" w:hanging="709"/>
      </w:pPr>
      <w:r w:rsidRPr="00771E6E">
        <w:rPr>
          <w:lang w:val="it-IT"/>
        </w:rPr>
        <w:t xml:space="preserve">3.49 </w:t>
      </w:r>
      <w:r w:rsidRPr="00771E6E">
        <w:t xml:space="preserve">Luca </w:t>
      </w:r>
      <w:proofErr w:type="spellStart"/>
      <w:r w:rsidRPr="00771E6E">
        <w:t>della</w:t>
      </w:r>
      <w:proofErr w:type="spellEnd"/>
      <w:r w:rsidRPr="00771E6E">
        <w:t xml:space="preserve"> Robbia (possibly with Andrea </w:t>
      </w:r>
      <w:proofErr w:type="spellStart"/>
      <w:r w:rsidRPr="00771E6E">
        <w:t>della</w:t>
      </w:r>
      <w:proofErr w:type="spellEnd"/>
      <w:r w:rsidRPr="00771E6E">
        <w:t xml:space="preserve"> Robbia), </w:t>
      </w:r>
      <w:proofErr w:type="spellStart"/>
      <w:r w:rsidRPr="00771E6E">
        <w:t>Foulc</w:t>
      </w:r>
      <w:proofErr w:type="spellEnd"/>
      <w:r w:rsidRPr="00771E6E">
        <w:t xml:space="preserve"> Adoration, ca. 146-s-70s, Philadel</w:t>
      </w:r>
      <w:r w:rsidR="005A788F" w:rsidRPr="00771E6E">
        <w:t>p</w:t>
      </w:r>
      <w:r w:rsidRPr="00771E6E">
        <w:t>hia Museum of Art, Philadel</w:t>
      </w:r>
      <w:r w:rsidR="005A788F" w:rsidRPr="00771E6E">
        <w:t>p</w:t>
      </w:r>
      <w:r w:rsidRPr="00771E6E">
        <w:t>hia (PA).</w:t>
      </w:r>
    </w:p>
    <w:p w14:paraId="66DA167B" w14:textId="77777777" w:rsidR="005C33B3" w:rsidRPr="00771E6E" w:rsidRDefault="005C33B3" w:rsidP="00494B1D">
      <w:pPr>
        <w:ind w:left="709" w:hanging="709"/>
      </w:pPr>
      <w:r w:rsidRPr="00771E6E">
        <w:t>3.50 Anonymous Italian Artist, The Nativity of Christ, 15</w:t>
      </w:r>
      <w:r w:rsidRPr="00771E6E">
        <w:rPr>
          <w:vertAlign w:val="superscript"/>
        </w:rPr>
        <w:t>th</w:t>
      </w:r>
      <w:r w:rsidRPr="00771E6E">
        <w:t xml:space="preserve"> c., Ashmolean Museum of Art and Archaeology, Oxford.</w:t>
      </w:r>
    </w:p>
    <w:p w14:paraId="579D59DA" w14:textId="77777777" w:rsidR="005C33B3" w:rsidRPr="00771E6E" w:rsidRDefault="005C33B3" w:rsidP="00494B1D">
      <w:pPr>
        <w:ind w:left="709" w:hanging="709"/>
      </w:pPr>
      <w:r w:rsidRPr="00771E6E">
        <w:t xml:space="preserve">3.51 Dish with Angels, ca. 1490, </w:t>
      </w:r>
      <w:proofErr w:type="spellStart"/>
      <w:r w:rsidRPr="00771E6E">
        <w:t>Musée</w:t>
      </w:r>
      <w:proofErr w:type="spellEnd"/>
      <w:r w:rsidRPr="00771E6E">
        <w:t xml:space="preserve"> du Louvre, Paris.</w:t>
      </w:r>
    </w:p>
    <w:p w14:paraId="4A8CF2FC" w14:textId="77777777" w:rsidR="005C33B3" w:rsidRPr="00771E6E" w:rsidRDefault="005C33B3" w:rsidP="00494B1D">
      <w:pPr>
        <w:ind w:left="709" w:hanging="709"/>
      </w:pPr>
      <w:r w:rsidRPr="00771E6E">
        <w:t xml:space="preserve">3.52 Piero di Cosimo, Holy Family with the Young Saint John the Baptist and Angels, ca. 1490-1500, </w:t>
      </w:r>
      <w:proofErr w:type="spellStart"/>
      <w:r w:rsidRPr="00771E6E">
        <w:t>Gemäldegalerie</w:t>
      </w:r>
      <w:proofErr w:type="spellEnd"/>
      <w:r w:rsidRPr="00771E6E">
        <w:t xml:space="preserve"> Alte Meister, Dresden.</w:t>
      </w:r>
    </w:p>
    <w:p w14:paraId="1C5291E1" w14:textId="77777777" w:rsidR="005C33B3" w:rsidRPr="00771E6E" w:rsidRDefault="005C33B3" w:rsidP="00494B1D">
      <w:pPr>
        <w:ind w:left="709" w:hanging="709"/>
      </w:pPr>
      <w:r w:rsidRPr="00771E6E">
        <w:t>3.53 Piero di Cosimo, Virgin and Child with Angels, ca. 1500, Galleria Moretti, Florence.</w:t>
      </w:r>
    </w:p>
    <w:p w14:paraId="26B32088" w14:textId="77777777" w:rsidR="005C33B3" w:rsidRPr="00771E6E" w:rsidRDefault="005C33B3" w:rsidP="00494B1D">
      <w:pPr>
        <w:ind w:left="709" w:hanging="709"/>
      </w:pPr>
      <w:r w:rsidRPr="00771E6E">
        <w:t>3.54 Piero di Cosimo, Adoration of the Child with the Young S</w:t>
      </w:r>
      <w:r w:rsidR="005A788F" w:rsidRPr="00771E6E">
        <w:t>ain</w:t>
      </w:r>
      <w:r w:rsidRPr="00771E6E">
        <w:t>t John the Baptist and Angels, 1505, Galleria Borghese, Rome.</w:t>
      </w:r>
    </w:p>
    <w:p w14:paraId="40F3D94C" w14:textId="77777777" w:rsidR="005C33B3" w:rsidRPr="00771E6E" w:rsidRDefault="005C33B3" w:rsidP="00494B1D">
      <w:pPr>
        <w:ind w:left="709" w:hanging="709"/>
      </w:pPr>
      <w:r w:rsidRPr="00771E6E">
        <w:lastRenderedPageBreak/>
        <w:t>3.55 Piero di Cosimo, Adoration of the Child with the Young S</w:t>
      </w:r>
      <w:r w:rsidR="005A788F" w:rsidRPr="00771E6E">
        <w:t>ain</w:t>
      </w:r>
      <w:r w:rsidRPr="00771E6E">
        <w:t>t John the Baptist and Angels, early 1500s, The State Hermitage Museum, Saint Petersburg.</w:t>
      </w:r>
    </w:p>
    <w:p w14:paraId="65E414EB" w14:textId="77777777" w:rsidR="005C33B3" w:rsidRPr="00771E6E" w:rsidRDefault="005C33B3" w:rsidP="00494B1D">
      <w:pPr>
        <w:ind w:left="709" w:hanging="709"/>
      </w:pPr>
      <w:r w:rsidRPr="00771E6E">
        <w:t>3.56 Piero di Cosimo, Virgin and Child with Angels, Private Collection.</w:t>
      </w:r>
    </w:p>
    <w:p w14:paraId="7A03732E" w14:textId="77777777" w:rsidR="005C33B3" w:rsidRPr="00771E6E" w:rsidRDefault="005C33B3" w:rsidP="00494B1D">
      <w:pPr>
        <w:ind w:left="709" w:hanging="709"/>
      </w:pPr>
      <w:r w:rsidRPr="00771E6E">
        <w:t>3.57 Virgin and Child with the Young S</w:t>
      </w:r>
      <w:r w:rsidR="005A788F" w:rsidRPr="00771E6E">
        <w:t>ain</w:t>
      </w:r>
      <w:r w:rsidRPr="00771E6E">
        <w:t>t John the Baptist and Angels, 1510-20, The State Hermitage Museum, Saint Petersburg.</w:t>
      </w:r>
    </w:p>
    <w:p w14:paraId="7166968E" w14:textId="77777777" w:rsidR="005C33B3" w:rsidRPr="00771E6E" w:rsidRDefault="005C33B3" w:rsidP="00494B1D">
      <w:pPr>
        <w:ind w:left="709" w:hanging="709"/>
      </w:pPr>
      <w:r w:rsidRPr="00771E6E">
        <w:t xml:space="preserve">3.58 </w:t>
      </w:r>
      <w:proofErr w:type="spellStart"/>
      <w:r w:rsidRPr="00771E6E">
        <w:t>Biagio</w:t>
      </w:r>
      <w:proofErr w:type="spellEnd"/>
      <w:r w:rsidRPr="00771E6E">
        <w:t xml:space="preserve"> di Antonio Tucci, Virgin and Child with the Young S</w:t>
      </w:r>
      <w:r w:rsidR="005A788F" w:rsidRPr="00771E6E">
        <w:t>ain</w:t>
      </w:r>
      <w:r w:rsidRPr="00771E6E">
        <w:t xml:space="preserve">t John the Baptist and an Angel, Galleria Franchetti, Ca’ </w:t>
      </w:r>
      <w:proofErr w:type="spellStart"/>
      <w:r w:rsidRPr="00771E6E">
        <w:t>d’Oro</w:t>
      </w:r>
      <w:proofErr w:type="spellEnd"/>
      <w:r w:rsidRPr="00771E6E">
        <w:t>, Venice.</w:t>
      </w:r>
    </w:p>
    <w:p w14:paraId="07AAC6B1" w14:textId="77777777" w:rsidR="005C33B3" w:rsidRPr="00771E6E" w:rsidRDefault="005C33B3" w:rsidP="00494B1D">
      <w:pPr>
        <w:ind w:left="709" w:hanging="709"/>
      </w:pPr>
      <w:r w:rsidRPr="00771E6E">
        <w:t>3.59 Anonymous from Perugino’s Circle, Virgin and Child with the Young S</w:t>
      </w:r>
      <w:r w:rsidR="005A788F" w:rsidRPr="00771E6E">
        <w:t>ain</w:t>
      </w:r>
      <w:r w:rsidRPr="00771E6E">
        <w:t xml:space="preserve">t John the Baptist and an Angel, Galleria Franchetti, Ca’ </w:t>
      </w:r>
      <w:proofErr w:type="spellStart"/>
      <w:r w:rsidRPr="00771E6E">
        <w:t>d’Oro</w:t>
      </w:r>
      <w:proofErr w:type="spellEnd"/>
      <w:r w:rsidRPr="00771E6E">
        <w:t xml:space="preserve">, Venice. </w:t>
      </w:r>
    </w:p>
    <w:p w14:paraId="3D952694" w14:textId="77777777" w:rsidR="005C33B3" w:rsidRPr="00771E6E" w:rsidRDefault="005C33B3" w:rsidP="00494B1D">
      <w:pPr>
        <w:ind w:left="709" w:hanging="709"/>
        <w:rPr>
          <w:rStyle w:val="Hyperlink"/>
          <w:color w:val="000000" w:themeColor="text1"/>
        </w:rPr>
      </w:pPr>
      <w:r w:rsidRPr="00771E6E">
        <w:t xml:space="preserve">3.60 Raffaellino del Garbo, Virgin and Child with Angels, ca. 1496-98, </w:t>
      </w:r>
      <w:proofErr w:type="spellStart"/>
      <w:r w:rsidRPr="00771E6E">
        <w:t>Gemäldegalerie</w:t>
      </w:r>
      <w:proofErr w:type="spellEnd"/>
      <w:r w:rsidRPr="00771E6E">
        <w:t>, Berlin.</w:t>
      </w:r>
    </w:p>
    <w:p w14:paraId="1DF5D109" w14:textId="77777777" w:rsidR="005C33B3" w:rsidRPr="00771E6E" w:rsidRDefault="005C33B3" w:rsidP="00494B1D">
      <w:pPr>
        <w:ind w:left="709" w:hanging="709"/>
        <w:rPr>
          <w:rStyle w:val="Hyperlink"/>
          <w:color w:val="000000" w:themeColor="text1"/>
        </w:rPr>
      </w:pPr>
      <w:r w:rsidRPr="00771E6E">
        <w:t xml:space="preserve">3.61 Garofalo, Athena and Poseidon, 1512, </w:t>
      </w:r>
      <w:proofErr w:type="spellStart"/>
      <w:r w:rsidRPr="00771E6E">
        <w:t>Gemäldegalerie</w:t>
      </w:r>
      <w:proofErr w:type="spellEnd"/>
      <w:r w:rsidRPr="00771E6E">
        <w:t xml:space="preserve"> Alte Meister, Dresden</w:t>
      </w:r>
      <w:r w:rsidRPr="00771E6E">
        <w:rPr>
          <w:rStyle w:val="Hyperlink"/>
          <w:color w:val="000000" w:themeColor="text1"/>
        </w:rPr>
        <w:t>.</w:t>
      </w:r>
    </w:p>
    <w:p w14:paraId="7A6114DE" w14:textId="77777777" w:rsidR="005C33B3" w:rsidRPr="00771E6E" w:rsidRDefault="005C33B3" w:rsidP="00494B1D">
      <w:pPr>
        <w:ind w:left="709" w:hanging="709"/>
      </w:pPr>
      <w:r w:rsidRPr="00771E6E">
        <w:t>3.62</w:t>
      </w:r>
      <w:r w:rsidRPr="00771E6E">
        <w:rPr>
          <w:rStyle w:val="Hyperlink"/>
          <w:color w:val="000000" w:themeColor="text1"/>
          <w:u w:val="none"/>
        </w:rPr>
        <w:t xml:space="preserve"> </w:t>
      </w:r>
      <w:proofErr w:type="spellStart"/>
      <w:r w:rsidRPr="00771E6E">
        <w:t>Cima</w:t>
      </w:r>
      <w:proofErr w:type="spellEnd"/>
      <w:r w:rsidRPr="00771E6E">
        <w:t xml:space="preserve"> da Conegliano, The Judgement of Midas, ca. 1505-10, Galleria Nazionale, Parma.</w:t>
      </w:r>
    </w:p>
    <w:p w14:paraId="796A773D" w14:textId="77777777" w:rsidR="005C33B3" w:rsidRPr="00771E6E" w:rsidRDefault="005C33B3" w:rsidP="00494B1D">
      <w:pPr>
        <w:ind w:left="709" w:hanging="709"/>
      </w:pPr>
      <w:r w:rsidRPr="00771E6E">
        <w:t xml:space="preserve">3.63 </w:t>
      </w:r>
      <w:proofErr w:type="spellStart"/>
      <w:r w:rsidRPr="00771E6E">
        <w:t>Cima</w:t>
      </w:r>
      <w:proofErr w:type="spellEnd"/>
      <w:r w:rsidRPr="00771E6E">
        <w:t xml:space="preserve"> da Conegliano, The Judgement of Midas, ca. 1513-1517, </w:t>
      </w:r>
      <w:proofErr w:type="spellStart"/>
      <w:r w:rsidRPr="00771E6E">
        <w:t>Statens</w:t>
      </w:r>
      <w:proofErr w:type="spellEnd"/>
      <w:r w:rsidRPr="00771E6E">
        <w:t xml:space="preserve"> Museum for Kunst, Copenhagen.</w:t>
      </w:r>
    </w:p>
    <w:p w14:paraId="046D6343" w14:textId="77777777" w:rsidR="005C33B3" w:rsidRPr="00771E6E" w:rsidRDefault="005C33B3" w:rsidP="00C551AC">
      <w:pPr>
        <w:ind w:left="709" w:hanging="709"/>
      </w:pPr>
      <w:r w:rsidRPr="00771E6E">
        <w:t xml:space="preserve">3.64 Girolamo di Benvenuto, Hercules at the Crossroads, ca. 1500, Galleria Franchetti, Ca’ </w:t>
      </w:r>
      <w:proofErr w:type="spellStart"/>
      <w:r w:rsidRPr="00771E6E">
        <w:t>d’Oro</w:t>
      </w:r>
      <w:proofErr w:type="spellEnd"/>
      <w:r w:rsidRPr="00771E6E">
        <w:t>, Venice.</w:t>
      </w:r>
    </w:p>
    <w:p w14:paraId="7385BDCE" w14:textId="77777777" w:rsidR="0064772C" w:rsidRPr="00771E6E" w:rsidRDefault="0064772C" w:rsidP="005C33B3"/>
    <w:p w14:paraId="6CCF7813" w14:textId="77777777" w:rsidR="005C33B3" w:rsidRPr="00771E6E" w:rsidRDefault="005C33B3" w:rsidP="005C33B3">
      <w:pPr>
        <w:rPr>
          <w:b/>
        </w:rPr>
      </w:pPr>
      <w:r w:rsidRPr="00771E6E">
        <w:rPr>
          <w:b/>
        </w:rPr>
        <w:t>Chapter 4</w:t>
      </w:r>
    </w:p>
    <w:p w14:paraId="6E3E7500" w14:textId="77777777" w:rsidR="005C33B3" w:rsidRPr="00771E6E" w:rsidRDefault="005C33B3" w:rsidP="005C33B3"/>
    <w:p w14:paraId="6D1B63D4" w14:textId="77777777" w:rsidR="005C33B3" w:rsidRPr="00771E6E" w:rsidRDefault="005C33B3" w:rsidP="008F008F">
      <w:pPr>
        <w:ind w:left="709" w:hanging="709"/>
        <w:rPr>
          <w:rFonts w:eastAsia="Times New Roman"/>
        </w:rPr>
      </w:pPr>
      <w:r w:rsidRPr="00771E6E">
        <w:t xml:space="preserve">4.1 </w:t>
      </w:r>
      <w:r w:rsidRPr="00771E6E">
        <w:rPr>
          <w:rFonts w:eastAsia="Times New Roman"/>
        </w:rPr>
        <w:t xml:space="preserve">Piero </w:t>
      </w:r>
      <w:proofErr w:type="spellStart"/>
      <w:r w:rsidRPr="00771E6E">
        <w:rPr>
          <w:rFonts w:eastAsia="Times New Roman"/>
        </w:rPr>
        <w:t>della</w:t>
      </w:r>
      <w:proofErr w:type="spellEnd"/>
      <w:r w:rsidRPr="00771E6E">
        <w:rPr>
          <w:rFonts w:eastAsia="Times New Roman"/>
        </w:rPr>
        <w:t xml:space="preserve"> Francesca, The </w:t>
      </w:r>
      <w:proofErr w:type="spellStart"/>
      <w:r w:rsidRPr="00771E6E">
        <w:rPr>
          <w:rFonts w:eastAsia="Times New Roman"/>
          <w:lang w:val="it-IT"/>
        </w:rPr>
        <w:t>Nativity</w:t>
      </w:r>
      <w:proofErr w:type="spellEnd"/>
      <w:r w:rsidRPr="00771E6E">
        <w:rPr>
          <w:rFonts w:eastAsia="Times New Roman"/>
        </w:rPr>
        <w:t>, ca. 1480, National Gallery, London.</w:t>
      </w:r>
    </w:p>
    <w:p w14:paraId="4ED1AC55" w14:textId="77777777" w:rsidR="005C33B3" w:rsidRPr="00771E6E" w:rsidRDefault="005C33B3" w:rsidP="008F008F">
      <w:pPr>
        <w:ind w:left="709" w:hanging="709"/>
        <w:rPr>
          <w:rFonts w:eastAsia="Times New Roman"/>
        </w:rPr>
      </w:pPr>
      <w:r w:rsidRPr="00771E6E">
        <w:rPr>
          <w:rFonts w:eastAsia="Times New Roman"/>
        </w:rPr>
        <w:t xml:space="preserve">4.2 </w:t>
      </w:r>
      <w:r w:rsidRPr="00771E6E">
        <w:t>Apollonio di Giovanni and Workshop, Virgin and Child with Angels, ca. 1435-45, Location unknown.</w:t>
      </w:r>
    </w:p>
    <w:p w14:paraId="5CCD1D82" w14:textId="77777777" w:rsidR="005C33B3" w:rsidRPr="00771E6E" w:rsidRDefault="005C33B3" w:rsidP="008F008F">
      <w:pPr>
        <w:ind w:left="709" w:hanging="709"/>
        <w:rPr>
          <w:rFonts w:eastAsia="Times New Roman"/>
        </w:rPr>
      </w:pPr>
      <w:r w:rsidRPr="00771E6E">
        <w:rPr>
          <w:rFonts w:eastAsia="Times New Roman"/>
        </w:rPr>
        <w:t xml:space="preserve">4.3 </w:t>
      </w:r>
      <w:r w:rsidRPr="00771E6E">
        <w:t xml:space="preserve">Apollonio di Giovanni and Workshop, Two Children, ca. 1450-60, </w:t>
      </w:r>
      <w:r w:rsidRPr="00771E6E">
        <w:rPr>
          <w:rFonts w:eastAsia="Times New Roman"/>
        </w:rPr>
        <w:t>North Carolina Museum of Art, Raleigh (NC).</w:t>
      </w:r>
    </w:p>
    <w:p w14:paraId="43F1DBE5" w14:textId="77777777" w:rsidR="005C33B3" w:rsidRPr="00771E6E" w:rsidRDefault="005C33B3" w:rsidP="008F008F">
      <w:pPr>
        <w:ind w:left="709" w:hanging="709"/>
        <w:rPr>
          <w:rFonts w:eastAsia="Times New Roman"/>
        </w:rPr>
      </w:pPr>
      <w:r w:rsidRPr="00771E6E">
        <w:rPr>
          <w:rFonts w:eastAsia="Times New Roman"/>
        </w:rPr>
        <w:t xml:space="preserve">4.4 </w:t>
      </w:r>
      <w:r w:rsidRPr="00771E6E">
        <w:t xml:space="preserve">Apollonio di Giovanni and Workshop, Virgin and Child with Angels, 1450-75, Formerly in the </w:t>
      </w:r>
      <w:proofErr w:type="spellStart"/>
      <w:r w:rsidRPr="00771E6E">
        <w:t>Toscanelli</w:t>
      </w:r>
      <w:proofErr w:type="spellEnd"/>
      <w:r w:rsidRPr="00771E6E">
        <w:t xml:space="preserve"> Collection, Location unknown</w:t>
      </w:r>
      <w:r w:rsidRPr="00771E6E">
        <w:rPr>
          <w:rFonts w:eastAsia="Times New Roman"/>
        </w:rPr>
        <w:t>.</w:t>
      </w:r>
    </w:p>
    <w:p w14:paraId="308DA799" w14:textId="77777777" w:rsidR="005C33B3" w:rsidRPr="00771E6E" w:rsidRDefault="005C33B3" w:rsidP="008F008F">
      <w:pPr>
        <w:ind w:left="709" w:hanging="709"/>
        <w:rPr>
          <w:rFonts w:eastAsia="Times New Roman"/>
          <w:lang w:val="it-IT"/>
        </w:rPr>
      </w:pPr>
      <w:r w:rsidRPr="00771E6E">
        <w:rPr>
          <w:rFonts w:eastAsia="Times New Roman"/>
        </w:rPr>
        <w:t xml:space="preserve">4.5 </w:t>
      </w:r>
      <w:r w:rsidRPr="00771E6E">
        <w:t>Apollonio di Giovanni and Workshop, Virgin and Child with Angels, ca.</w:t>
      </w:r>
      <w:r w:rsidRPr="00771E6E">
        <w:rPr>
          <w:rFonts w:eastAsia="Times New Roman"/>
        </w:rPr>
        <w:t xml:space="preserve"> 1450, Doris </w:t>
      </w:r>
      <w:proofErr w:type="spellStart"/>
      <w:r w:rsidRPr="00771E6E">
        <w:rPr>
          <w:rFonts w:eastAsia="Times New Roman"/>
        </w:rPr>
        <w:t>Ulmann</w:t>
      </w:r>
      <w:proofErr w:type="spellEnd"/>
      <w:r w:rsidRPr="00771E6E">
        <w:rPr>
          <w:rFonts w:eastAsia="Times New Roman"/>
        </w:rPr>
        <w:t xml:space="preserve"> Galleries, Berea College, Berea (KY)</w:t>
      </w:r>
      <w:r w:rsidRPr="00771E6E">
        <w:rPr>
          <w:rFonts w:eastAsia="Times New Roman"/>
          <w:lang w:val="it-IT"/>
        </w:rPr>
        <w:t>.</w:t>
      </w:r>
    </w:p>
    <w:p w14:paraId="45637664" w14:textId="77777777" w:rsidR="005C33B3" w:rsidRPr="00771E6E" w:rsidRDefault="005C33B3" w:rsidP="008F008F">
      <w:pPr>
        <w:ind w:left="709" w:hanging="709"/>
        <w:rPr>
          <w:rFonts w:eastAsia="Times New Roman"/>
        </w:rPr>
      </w:pPr>
      <w:r w:rsidRPr="00771E6E">
        <w:rPr>
          <w:rFonts w:eastAsia="Times New Roman"/>
          <w:lang w:val="it-IT"/>
        </w:rPr>
        <w:t xml:space="preserve">4.6 </w:t>
      </w:r>
      <w:r w:rsidRPr="00771E6E">
        <w:t xml:space="preserve">Apollonio di Giovanni and Workshop, Virgin and Child with Angels, </w:t>
      </w:r>
      <w:r w:rsidRPr="00771E6E">
        <w:rPr>
          <w:rFonts w:eastAsia="Times New Roman"/>
        </w:rPr>
        <w:t xml:space="preserve">Villa I </w:t>
      </w:r>
      <w:proofErr w:type="spellStart"/>
      <w:r w:rsidRPr="00771E6E">
        <w:rPr>
          <w:rFonts w:eastAsia="Times New Roman"/>
        </w:rPr>
        <w:t>Tatti</w:t>
      </w:r>
      <w:proofErr w:type="spellEnd"/>
      <w:r w:rsidRPr="00771E6E">
        <w:rPr>
          <w:rFonts w:eastAsia="Times New Roman"/>
        </w:rPr>
        <w:t>, Florence.</w:t>
      </w:r>
    </w:p>
    <w:p w14:paraId="13C1C40E" w14:textId="77777777" w:rsidR="005C33B3" w:rsidRPr="00771E6E" w:rsidRDefault="005C33B3" w:rsidP="008F008F">
      <w:pPr>
        <w:ind w:left="709" w:hanging="709"/>
      </w:pPr>
      <w:r w:rsidRPr="00771E6E">
        <w:rPr>
          <w:rFonts w:eastAsia="Times New Roman"/>
        </w:rPr>
        <w:t xml:space="preserve">4.7 </w:t>
      </w:r>
      <w:r w:rsidRPr="00771E6E">
        <w:t>Apollonio di Giovanni and Workshop, Virgin and Child with Angels, ca. 1450,</w:t>
      </w:r>
      <w:r w:rsidR="008F008F" w:rsidRPr="00771E6E">
        <w:t xml:space="preserve"> </w:t>
      </w:r>
      <w:r w:rsidRPr="00771E6E">
        <w:t>Harvard University Art Museums, Fogg Art Museum, Cambridge (MA).</w:t>
      </w:r>
    </w:p>
    <w:p w14:paraId="0B8B0BE1" w14:textId="77777777" w:rsidR="005C33B3" w:rsidRPr="00771E6E" w:rsidRDefault="005C33B3" w:rsidP="008F008F">
      <w:pPr>
        <w:ind w:left="709" w:hanging="709"/>
        <w:rPr>
          <w:rFonts w:eastAsia="Times New Roman"/>
        </w:rPr>
      </w:pPr>
      <w:r w:rsidRPr="00771E6E">
        <w:rPr>
          <w:rFonts w:eastAsia="Times New Roman"/>
        </w:rPr>
        <w:lastRenderedPageBreak/>
        <w:t xml:space="preserve">4.8 Luca </w:t>
      </w:r>
      <w:proofErr w:type="spellStart"/>
      <w:r w:rsidRPr="00771E6E">
        <w:rPr>
          <w:rFonts w:eastAsia="Times New Roman"/>
        </w:rPr>
        <w:t>della</w:t>
      </w:r>
      <w:proofErr w:type="spellEnd"/>
      <w:r w:rsidRPr="00771E6E">
        <w:rPr>
          <w:rFonts w:eastAsia="Times New Roman"/>
        </w:rPr>
        <w:t xml:space="preserve"> Robbia, Madonna of the Apple, 1442-44, Museo Nazionale del Bargello, Florence.</w:t>
      </w:r>
    </w:p>
    <w:p w14:paraId="70537274" w14:textId="77777777" w:rsidR="005C33B3" w:rsidRPr="00771E6E" w:rsidRDefault="005C33B3" w:rsidP="008F008F">
      <w:pPr>
        <w:ind w:left="709" w:hanging="709"/>
        <w:rPr>
          <w:rFonts w:eastAsia="Times New Roman"/>
        </w:rPr>
      </w:pPr>
      <w:r w:rsidRPr="00771E6E">
        <w:rPr>
          <w:rFonts w:eastAsia="Times New Roman"/>
        </w:rPr>
        <w:t xml:space="preserve">4.9 </w:t>
      </w:r>
      <w:r w:rsidRPr="00771E6E">
        <w:t xml:space="preserve">Andrea </w:t>
      </w:r>
      <w:proofErr w:type="spellStart"/>
      <w:r w:rsidRPr="00771E6E">
        <w:t>della</w:t>
      </w:r>
      <w:proofErr w:type="spellEnd"/>
      <w:r w:rsidRPr="00771E6E">
        <w:t xml:space="preserve"> Robbia, Bust of a Boy, ca. 1475, </w:t>
      </w:r>
      <w:r w:rsidRPr="00771E6E">
        <w:rPr>
          <w:rFonts w:eastAsia="Times New Roman"/>
        </w:rPr>
        <w:t>Museo Nazionale del Bargello, Florence.</w:t>
      </w:r>
    </w:p>
    <w:p w14:paraId="4C5AC36D" w14:textId="77777777" w:rsidR="005C33B3" w:rsidRPr="00771E6E" w:rsidRDefault="005C33B3" w:rsidP="008F008F">
      <w:pPr>
        <w:ind w:left="709" w:hanging="709"/>
        <w:rPr>
          <w:rFonts w:eastAsia="Times New Roman"/>
        </w:rPr>
      </w:pPr>
      <w:r w:rsidRPr="00771E6E">
        <w:rPr>
          <w:rFonts w:eastAsia="Times New Roman"/>
        </w:rPr>
        <w:t xml:space="preserve">4.10 </w:t>
      </w:r>
      <w:r w:rsidRPr="00771E6E">
        <w:t xml:space="preserve">Giovanni </w:t>
      </w:r>
      <w:proofErr w:type="spellStart"/>
      <w:r w:rsidRPr="00771E6E">
        <w:t>della</w:t>
      </w:r>
      <w:proofErr w:type="spellEnd"/>
      <w:r w:rsidRPr="00771E6E">
        <w:t xml:space="preserve"> Robbia, Meeting of t</w:t>
      </w:r>
      <w:r w:rsidRPr="00771E6E">
        <w:rPr>
          <w:rFonts w:eastAsia="Times New Roman"/>
        </w:rPr>
        <w:t>he Christ child and young Saint John the Baptist, ca. 1510, Museo Nazionale del Bargello, Florence.</w:t>
      </w:r>
    </w:p>
    <w:p w14:paraId="51080D08" w14:textId="77777777" w:rsidR="005C33B3" w:rsidRPr="00771E6E" w:rsidRDefault="005C33B3" w:rsidP="008F008F">
      <w:pPr>
        <w:ind w:left="709" w:hanging="709"/>
        <w:rPr>
          <w:rStyle w:val="CommentReference"/>
          <w:color w:val="000000" w:themeColor="text1"/>
        </w:rPr>
      </w:pPr>
      <w:r w:rsidRPr="00771E6E">
        <w:rPr>
          <w:rFonts w:eastAsia="Times New Roman"/>
        </w:rPr>
        <w:t xml:space="preserve">4.11 </w:t>
      </w:r>
      <w:r w:rsidRPr="00771E6E">
        <w:t xml:space="preserve">Luca </w:t>
      </w:r>
      <w:proofErr w:type="spellStart"/>
      <w:r w:rsidRPr="00771E6E">
        <w:t>della</w:t>
      </w:r>
      <w:proofErr w:type="spellEnd"/>
      <w:r w:rsidRPr="00771E6E">
        <w:t xml:space="preserve"> Robbia, Nativity, ca. 1470, </w:t>
      </w:r>
      <w:r w:rsidRPr="00771E6E">
        <w:rPr>
          <w:rFonts w:eastAsia="Times New Roman"/>
        </w:rPr>
        <w:t>Museum of Fine Arts, Boston.</w:t>
      </w:r>
    </w:p>
    <w:p w14:paraId="3CE8BCFB" w14:textId="77777777" w:rsidR="005C33B3" w:rsidRPr="00771E6E" w:rsidRDefault="005C33B3" w:rsidP="008F008F">
      <w:pPr>
        <w:ind w:left="709" w:hanging="709"/>
        <w:rPr>
          <w:rFonts w:eastAsia="Times New Roman"/>
        </w:rPr>
      </w:pPr>
      <w:r w:rsidRPr="00771E6E">
        <w:t xml:space="preserve">4.12 Luca </w:t>
      </w:r>
      <w:proofErr w:type="spellStart"/>
      <w:r w:rsidRPr="00771E6E">
        <w:t>della</w:t>
      </w:r>
      <w:proofErr w:type="spellEnd"/>
      <w:r w:rsidRPr="00771E6E">
        <w:t xml:space="preserve"> Robbia (</w:t>
      </w:r>
      <w:proofErr w:type="spellStart"/>
      <w:r w:rsidRPr="00771E6E">
        <w:t>attr</w:t>
      </w:r>
      <w:proofErr w:type="spellEnd"/>
      <w:r w:rsidRPr="00771E6E">
        <w:t xml:space="preserve">. to), Virgin of the Humility, ca. 1460-70, </w:t>
      </w:r>
      <w:r w:rsidRPr="00771E6E">
        <w:rPr>
          <w:rFonts w:eastAsia="Times New Roman"/>
        </w:rPr>
        <w:t>Museum of Fine Arts, Boston.</w:t>
      </w:r>
    </w:p>
    <w:p w14:paraId="47A6B131" w14:textId="77777777" w:rsidR="005C33B3" w:rsidRPr="00771E6E" w:rsidRDefault="005C33B3" w:rsidP="008F008F">
      <w:pPr>
        <w:ind w:left="709" w:hanging="709"/>
        <w:rPr>
          <w:rFonts w:eastAsia="Times New Roman"/>
        </w:rPr>
      </w:pPr>
      <w:r w:rsidRPr="00771E6E">
        <w:rPr>
          <w:rFonts w:eastAsia="Times New Roman"/>
        </w:rPr>
        <w:t xml:space="preserve">4.13 </w:t>
      </w:r>
      <w:r w:rsidRPr="00771E6E">
        <w:t>Anonymous Florentine Artist, Virgin and Child with Saints and Angels, mid-15</w:t>
      </w:r>
      <w:r w:rsidRPr="00771E6E">
        <w:rPr>
          <w:vertAlign w:val="superscript"/>
        </w:rPr>
        <w:t>th</w:t>
      </w:r>
      <w:r w:rsidRPr="00771E6E">
        <w:t xml:space="preserve"> c., Victoria and Albert Museum, London</w:t>
      </w:r>
      <w:r w:rsidRPr="00771E6E">
        <w:rPr>
          <w:rFonts w:eastAsia="Times New Roman"/>
        </w:rPr>
        <w:t>.</w:t>
      </w:r>
    </w:p>
    <w:p w14:paraId="60E86DA1" w14:textId="77777777" w:rsidR="005C33B3" w:rsidRPr="00771E6E" w:rsidRDefault="005C33B3" w:rsidP="008F008F">
      <w:pPr>
        <w:ind w:left="709" w:hanging="709"/>
        <w:rPr>
          <w:rFonts w:eastAsia="Times New Roman"/>
        </w:rPr>
      </w:pPr>
      <w:r w:rsidRPr="00771E6E">
        <w:rPr>
          <w:rFonts w:eastAsia="Times New Roman"/>
        </w:rPr>
        <w:t>4.14</w:t>
      </w:r>
      <w:r w:rsidRPr="00771E6E">
        <w:t xml:space="preserve"> Donatello, Virgin and Child with Angels, mid-15</w:t>
      </w:r>
      <w:r w:rsidRPr="00771E6E">
        <w:rPr>
          <w:vertAlign w:val="superscript"/>
        </w:rPr>
        <w:t>th</w:t>
      </w:r>
      <w:r w:rsidRPr="00771E6E">
        <w:t xml:space="preserve"> c., Victoria and Albert Museum, London</w:t>
      </w:r>
      <w:r w:rsidRPr="00771E6E">
        <w:rPr>
          <w:rFonts w:eastAsia="Times New Roman"/>
        </w:rPr>
        <w:t>.</w:t>
      </w:r>
    </w:p>
    <w:p w14:paraId="4FC2A89B" w14:textId="77777777" w:rsidR="005C33B3" w:rsidRPr="00771E6E" w:rsidRDefault="005C33B3" w:rsidP="008F008F">
      <w:pPr>
        <w:ind w:left="709" w:hanging="709"/>
        <w:rPr>
          <w:rFonts w:eastAsia="Times New Roman"/>
        </w:rPr>
      </w:pPr>
      <w:r w:rsidRPr="00771E6E">
        <w:rPr>
          <w:rFonts w:eastAsia="Times New Roman"/>
        </w:rPr>
        <w:t xml:space="preserve">4.15 </w:t>
      </w:r>
      <w:proofErr w:type="spellStart"/>
      <w:r w:rsidRPr="00771E6E">
        <w:t>Moderno</w:t>
      </w:r>
      <w:proofErr w:type="spellEnd"/>
      <w:r w:rsidRPr="00771E6E">
        <w:t>, The Virgin and child with St Anthony Abbot and St Jerome, ca. 1490, Victoria and Albert Museum, London</w:t>
      </w:r>
      <w:r w:rsidRPr="00771E6E">
        <w:rPr>
          <w:rFonts w:eastAsia="Times New Roman"/>
        </w:rPr>
        <w:t>.</w:t>
      </w:r>
    </w:p>
    <w:p w14:paraId="79CB2A75" w14:textId="77777777" w:rsidR="005C33B3" w:rsidRPr="00771E6E" w:rsidRDefault="005C33B3" w:rsidP="008F008F">
      <w:pPr>
        <w:ind w:left="709" w:hanging="709"/>
        <w:rPr>
          <w:rFonts w:eastAsia="Times New Roman"/>
        </w:rPr>
      </w:pPr>
      <w:r w:rsidRPr="00771E6E">
        <w:rPr>
          <w:rFonts w:eastAsia="Times New Roman"/>
        </w:rPr>
        <w:t xml:space="preserve">4.16 </w:t>
      </w:r>
      <w:proofErr w:type="spellStart"/>
      <w:r w:rsidRPr="00771E6E">
        <w:t>Benozzo</w:t>
      </w:r>
      <w:proofErr w:type="spellEnd"/>
      <w:r w:rsidRPr="00771E6E">
        <w:t xml:space="preserve"> </w:t>
      </w:r>
      <w:proofErr w:type="spellStart"/>
      <w:r w:rsidRPr="00771E6E">
        <w:t>Gozzoli</w:t>
      </w:r>
      <w:proofErr w:type="spellEnd"/>
      <w:r w:rsidRPr="00771E6E">
        <w:t>, Angels from Magi Chapel, 1457, Palazzo Medici-</w:t>
      </w:r>
      <w:proofErr w:type="spellStart"/>
      <w:r w:rsidRPr="00771E6E">
        <w:t>Riccardi</w:t>
      </w:r>
      <w:proofErr w:type="spellEnd"/>
      <w:r w:rsidRPr="00771E6E">
        <w:t>, Florence.</w:t>
      </w:r>
    </w:p>
    <w:p w14:paraId="0228B6C8" w14:textId="77777777" w:rsidR="005C33B3" w:rsidRPr="00771E6E" w:rsidRDefault="005C33B3" w:rsidP="008F008F">
      <w:pPr>
        <w:ind w:left="709" w:hanging="709"/>
        <w:rPr>
          <w:rFonts w:eastAsia="Times New Roman"/>
        </w:rPr>
      </w:pPr>
      <w:r w:rsidRPr="00771E6E">
        <w:rPr>
          <w:rFonts w:eastAsia="Times New Roman"/>
        </w:rPr>
        <w:t xml:space="preserve">4.17 </w:t>
      </w:r>
      <w:proofErr w:type="spellStart"/>
      <w:r w:rsidRPr="00771E6E">
        <w:t>Benozzo</w:t>
      </w:r>
      <w:proofErr w:type="spellEnd"/>
      <w:r w:rsidRPr="00771E6E">
        <w:t xml:space="preserve"> </w:t>
      </w:r>
      <w:proofErr w:type="spellStart"/>
      <w:r w:rsidRPr="00771E6E">
        <w:t>Gozzoli</w:t>
      </w:r>
      <w:proofErr w:type="spellEnd"/>
      <w:r w:rsidRPr="00771E6E">
        <w:t>, Angels from Magi Chapel, 1457, Palazzo Medici-</w:t>
      </w:r>
      <w:proofErr w:type="spellStart"/>
      <w:r w:rsidRPr="00771E6E">
        <w:t>Riccardi</w:t>
      </w:r>
      <w:proofErr w:type="spellEnd"/>
      <w:r w:rsidRPr="00771E6E">
        <w:t>, Florence</w:t>
      </w:r>
      <w:r w:rsidRPr="00771E6E">
        <w:rPr>
          <w:rFonts w:eastAsia="Times New Roman"/>
        </w:rPr>
        <w:t>.</w:t>
      </w:r>
    </w:p>
    <w:p w14:paraId="6EF8B5E6" w14:textId="77777777" w:rsidR="005C33B3" w:rsidRPr="00771E6E" w:rsidRDefault="005C33B3" w:rsidP="008F008F">
      <w:pPr>
        <w:ind w:left="709" w:hanging="709"/>
      </w:pPr>
      <w:r w:rsidRPr="00771E6E">
        <w:rPr>
          <w:rFonts w:eastAsia="Times New Roman"/>
        </w:rPr>
        <w:t xml:space="preserve">4.18 </w:t>
      </w:r>
      <w:proofErr w:type="spellStart"/>
      <w:r w:rsidRPr="00771E6E">
        <w:t>Benozzo</w:t>
      </w:r>
      <w:proofErr w:type="spellEnd"/>
      <w:r w:rsidRPr="00771E6E">
        <w:t xml:space="preserve"> </w:t>
      </w:r>
      <w:proofErr w:type="spellStart"/>
      <w:r w:rsidRPr="00771E6E">
        <w:t>Gozzoli</w:t>
      </w:r>
      <w:proofErr w:type="spellEnd"/>
      <w:r w:rsidRPr="00771E6E">
        <w:t>, Tactus from Magi Chapel (detail), 1457, Palazzo Medici-</w:t>
      </w:r>
      <w:proofErr w:type="spellStart"/>
      <w:r w:rsidRPr="00771E6E">
        <w:t>Riccardi</w:t>
      </w:r>
      <w:proofErr w:type="spellEnd"/>
      <w:r w:rsidRPr="00771E6E">
        <w:t>, Florence</w:t>
      </w:r>
      <w:r w:rsidRPr="00771E6E">
        <w:rPr>
          <w:rFonts w:eastAsia="Times New Roman"/>
        </w:rPr>
        <w:t>.</w:t>
      </w:r>
    </w:p>
    <w:p w14:paraId="56672EF1" w14:textId="77777777" w:rsidR="005C33B3" w:rsidRPr="00771E6E" w:rsidRDefault="005C33B3" w:rsidP="008F008F">
      <w:pPr>
        <w:ind w:left="709" w:hanging="709"/>
      </w:pPr>
      <w:r w:rsidRPr="00771E6E">
        <w:rPr>
          <w:rFonts w:eastAsia="Times New Roman"/>
        </w:rPr>
        <w:t xml:space="preserve">4.19 </w:t>
      </w:r>
      <w:proofErr w:type="spellStart"/>
      <w:r w:rsidRPr="00771E6E">
        <w:t>Benozzo</w:t>
      </w:r>
      <w:proofErr w:type="spellEnd"/>
      <w:r w:rsidRPr="00771E6E">
        <w:t xml:space="preserve"> </w:t>
      </w:r>
      <w:proofErr w:type="spellStart"/>
      <w:r w:rsidRPr="00771E6E">
        <w:t>Gozzoli</w:t>
      </w:r>
      <w:proofErr w:type="spellEnd"/>
      <w:r w:rsidRPr="00771E6E">
        <w:t>, Portrait of Lorenzo de’ Medici from Magi Chapel (detail), 1457, Palazzo Medici-</w:t>
      </w:r>
      <w:proofErr w:type="spellStart"/>
      <w:r w:rsidRPr="00771E6E">
        <w:t>Riccardi</w:t>
      </w:r>
      <w:proofErr w:type="spellEnd"/>
      <w:r w:rsidRPr="00771E6E">
        <w:t>, Florence.</w:t>
      </w:r>
    </w:p>
    <w:p w14:paraId="4F80C42B" w14:textId="77777777" w:rsidR="005C33B3" w:rsidRPr="00771E6E" w:rsidRDefault="005C33B3" w:rsidP="008F008F">
      <w:pPr>
        <w:ind w:left="709" w:hanging="709"/>
      </w:pPr>
      <w:r w:rsidRPr="00771E6E">
        <w:t>4.20a-b Apollonio di Giovanni’s circle, Cassone with The Meeting of King Solomon and the Queen of Sheba, 1450-1500, Victoria and Albert Museum, London.</w:t>
      </w:r>
    </w:p>
    <w:p w14:paraId="19F27FB0" w14:textId="77777777" w:rsidR="005C33B3" w:rsidRPr="00771E6E" w:rsidRDefault="005C33B3" w:rsidP="008F008F">
      <w:pPr>
        <w:ind w:left="709" w:hanging="709"/>
      </w:pPr>
      <w:r w:rsidRPr="00771E6E">
        <w:t>4.21 Apollonio di Giovanni, Allegory of Music, Private Collection.</w:t>
      </w:r>
    </w:p>
    <w:p w14:paraId="07194328" w14:textId="77777777" w:rsidR="005C33B3" w:rsidRPr="00771E6E" w:rsidRDefault="005C33B3" w:rsidP="008F008F">
      <w:pPr>
        <w:ind w:left="709" w:hanging="709"/>
      </w:pPr>
      <w:r w:rsidRPr="00771E6E">
        <w:t>4.22 Giovanni di Paolo, Birth of Saint John the Baptist, ca. 1453, National Gallery, London.</w:t>
      </w:r>
    </w:p>
    <w:p w14:paraId="6F31FC31" w14:textId="77777777" w:rsidR="005C33B3" w:rsidRPr="00771E6E" w:rsidRDefault="005C33B3" w:rsidP="008F008F">
      <w:pPr>
        <w:ind w:left="709" w:hanging="709"/>
      </w:pPr>
      <w:r w:rsidRPr="00771E6E">
        <w:t xml:space="preserve">4.23 </w:t>
      </w:r>
      <w:proofErr w:type="spellStart"/>
      <w:r w:rsidRPr="00771E6E">
        <w:t>Sassetta</w:t>
      </w:r>
      <w:proofErr w:type="spellEnd"/>
      <w:r w:rsidRPr="00771E6E">
        <w:t xml:space="preserve"> (Stefano di Giovanni), Saint Francis and the Poor Knight and Francis’ Vision, 1437-1444, National Gallery, London.</w:t>
      </w:r>
    </w:p>
    <w:p w14:paraId="6BA4D983" w14:textId="77777777" w:rsidR="005C33B3" w:rsidRPr="00771E6E" w:rsidRDefault="005C33B3" w:rsidP="008F008F">
      <w:pPr>
        <w:ind w:left="709" w:hanging="709"/>
        <w:rPr>
          <w:rFonts w:eastAsia="Times New Roman"/>
        </w:rPr>
      </w:pPr>
      <w:r w:rsidRPr="00771E6E">
        <w:t xml:space="preserve">4.24 </w:t>
      </w:r>
      <w:r w:rsidRPr="00771E6E">
        <w:rPr>
          <w:rFonts w:eastAsia="Times New Roman"/>
        </w:rPr>
        <w:t xml:space="preserve">Domenico Ghirlandaio, Birth of the Virgin Mary, </w:t>
      </w:r>
      <w:r w:rsidRPr="00771E6E">
        <w:t xml:space="preserve">1485-90, </w:t>
      </w:r>
      <w:r w:rsidRPr="00771E6E">
        <w:rPr>
          <w:rFonts w:eastAsia="Times New Roman"/>
        </w:rPr>
        <w:t>Tornabuoni Chapel, Santa Maria Novella, Florence.</w:t>
      </w:r>
    </w:p>
    <w:p w14:paraId="2E395E38" w14:textId="77777777" w:rsidR="005C33B3" w:rsidRPr="00771E6E" w:rsidRDefault="005C33B3" w:rsidP="008F008F">
      <w:pPr>
        <w:ind w:left="709" w:hanging="709"/>
      </w:pPr>
      <w:r w:rsidRPr="00771E6E">
        <w:rPr>
          <w:rFonts w:eastAsia="Times New Roman"/>
        </w:rPr>
        <w:t xml:space="preserve">4.25 </w:t>
      </w:r>
      <w:r w:rsidRPr="00771E6E">
        <w:t xml:space="preserve">Andrea del </w:t>
      </w:r>
      <w:proofErr w:type="spellStart"/>
      <w:r w:rsidRPr="00771E6E">
        <w:t>Sarto</w:t>
      </w:r>
      <w:proofErr w:type="spellEnd"/>
      <w:r w:rsidRPr="00771E6E">
        <w:t xml:space="preserve">, Birth of the Virgin Mary, 1513-1514, </w:t>
      </w:r>
      <w:proofErr w:type="spellStart"/>
      <w:r w:rsidRPr="00771E6E">
        <w:t>Chiostro</w:t>
      </w:r>
      <w:proofErr w:type="spellEnd"/>
      <w:r w:rsidRPr="00771E6E">
        <w:t xml:space="preserve"> </w:t>
      </w:r>
      <w:proofErr w:type="spellStart"/>
      <w:r w:rsidRPr="00771E6E">
        <w:t>dei</w:t>
      </w:r>
      <w:proofErr w:type="spellEnd"/>
      <w:r w:rsidRPr="00771E6E">
        <w:t xml:space="preserve"> </w:t>
      </w:r>
      <w:proofErr w:type="spellStart"/>
      <w:r w:rsidRPr="00771E6E">
        <w:t>Voti</w:t>
      </w:r>
      <w:proofErr w:type="spellEnd"/>
      <w:r w:rsidRPr="00771E6E">
        <w:t xml:space="preserve">, </w:t>
      </w:r>
      <w:proofErr w:type="spellStart"/>
      <w:r w:rsidRPr="00771E6E">
        <w:t>Santissima</w:t>
      </w:r>
      <w:proofErr w:type="spellEnd"/>
      <w:r w:rsidRPr="00771E6E">
        <w:t xml:space="preserve"> Annunziata, Florence.</w:t>
      </w:r>
    </w:p>
    <w:p w14:paraId="69E045E9" w14:textId="77777777" w:rsidR="005C33B3" w:rsidRPr="00771E6E" w:rsidRDefault="005C33B3" w:rsidP="008F008F">
      <w:pPr>
        <w:ind w:left="709" w:hanging="709"/>
      </w:pPr>
      <w:r w:rsidRPr="00771E6E">
        <w:lastRenderedPageBreak/>
        <w:t xml:space="preserve">4.26 Domenico </w:t>
      </w:r>
      <w:proofErr w:type="spellStart"/>
      <w:r w:rsidRPr="00771E6E">
        <w:t>Rosselli</w:t>
      </w:r>
      <w:proofErr w:type="spellEnd"/>
      <w:r w:rsidRPr="00771E6E">
        <w:t xml:space="preserve">, Fireplace, Sala </w:t>
      </w:r>
      <w:proofErr w:type="spellStart"/>
      <w:r w:rsidRPr="00771E6E">
        <w:t>degli</w:t>
      </w:r>
      <w:proofErr w:type="spellEnd"/>
      <w:r w:rsidRPr="00771E6E">
        <w:t xml:space="preserve"> </w:t>
      </w:r>
      <w:proofErr w:type="spellStart"/>
      <w:r w:rsidRPr="00771E6E">
        <w:t>Angeli</w:t>
      </w:r>
      <w:proofErr w:type="spellEnd"/>
      <w:r w:rsidRPr="00771E6E">
        <w:t>, ca. 1475-1500, Ducal Palace, Urbino.</w:t>
      </w:r>
    </w:p>
    <w:p w14:paraId="5BE6E4FE" w14:textId="77777777" w:rsidR="005C33B3" w:rsidRPr="00771E6E" w:rsidRDefault="005C33B3" w:rsidP="008F008F">
      <w:pPr>
        <w:ind w:left="709" w:hanging="709"/>
      </w:pPr>
      <w:r w:rsidRPr="00771E6E">
        <w:t>4.27 Anonymous Sienese Artist, Coffret, early 15</w:t>
      </w:r>
      <w:r w:rsidRPr="00771E6E">
        <w:rPr>
          <w:vertAlign w:val="superscript"/>
        </w:rPr>
        <w:t>th</w:t>
      </w:r>
      <w:r w:rsidRPr="00771E6E">
        <w:t xml:space="preserve"> c., The Metropolitan Museum of Art, New York.</w:t>
      </w:r>
    </w:p>
    <w:p w14:paraId="43EBCCF3" w14:textId="77777777" w:rsidR="005C33B3" w:rsidRPr="00771E6E" w:rsidRDefault="005C33B3" w:rsidP="008F008F">
      <w:pPr>
        <w:ind w:left="709" w:hanging="709"/>
      </w:pPr>
      <w:r w:rsidRPr="00771E6E">
        <w:t>4.28 Anonymous Florentine Artist, Casket, 15</w:t>
      </w:r>
      <w:r w:rsidRPr="00771E6E">
        <w:rPr>
          <w:vertAlign w:val="superscript"/>
        </w:rPr>
        <w:t>th</w:t>
      </w:r>
      <w:r w:rsidRPr="00771E6E">
        <w:t xml:space="preserve"> c., Museo </w:t>
      </w:r>
      <w:proofErr w:type="spellStart"/>
      <w:r w:rsidRPr="00771E6E">
        <w:t>Bardini</w:t>
      </w:r>
      <w:proofErr w:type="spellEnd"/>
      <w:r w:rsidRPr="00771E6E">
        <w:t>, Florence.</w:t>
      </w:r>
    </w:p>
    <w:p w14:paraId="4822569A" w14:textId="77777777" w:rsidR="005C33B3" w:rsidRPr="00771E6E" w:rsidRDefault="005C33B3" w:rsidP="008F008F">
      <w:pPr>
        <w:ind w:left="709" w:hanging="709"/>
      </w:pPr>
      <w:r w:rsidRPr="00771E6E">
        <w:t xml:space="preserve">4.29 Prob. Workshop of </w:t>
      </w:r>
      <w:proofErr w:type="spellStart"/>
      <w:r w:rsidRPr="00771E6E">
        <w:t>Baldassarre</w:t>
      </w:r>
      <w:proofErr w:type="spellEnd"/>
      <w:r w:rsidRPr="00771E6E">
        <w:t xml:space="preserve"> </w:t>
      </w:r>
      <w:proofErr w:type="spellStart"/>
      <w:r w:rsidRPr="00771E6E">
        <w:t>degli</w:t>
      </w:r>
      <w:proofErr w:type="spellEnd"/>
      <w:r w:rsidRPr="00771E6E">
        <w:t xml:space="preserve"> </w:t>
      </w:r>
      <w:proofErr w:type="spellStart"/>
      <w:r w:rsidRPr="00771E6E">
        <w:t>Embriachi</w:t>
      </w:r>
      <w:proofErr w:type="spellEnd"/>
      <w:r w:rsidRPr="00771E6E">
        <w:t>, Angel from a Casket, ca. 1400-1450, Museum of Fine Arts, Boston.</w:t>
      </w:r>
    </w:p>
    <w:p w14:paraId="686120FE" w14:textId="77777777" w:rsidR="005C33B3" w:rsidRPr="00771E6E" w:rsidRDefault="005C33B3" w:rsidP="005C33B3">
      <w:pPr>
        <w:rPr>
          <w:color w:val="000000" w:themeColor="text1"/>
        </w:rPr>
      </w:pPr>
    </w:p>
    <w:p w14:paraId="713BA250" w14:textId="77777777" w:rsidR="005C33B3" w:rsidRPr="00771E6E" w:rsidRDefault="005C33B3" w:rsidP="00182EED"/>
    <w:p w14:paraId="17CEC270" w14:textId="77777777" w:rsidR="00AF799D" w:rsidRPr="00771E6E" w:rsidRDefault="00AF799D">
      <w:pPr>
        <w:rPr>
          <w:rFonts w:cs="Times New Roman"/>
          <w:b/>
          <w:lang w:val="en-GB"/>
        </w:rPr>
        <w:sectPr w:rsidR="00AF799D" w:rsidRPr="00771E6E" w:rsidSect="00AF799D">
          <w:footerReference w:type="even" r:id="rId9"/>
          <w:footerReference w:type="default" r:id="rId10"/>
          <w:footnotePr>
            <w:numRestart w:val="eachSect"/>
          </w:footnotePr>
          <w:pgSz w:w="11900" w:h="16840"/>
          <w:pgMar w:top="1440" w:right="1800" w:bottom="1440" w:left="1800" w:header="708" w:footer="708" w:gutter="0"/>
          <w:pgNumType w:start="1"/>
          <w:cols w:space="708"/>
          <w:docGrid w:linePitch="360"/>
        </w:sectPr>
      </w:pPr>
    </w:p>
    <w:p w14:paraId="72060166" w14:textId="77777777" w:rsidR="00831EEF" w:rsidRPr="00771E6E" w:rsidRDefault="00831EEF" w:rsidP="003A017B">
      <w:pPr>
        <w:pStyle w:val="Heading1"/>
        <w:rPr>
          <w:lang w:val="en-GB"/>
        </w:rPr>
      </w:pPr>
      <w:bookmarkStart w:id="1" w:name="_Toc20167591"/>
      <w:r w:rsidRPr="00771E6E">
        <w:rPr>
          <w:lang w:val="en-GB"/>
        </w:rPr>
        <w:lastRenderedPageBreak/>
        <w:t>Introduction</w:t>
      </w:r>
      <w:bookmarkEnd w:id="1"/>
    </w:p>
    <w:p w14:paraId="6B70A787" w14:textId="77777777" w:rsidR="00D03C7D" w:rsidRPr="00771E6E" w:rsidRDefault="00D03C7D" w:rsidP="00F74063">
      <w:pPr>
        <w:rPr>
          <w:rFonts w:cs="Times New Roman"/>
          <w:lang w:val="en-GB"/>
        </w:rPr>
      </w:pPr>
    </w:p>
    <w:p w14:paraId="5BD7E173" w14:textId="77777777" w:rsidR="00846AA5" w:rsidRPr="00771E6E" w:rsidRDefault="00846AA5" w:rsidP="00F74063">
      <w:pPr>
        <w:rPr>
          <w:rFonts w:cs="Times New Roman"/>
          <w:lang w:val="en-GB"/>
        </w:rPr>
      </w:pPr>
    </w:p>
    <w:p w14:paraId="03F0D8EA" w14:textId="77777777" w:rsidR="00831EEF" w:rsidRPr="00771E6E" w:rsidRDefault="00D71A59" w:rsidP="0064772C">
      <w:pPr>
        <w:pStyle w:val="Quote"/>
      </w:pPr>
      <w:r w:rsidRPr="00771E6E">
        <w:t>“</w:t>
      </w:r>
      <w:r w:rsidR="00831EEF" w:rsidRPr="00771E6E">
        <w:t xml:space="preserve">Paintings of Angels and Saints are permitted and recommended for the mental benefit of the youngest … </w:t>
      </w:r>
    </w:p>
    <w:p w14:paraId="49BE3E35" w14:textId="77777777" w:rsidR="00D71A59" w:rsidRPr="00771E6E" w:rsidRDefault="00831EEF" w:rsidP="0064772C">
      <w:pPr>
        <w:pStyle w:val="Quote"/>
        <w:rPr>
          <w:rStyle w:val="FootnoteReference"/>
          <w:vertAlign w:val="baseline"/>
        </w:rPr>
      </w:pPr>
      <w:r w:rsidRPr="00771E6E">
        <w:t>Let your children mirror themselves in [this] first mirror, as soon as they open their eyes</w:t>
      </w:r>
      <w:r w:rsidR="00D03C7D" w:rsidRPr="00771E6E">
        <w:t>.</w:t>
      </w:r>
      <w:r w:rsidR="00D71A59" w:rsidRPr="00771E6E">
        <w:t>”</w:t>
      </w:r>
      <w:r w:rsidRPr="00771E6E">
        <w:rPr>
          <w:rStyle w:val="FootnoteReference"/>
          <w:vertAlign w:val="baseline"/>
        </w:rPr>
        <w:t xml:space="preserve"> </w:t>
      </w:r>
    </w:p>
    <w:p w14:paraId="22654FBF" w14:textId="77777777" w:rsidR="00AC5EB0" w:rsidRPr="00771E6E" w:rsidRDefault="00831EEF" w:rsidP="00F74063">
      <w:pPr>
        <w:jc w:val="right"/>
        <w:rPr>
          <w:rFonts w:cs="Times New Roman"/>
          <w:lang w:val="en-GB"/>
        </w:rPr>
      </w:pPr>
      <w:r w:rsidRPr="00771E6E">
        <w:rPr>
          <w:rFonts w:cs="Times New Roman"/>
          <w:color w:val="000000" w:themeColor="text1"/>
          <w:lang w:val="en-GB"/>
        </w:rPr>
        <w:t xml:space="preserve">Giovanni </w:t>
      </w:r>
      <w:proofErr w:type="spellStart"/>
      <w:r w:rsidRPr="00771E6E">
        <w:rPr>
          <w:rFonts w:cs="Times New Roman"/>
          <w:color w:val="000000" w:themeColor="text1"/>
          <w:lang w:val="en-GB"/>
        </w:rPr>
        <w:t>Dominici</w:t>
      </w:r>
      <w:proofErr w:type="spellEnd"/>
      <w:r w:rsidR="00D15F60" w:rsidRPr="00771E6E">
        <w:rPr>
          <w:rFonts w:cs="Times New Roman"/>
          <w:color w:val="000000" w:themeColor="text1"/>
          <w:lang w:val="en-GB"/>
        </w:rPr>
        <w:t>, ca. 1400</w:t>
      </w:r>
      <w:r w:rsidR="00D71A59" w:rsidRPr="00771E6E">
        <w:rPr>
          <w:rStyle w:val="FootnoteReference"/>
        </w:rPr>
        <w:footnoteReference w:id="1"/>
      </w:r>
    </w:p>
    <w:p w14:paraId="23B119B8" w14:textId="77777777" w:rsidR="00AC5EB0" w:rsidRPr="00771E6E" w:rsidRDefault="00AC5EB0" w:rsidP="00F74063">
      <w:pPr>
        <w:rPr>
          <w:rFonts w:cs="Times New Roman"/>
          <w:color w:val="1B2B68"/>
          <w:lang w:val="en-GB"/>
        </w:rPr>
      </w:pPr>
    </w:p>
    <w:p w14:paraId="5C347EAF" w14:textId="77777777" w:rsidR="00D71A59" w:rsidRPr="00771E6E" w:rsidRDefault="00D71A59" w:rsidP="00F51263">
      <w:pPr>
        <w:rPr>
          <w:rFonts w:cs="Times New Roman"/>
          <w:color w:val="000000" w:themeColor="text1"/>
          <w:lang w:val="en-GB"/>
        </w:rPr>
      </w:pPr>
      <w:r w:rsidRPr="00771E6E">
        <w:rPr>
          <w:rFonts w:cs="Times New Roman"/>
          <w:color w:val="000000" w:themeColor="text1"/>
          <w:lang w:val="en-GB"/>
        </w:rPr>
        <w:t xml:space="preserve">With </w:t>
      </w:r>
      <w:r w:rsidR="00562F28" w:rsidRPr="00771E6E">
        <w:rPr>
          <w:rFonts w:cs="Times New Roman"/>
          <w:color w:val="000000" w:themeColor="text1"/>
          <w:lang w:val="en-GB"/>
        </w:rPr>
        <w:t>these</w:t>
      </w:r>
      <w:r w:rsidRPr="00771E6E">
        <w:rPr>
          <w:rFonts w:cs="Times New Roman"/>
          <w:color w:val="000000" w:themeColor="text1"/>
          <w:lang w:val="en-GB"/>
        </w:rPr>
        <w:t xml:space="preserve"> words</w:t>
      </w:r>
      <w:r w:rsidR="00F61A6E" w:rsidRPr="00771E6E">
        <w:rPr>
          <w:rFonts w:cs="Times New Roman"/>
          <w:color w:val="000000" w:themeColor="text1"/>
          <w:lang w:val="en-GB"/>
        </w:rPr>
        <w:t>,</w:t>
      </w:r>
      <w:r w:rsidRPr="00771E6E">
        <w:rPr>
          <w:rFonts w:cs="Times New Roman"/>
          <w:color w:val="000000" w:themeColor="text1"/>
          <w:lang w:val="en-GB"/>
        </w:rPr>
        <w:t xml:space="preserve"> the Dominican preacher Giovanni </w:t>
      </w:r>
      <w:proofErr w:type="spellStart"/>
      <w:r w:rsidRPr="00771E6E">
        <w:rPr>
          <w:rFonts w:cs="Times New Roman"/>
          <w:color w:val="000000" w:themeColor="text1"/>
          <w:lang w:val="en-GB"/>
        </w:rPr>
        <w:t>Dominici</w:t>
      </w:r>
      <w:proofErr w:type="spellEnd"/>
      <w:r w:rsidR="00911A4A" w:rsidRPr="00771E6E">
        <w:rPr>
          <w:rFonts w:cs="Times New Roman"/>
          <w:color w:val="000000" w:themeColor="text1"/>
          <w:lang w:val="en-GB"/>
        </w:rPr>
        <w:t xml:space="preserve"> </w:t>
      </w:r>
      <w:r w:rsidR="000D40B6" w:rsidRPr="00771E6E">
        <w:rPr>
          <w:rFonts w:cs="Times New Roman"/>
          <w:color w:val="000000" w:themeColor="text1"/>
          <w:lang w:val="en-GB"/>
        </w:rPr>
        <w:t>(1356-1419)</w:t>
      </w:r>
      <w:r w:rsidRPr="00771E6E">
        <w:rPr>
          <w:rFonts w:cs="Times New Roman"/>
          <w:color w:val="000000" w:themeColor="text1"/>
          <w:lang w:val="en-GB"/>
        </w:rPr>
        <w:t xml:space="preserve"> gives advice to a Florentine noblewoman about the education of her children. </w:t>
      </w:r>
      <w:r w:rsidR="00A10489" w:rsidRPr="00771E6E">
        <w:rPr>
          <w:rFonts w:cs="Times New Roman"/>
          <w:color w:val="000000" w:themeColor="text1"/>
          <w:lang w:val="en-GB"/>
        </w:rPr>
        <w:t xml:space="preserve">As a testament </w:t>
      </w:r>
      <w:r w:rsidR="009178F0" w:rsidRPr="00771E6E">
        <w:rPr>
          <w:rFonts w:cs="Times New Roman"/>
          <w:color w:val="000000" w:themeColor="text1"/>
          <w:lang w:val="en-GB"/>
        </w:rPr>
        <w:t>to</w:t>
      </w:r>
      <w:r w:rsidR="00A10489" w:rsidRPr="00771E6E">
        <w:rPr>
          <w:rFonts w:cs="Times New Roman"/>
          <w:color w:val="000000" w:themeColor="text1"/>
          <w:lang w:val="en-GB"/>
        </w:rPr>
        <w:t xml:space="preserve"> fifteenth</w:t>
      </w:r>
      <w:r w:rsidR="00911A4A" w:rsidRPr="00771E6E">
        <w:rPr>
          <w:rFonts w:cs="Times New Roman"/>
          <w:color w:val="000000" w:themeColor="text1"/>
          <w:lang w:val="en-GB"/>
        </w:rPr>
        <w:t>-</w:t>
      </w:r>
      <w:r w:rsidR="00A10489" w:rsidRPr="00771E6E">
        <w:rPr>
          <w:rFonts w:cs="Times New Roman"/>
          <w:color w:val="000000" w:themeColor="text1"/>
          <w:lang w:val="en-GB"/>
        </w:rPr>
        <w:t xml:space="preserve">century practices, this text has been used time and again </w:t>
      </w:r>
      <w:r w:rsidR="005848FC" w:rsidRPr="00771E6E">
        <w:rPr>
          <w:rFonts w:cs="Times New Roman"/>
          <w:color w:val="000000" w:themeColor="text1"/>
          <w:lang w:val="en-GB"/>
        </w:rPr>
        <w:t>in</w:t>
      </w:r>
      <w:r w:rsidR="00A10489" w:rsidRPr="00771E6E">
        <w:rPr>
          <w:rFonts w:cs="Times New Roman"/>
          <w:color w:val="000000" w:themeColor="text1"/>
          <w:lang w:val="en-GB"/>
        </w:rPr>
        <w:t xml:space="preserve"> scholarship, especially </w:t>
      </w:r>
      <w:r w:rsidR="00F61A6E" w:rsidRPr="00771E6E">
        <w:rPr>
          <w:rFonts w:cs="Times New Roman"/>
          <w:color w:val="000000" w:themeColor="text1"/>
          <w:lang w:val="en-GB"/>
        </w:rPr>
        <w:t>when discussing</w:t>
      </w:r>
      <w:r w:rsidR="00824734" w:rsidRPr="00771E6E">
        <w:rPr>
          <w:rFonts w:cs="Times New Roman"/>
          <w:color w:val="000000" w:themeColor="text1"/>
          <w:lang w:val="en-GB"/>
        </w:rPr>
        <w:t xml:space="preserve"> the involvement of parents in the moral education of </w:t>
      </w:r>
      <w:r w:rsidR="00F61A6E" w:rsidRPr="00771E6E">
        <w:rPr>
          <w:rFonts w:cs="Times New Roman"/>
          <w:color w:val="000000" w:themeColor="text1"/>
          <w:lang w:val="en-GB"/>
        </w:rPr>
        <w:t xml:space="preserve">their </w:t>
      </w:r>
      <w:r w:rsidR="00824734" w:rsidRPr="00771E6E">
        <w:rPr>
          <w:rFonts w:cs="Times New Roman"/>
          <w:color w:val="000000" w:themeColor="text1"/>
          <w:lang w:val="en-GB"/>
        </w:rPr>
        <w:t>children</w:t>
      </w:r>
      <w:r w:rsidR="005618AF" w:rsidRPr="00771E6E">
        <w:rPr>
          <w:rFonts w:cs="Times New Roman"/>
          <w:color w:val="000000" w:themeColor="text1"/>
          <w:lang w:val="en-GB"/>
        </w:rPr>
        <w:t xml:space="preserve"> – </w:t>
      </w:r>
      <w:r w:rsidR="005848FC" w:rsidRPr="00771E6E">
        <w:rPr>
          <w:rFonts w:cs="Times New Roman"/>
          <w:color w:val="000000" w:themeColor="text1"/>
          <w:lang w:val="en-GB"/>
        </w:rPr>
        <w:t>in particular the mother</w:t>
      </w:r>
      <w:r w:rsidR="00911A4A" w:rsidRPr="00771E6E">
        <w:rPr>
          <w:rFonts w:cs="Times New Roman"/>
          <w:color w:val="000000" w:themeColor="text1"/>
          <w:lang w:val="en-GB"/>
        </w:rPr>
        <w:t>’s</w:t>
      </w:r>
      <w:r w:rsidR="005618AF" w:rsidRPr="00771E6E">
        <w:rPr>
          <w:rFonts w:cs="Times New Roman"/>
          <w:color w:val="000000" w:themeColor="text1"/>
          <w:lang w:val="en-GB"/>
        </w:rPr>
        <w:t xml:space="preserve"> – </w:t>
      </w:r>
      <w:r w:rsidR="00824734" w:rsidRPr="00771E6E">
        <w:rPr>
          <w:rFonts w:cs="Times New Roman"/>
          <w:color w:val="000000" w:themeColor="text1"/>
          <w:lang w:val="en-GB"/>
        </w:rPr>
        <w:t xml:space="preserve">and </w:t>
      </w:r>
      <w:r w:rsidR="00A10489" w:rsidRPr="00771E6E">
        <w:rPr>
          <w:rFonts w:cs="Times New Roman"/>
          <w:color w:val="000000" w:themeColor="text1"/>
          <w:lang w:val="en-GB"/>
        </w:rPr>
        <w:t>recommend</w:t>
      </w:r>
      <w:r w:rsidR="00102408" w:rsidRPr="00771E6E">
        <w:rPr>
          <w:rFonts w:cs="Times New Roman"/>
          <w:color w:val="000000" w:themeColor="text1"/>
          <w:lang w:val="en-GB"/>
        </w:rPr>
        <w:t xml:space="preserve">ations on the </w:t>
      </w:r>
      <w:r w:rsidR="00A10489" w:rsidRPr="00771E6E">
        <w:rPr>
          <w:rFonts w:cs="Times New Roman"/>
          <w:color w:val="000000" w:themeColor="text1"/>
          <w:lang w:val="en-GB"/>
        </w:rPr>
        <w:t>use of images as pedagogic tools</w:t>
      </w:r>
      <w:r w:rsidR="00824734" w:rsidRPr="00771E6E">
        <w:rPr>
          <w:rFonts w:cs="Times New Roman"/>
          <w:color w:val="000000" w:themeColor="text1"/>
          <w:lang w:val="en-GB"/>
        </w:rPr>
        <w:t>.</w:t>
      </w:r>
    </w:p>
    <w:p w14:paraId="64ECED6B" w14:textId="77777777" w:rsidR="0046152C" w:rsidRPr="00771E6E" w:rsidRDefault="0046152C" w:rsidP="00F51263">
      <w:pPr>
        <w:ind w:firstLine="720"/>
        <w:rPr>
          <w:rFonts w:cs="Times New Roman"/>
          <w:color w:val="000000" w:themeColor="text1"/>
          <w:lang w:val="en-GB"/>
        </w:rPr>
      </w:pPr>
      <w:r w:rsidRPr="00771E6E">
        <w:rPr>
          <w:rFonts w:cs="Times New Roman"/>
          <w:color w:val="000000" w:themeColor="text1"/>
          <w:lang w:val="en-GB"/>
        </w:rPr>
        <w:t xml:space="preserve">The belief that images exercise </w:t>
      </w:r>
      <w:r w:rsidR="00F61A6E" w:rsidRPr="00771E6E">
        <w:rPr>
          <w:rFonts w:cs="Times New Roman"/>
          <w:color w:val="000000" w:themeColor="text1"/>
          <w:lang w:val="en-GB"/>
        </w:rPr>
        <w:t>power</w:t>
      </w:r>
      <w:r w:rsidRPr="00771E6E">
        <w:rPr>
          <w:rFonts w:cs="Times New Roman"/>
          <w:color w:val="000000" w:themeColor="text1"/>
          <w:lang w:val="en-GB"/>
        </w:rPr>
        <w:t xml:space="preserve"> </w:t>
      </w:r>
      <w:r w:rsidR="00F61A6E" w:rsidRPr="00771E6E">
        <w:rPr>
          <w:rFonts w:cs="Times New Roman"/>
          <w:color w:val="000000" w:themeColor="text1"/>
          <w:lang w:val="en-GB"/>
        </w:rPr>
        <w:t xml:space="preserve">over </w:t>
      </w:r>
      <w:r w:rsidRPr="00771E6E">
        <w:rPr>
          <w:rFonts w:cs="Times New Roman"/>
          <w:color w:val="000000" w:themeColor="text1"/>
          <w:lang w:val="en-GB"/>
        </w:rPr>
        <w:t xml:space="preserve">the viewer was a </w:t>
      </w:r>
      <w:r w:rsidR="00F51263" w:rsidRPr="00771E6E">
        <w:rPr>
          <w:rFonts w:cs="Times New Roman"/>
          <w:color w:val="000000" w:themeColor="text1"/>
          <w:lang w:val="en-GB"/>
        </w:rPr>
        <w:t>fundamental</w:t>
      </w:r>
      <w:r w:rsidRPr="00771E6E">
        <w:rPr>
          <w:rFonts w:cs="Times New Roman"/>
          <w:color w:val="000000" w:themeColor="text1"/>
          <w:lang w:val="en-GB"/>
        </w:rPr>
        <w:t xml:space="preserve"> concept during the Middle Ages and the Renaissance, and members of the clergy and </w:t>
      </w:r>
      <w:r w:rsidR="00CC7152" w:rsidRPr="00771E6E">
        <w:rPr>
          <w:rFonts w:cs="Times New Roman"/>
          <w:color w:val="000000" w:themeColor="text1"/>
          <w:lang w:val="en-GB"/>
        </w:rPr>
        <w:t>scholars,</w:t>
      </w:r>
      <w:r w:rsidRPr="00771E6E">
        <w:rPr>
          <w:rFonts w:cs="Times New Roman"/>
          <w:color w:val="000000" w:themeColor="text1"/>
          <w:lang w:val="en-GB"/>
        </w:rPr>
        <w:t xml:space="preserve"> such as the artist Leon Battista Alberti</w:t>
      </w:r>
      <w:r w:rsidR="00911A4A" w:rsidRPr="00771E6E">
        <w:rPr>
          <w:rFonts w:cs="Times New Roman"/>
          <w:color w:val="000000" w:themeColor="text1"/>
          <w:lang w:val="en-GB"/>
        </w:rPr>
        <w:t xml:space="preserve"> </w:t>
      </w:r>
      <w:r w:rsidR="001E194E" w:rsidRPr="00771E6E">
        <w:rPr>
          <w:rFonts w:cs="Times New Roman"/>
          <w:color w:val="000000" w:themeColor="text1"/>
          <w:lang w:val="en-GB"/>
        </w:rPr>
        <w:t>(140</w:t>
      </w:r>
      <w:r w:rsidR="009368C8" w:rsidRPr="00771E6E">
        <w:rPr>
          <w:rFonts w:cs="Times New Roman"/>
          <w:color w:val="000000" w:themeColor="text1"/>
          <w:lang w:val="en-GB"/>
        </w:rPr>
        <w:t>4-1472)</w:t>
      </w:r>
      <w:r w:rsidR="00F61A6E" w:rsidRPr="00771E6E">
        <w:rPr>
          <w:rFonts w:cs="Times New Roman"/>
          <w:color w:val="000000" w:themeColor="text1"/>
          <w:lang w:val="en-GB"/>
        </w:rPr>
        <w:t>,</w:t>
      </w:r>
      <w:r w:rsidRPr="00771E6E">
        <w:rPr>
          <w:rFonts w:cs="Times New Roman"/>
          <w:color w:val="000000" w:themeColor="text1"/>
          <w:lang w:val="en-GB"/>
        </w:rPr>
        <w:t xml:space="preserve"> </w:t>
      </w:r>
      <w:r w:rsidR="00F61A6E" w:rsidRPr="00771E6E">
        <w:rPr>
          <w:rFonts w:cs="Times New Roman"/>
          <w:color w:val="000000" w:themeColor="text1"/>
          <w:lang w:val="en-GB"/>
        </w:rPr>
        <w:t xml:space="preserve">provided </w:t>
      </w:r>
      <w:r w:rsidRPr="00771E6E">
        <w:rPr>
          <w:rFonts w:cs="Times New Roman"/>
          <w:color w:val="000000" w:themeColor="text1"/>
          <w:lang w:val="en-GB"/>
        </w:rPr>
        <w:t xml:space="preserve">advice on </w:t>
      </w:r>
      <w:r w:rsidR="00F61A6E" w:rsidRPr="00771E6E">
        <w:rPr>
          <w:rFonts w:cs="Times New Roman"/>
          <w:color w:val="000000" w:themeColor="text1"/>
          <w:lang w:val="en-GB"/>
        </w:rPr>
        <w:t xml:space="preserve">which </w:t>
      </w:r>
      <w:r w:rsidRPr="00771E6E">
        <w:rPr>
          <w:rFonts w:cs="Times New Roman"/>
          <w:color w:val="000000" w:themeColor="text1"/>
          <w:lang w:val="en-GB"/>
        </w:rPr>
        <w:t xml:space="preserve">subjects </w:t>
      </w:r>
      <w:r w:rsidR="00F61A6E" w:rsidRPr="00771E6E">
        <w:rPr>
          <w:rFonts w:cs="Times New Roman"/>
          <w:color w:val="000000" w:themeColor="text1"/>
          <w:lang w:val="en-GB"/>
        </w:rPr>
        <w:t xml:space="preserve">would be appropriate </w:t>
      </w:r>
      <w:r w:rsidR="00F51263" w:rsidRPr="00771E6E">
        <w:rPr>
          <w:rFonts w:cs="Times New Roman"/>
          <w:color w:val="000000" w:themeColor="text1"/>
          <w:lang w:val="en-GB"/>
        </w:rPr>
        <w:t>for display</w:t>
      </w:r>
      <w:r w:rsidRPr="00771E6E">
        <w:rPr>
          <w:rFonts w:cs="Times New Roman"/>
          <w:color w:val="000000" w:themeColor="text1"/>
          <w:lang w:val="en-GB"/>
        </w:rPr>
        <w:t xml:space="preserve"> in domestic environments.</w:t>
      </w:r>
      <w:r w:rsidR="00F51263" w:rsidRPr="00771E6E">
        <w:rPr>
          <w:rFonts w:cs="Times New Roman"/>
          <w:color w:val="000000" w:themeColor="text1"/>
          <w:lang w:val="en-GB"/>
        </w:rPr>
        <w:t xml:space="preserve"> </w:t>
      </w:r>
      <w:r w:rsidRPr="00771E6E">
        <w:rPr>
          <w:rFonts w:cs="Times New Roman"/>
          <w:color w:val="000000" w:themeColor="text1"/>
          <w:lang w:val="en-GB"/>
        </w:rPr>
        <w:t xml:space="preserve">Among the recommended subjects were stories taken from Roman history in which the protagonist </w:t>
      </w:r>
      <w:r w:rsidR="00F51263" w:rsidRPr="00771E6E">
        <w:rPr>
          <w:rFonts w:cs="Times New Roman"/>
          <w:color w:val="000000" w:themeColor="text1"/>
          <w:lang w:val="en-GB"/>
        </w:rPr>
        <w:t xml:space="preserve">demonstrated their </w:t>
      </w:r>
      <w:r w:rsidRPr="00771E6E">
        <w:rPr>
          <w:rFonts w:cs="Times New Roman"/>
          <w:color w:val="000000" w:themeColor="text1"/>
          <w:lang w:val="en-GB"/>
        </w:rPr>
        <w:t>possession of specific virtues</w:t>
      </w:r>
      <w:r w:rsidR="00F51263" w:rsidRPr="00771E6E">
        <w:rPr>
          <w:rFonts w:cs="Times New Roman"/>
          <w:color w:val="000000" w:themeColor="text1"/>
          <w:lang w:val="en-GB"/>
        </w:rPr>
        <w:t>,</w:t>
      </w:r>
      <w:r w:rsidR="00792A3A" w:rsidRPr="00771E6E">
        <w:rPr>
          <w:rFonts w:cs="Times New Roman"/>
          <w:color w:val="000000" w:themeColor="text1"/>
          <w:lang w:val="en-GB"/>
        </w:rPr>
        <w:t xml:space="preserve"> such as courage, charity </w:t>
      </w:r>
      <w:r w:rsidR="00F61A6E" w:rsidRPr="00771E6E">
        <w:rPr>
          <w:rFonts w:cs="Times New Roman"/>
          <w:color w:val="000000" w:themeColor="text1"/>
          <w:lang w:val="en-GB"/>
        </w:rPr>
        <w:t xml:space="preserve">or </w:t>
      </w:r>
      <w:r w:rsidR="00792A3A" w:rsidRPr="00771E6E">
        <w:rPr>
          <w:rFonts w:cs="Times New Roman"/>
          <w:color w:val="000000" w:themeColor="text1"/>
          <w:lang w:val="en-GB"/>
        </w:rPr>
        <w:t>chastity</w:t>
      </w:r>
      <w:r w:rsidR="00F51263" w:rsidRPr="00771E6E">
        <w:rPr>
          <w:rFonts w:cs="Times New Roman"/>
          <w:color w:val="000000" w:themeColor="text1"/>
          <w:lang w:val="en-GB"/>
        </w:rPr>
        <w:t>;</w:t>
      </w:r>
      <w:r w:rsidRPr="00771E6E">
        <w:rPr>
          <w:rFonts w:cs="Times New Roman"/>
          <w:color w:val="000000" w:themeColor="text1"/>
          <w:lang w:val="en-GB"/>
        </w:rPr>
        <w:t xml:space="preserve"> portraits of illustrious </w:t>
      </w:r>
      <w:r w:rsidR="002446E5" w:rsidRPr="00771E6E">
        <w:rPr>
          <w:rFonts w:cs="Times New Roman"/>
          <w:color w:val="000000" w:themeColor="text1"/>
          <w:lang w:val="en-GB"/>
        </w:rPr>
        <w:t>individuals or ancestors</w:t>
      </w:r>
      <w:r w:rsidRPr="00771E6E">
        <w:rPr>
          <w:rFonts w:cs="Times New Roman"/>
          <w:color w:val="000000" w:themeColor="text1"/>
          <w:lang w:val="en-GB"/>
        </w:rPr>
        <w:t xml:space="preserve"> that would have </w:t>
      </w:r>
      <w:r w:rsidR="00F61A6E" w:rsidRPr="00771E6E">
        <w:rPr>
          <w:rFonts w:cs="Times New Roman"/>
          <w:color w:val="000000" w:themeColor="text1"/>
          <w:lang w:val="en-GB"/>
        </w:rPr>
        <w:t>alluded to</w:t>
      </w:r>
      <w:r w:rsidR="009F7109" w:rsidRPr="00771E6E">
        <w:rPr>
          <w:rFonts w:cs="Times New Roman"/>
          <w:color w:val="000000" w:themeColor="text1"/>
          <w:lang w:val="en-GB"/>
        </w:rPr>
        <w:t xml:space="preserve"> </w:t>
      </w:r>
      <w:r w:rsidR="00F51263" w:rsidRPr="00771E6E">
        <w:rPr>
          <w:rFonts w:cs="Times New Roman"/>
          <w:color w:val="000000" w:themeColor="text1"/>
          <w:lang w:val="en-GB"/>
        </w:rPr>
        <w:t xml:space="preserve">similar </w:t>
      </w:r>
      <w:r w:rsidR="009F7109" w:rsidRPr="00771E6E">
        <w:rPr>
          <w:rFonts w:cs="Times New Roman"/>
          <w:color w:val="000000" w:themeColor="text1"/>
          <w:lang w:val="en-GB"/>
        </w:rPr>
        <w:t>admirable</w:t>
      </w:r>
      <w:r w:rsidR="00F61A6E" w:rsidRPr="00771E6E">
        <w:rPr>
          <w:rFonts w:cs="Times New Roman"/>
          <w:color w:val="000000" w:themeColor="text1"/>
          <w:lang w:val="en-GB"/>
        </w:rPr>
        <w:t xml:space="preserve"> </w:t>
      </w:r>
      <w:r w:rsidRPr="00771E6E">
        <w:rPr>
          <w:rFonts w:cs="Times New Roman"/>
          <w:color w:val="000000" w:themeColor="text1"/>
          <w:lang w:val="en-GB"/>
        </w:rPr>
        <w:t>qualities</w:t>
      </w:r>
      <w:r w:rsidR="00F51263" w:rsidRPr="00771E6E">
        <w:rPr>
          <w:rFonts w:cs="Times New Roman"/>
          <w:color w:val="000000" w:themeColor="text1"/>
          <w:lang w:val="en-GB"/>
        </w:rPr>
        <w:t xml:space="preserve">; </w:t>
      </w:r>
      <w:r w:rsidRPr="00771E6E">
        <w:rPr>
          <w:rFonts w:cs="Times New Roman"/>
          <w:color w:val="000000" w:themeColor="text1"/>
          <w:lang w:val="en-GB"/>
        </w:rPr>
        <w:t xml:space="preserve">and, of course, religious subjects taken both from biblical accounts and from later narratives such as Jacopo da </w:t>
      </w:r>
      <w:proofErr w:type="spellStart"/>
      <w:r w:rsidRPr="00771E6E">
        <w:rPr>
          <w:rFonts w:cs="Times New Roman"/>
          <w:color w:val="000000" w:themeColor="text1"/>
          <w:lang w:val="en-GB"/>
        </w:rPr>
        <w:t>Voragine’s</w:t>
      </w:r>
      <w:proofErr w:type="spellEnd"/>
      <w:r w:rsidRPr="00771E6E">
        <w:rPr>
          <w:rFonts w:cs="Times New Roman"/>
          <w:color w:val="000000" w:themeColor="text1"/>
          <w:lang w:val="en-GB"/>
        </w:rPr>
        <w:t xml:space="preserve"> </w:t>
      </w:r>
      <w:proofErr w:type="spellStart"/>
      <w:r w:rsidR="00CC7FDA" w:rsidRPr="00771E6E">
        <w:rPr>
          <w:rFonts w:cs="Times New Roman"/>
          <w:i/>
          <w:color w:val="000000" w:themeColor="text1"/>
          <w:lang w:val="en-GB"/>
        </w:rPr>
        <w:t>Legenda</w:t>
      </w:r>
      <w:proofErr w:type="spellEnd"/>
      <w:r w:rsidR="00CC7FDA" w:rsidRPr="00771E6E">
        <w:rPr>
          <w:rFonts w:cs="Times New Roman"/>
          <w:i/>
          <w:color w:val="000000" w:themeColor="text1"/>
          <w:lang w:val="en-GB"/>
        </w:rPr>
        <w:t xml:space="preserve"> Aurea</w:t>
      </w:r>
      <w:r w:rsidRPr="00771E6E">
        <w:rPr>
          <w:rFonts w:cs="Times New Roman"/>
          <w:color w:val="000000" w:themeColor="text1"/>
          <w:lang w:val="en-GB"/>
        </w:rPr>
        <w:t>.</w:t>
      </w:r>
    </w:p>
    <w:p w14:paraId="705D06A6" w14:textId="77777777" w:rsidR="005924AE" w:rsidRPr="00771E6E" w:rsidRDefault="00A10489">
      <w:pPr>
        <w:ind w:firstLine="720"/>
        <w:rPr>
          <w:rFonts w:cs="Times New Roman"/>
          <w:color w:val="000000" w:themeColor="text1"/>
          <w:lang w:val="en-GB"/>
        </w:rPr>
      </w:pPr>
      <w:r w:rsidRPr="00771E6E">
        <w:rPr>
          <w:rFonts w:cs="Times New Roman"/>
          <w:color w:val="000000" w:themeColor="text1"/>
          <w:lang w:val="en-GB"/>
        </w:rPr>
        <w:t xml:space="preserve">However, while the importance of images in general and the role of particular subjects such as the Virgin Mary as </w:t>
      </w:r>
      <w:r w:rsidRPr="00771E6E">
        <w:rPr>
          <w:rFonts w:cs="Times New Roman"/>
          <w:i/>
          <w:color w:val="000000" w:themeColor="text1"/>
          <w:lang w:val="en-GB"/>
        </w:rPr>
        <w:t>exempla</w:t>
      </w:r>
      <w:r w:rsidRPr="00771E6E">
        <w:rPr>
          <w:rFonts w:cs="Times New Roman"/>
          <w:color w:val="000000" w:themeColor="text1"/>
          <w:lang w:val="en-GB"/>
        </w:rPr>
        <w:t xml:space="preserve"> have been discussed at length</w:t>
      </w:r>
      <w:r w:rsidR="00911A4A" w:rsidRPr="00771E6E">
        <w:rPr>
          <w:rFonts w:cs="Times New Roman"/>
          <w:color w:val="000000" w:themeColor="text1"/>
          <w:lang w:val="en-GB"/>
        </w:rPr>
        <w:t xml:space="preserve"> by scholars</w:t>
      </w:r>
      <w:r w:rsidRPr="00771E6E">
        <w:rPr>
          <w:rFonts w:cs="Times New Roman"/>
          <w:color w:val="000000" w:themeColor="text1"/>
          <w:lang w:val="en-GB"/>
        </w:rPr>
        <w:t xml:space="preserve">, </w:t>
      </w:r>
      <w:proofErr w:type="spellStart"/>
      <w:r w:rsidRPr="00771E6E">
        <w:rPr>
          <w:rFonts w:cs="Times New Roman"/>
          <w:color w:val="000000" w:themeColor="text1"/>
          <w:lang w:val="en-GB"/>
        </w:rPr>
        <w:t>Dominici’s</w:t>
      </w:r>
      <w:proofErr w:type="spellEnd"/>
      <w:r w:rsidRPr="00771E6E">
        <w:rPr>
          <w:rFonts w:cs="Times New Roman"/>
          <w:color w:val="000000" w:themeColor="text1"/>
          <w:lang w:val="en-GB"/>
        </w:rPr>
        <w:t xml:space="preserve"> statement on the importance of depictions of angels has been somehow neglected</w:t>
      </w:r>
      <w:r w:rsidR="00F61A6E" w:rsidRPr="00771E6E">
        <w:rPr>
          <w:rFonts w:cs="Times New Roman"/>
          <w:color w:val="000000" w:themeColor="text1"/>
          <w:lang w:val="en-GB"/>
        </w:rPr>
        <w:t xml:space="preserve">, </w:t>
      </w:r>
      <w:r w:rsidR="0046152C" w:rsidRPr="00771E6E">
        <w:rPr>
          <w:rFonts w:cs="Times New Roman"/>
          <w:color w:val="000000" w:themeColor="text1"/>
          <w:lang w:val="en-GB"/>
        </w:rPr>
        <w:t xml:space="preserve">and </w:t>
      </w:r>
      <w:r w:rsidR="001829C1" w:rsidRPr="00771E6E">
        <w:rPr>
          <w:rFonts w:cs="Times New Roman"/>
          <w:color w:val="000000" w:themeColor="text1"/>
          <w:lang w:val="en-GB"/>
        </w:rPr>
        <w:t>deserves</w:t>
      </w:r>
      <w:r w:rsidR="0046152C" w:rsidRPr="00771E6E">
        <w:rPr>
          <w:rFonts w:cs="Times New Roman"/>
          <w:color w:val="000000" w:themeColor="text1"/>
          <w:lang w:val="en-GB"/>
        </w:rPr>
        <w:t xml:space="preserve"> some </w:t>
      </w:r>
      <w:r w:rsidR="00F61A6E" w:rsidRPr="00771E6E">
        <w:rPr>
          <w:rFonts w:cs="Times New Roman"/>
          <w:color w:val="000000" w:themeColor="text1"/>
          <w:lang w:val="en-GB"/>
        </w:rPr>
        <w:t>long</w:t>
      </w:r>
      <w:r w:rsidR="00193840" w:rsidRPr="00771E6E">
        <w:rPr>
          <w:rFonts w:cs="Times New Roman"/>
          <w:color w:val="000000" w:themeColor="text1"/>
          <w:lang w:val="en-GB"/>
        </w:rPr>
        <w:t>-</w:t>
      </w:r>
      <w:r w:rsidR="00F61A6E" w:rsidRPr="00771E6E">
        <w:rPr>
          <w:rFonts w:cs="Times New Roman"/>
          <w:color w:val="000000" w:themeColor="text1"/>
          <w:lang w:val="en-GB"/>
        </w:rPr>
        <w:t xml:space="preserve">overdue </w:t>
      </w:r>
      <w:r w:rsidR="0046152C" w:rsidRPr="00771E6E">
        <w:rPr>
          <w:rFonts w:cs="Times New Roman"/>
          <w:color w:val="000000" w:themeColor="text1"/>
          <w:lang w:val="en-GB"/>
        </w:rPr>
        <w:t>attention.</w:t>
      </w:r>
      <w:r w:rsidR="005924AE" w:rsidRPr="00771E6E">
        <w:rPr>
          <w:rFonts w:cs="Times New Roman"/>
          <w:color w:val="000000" w:themeColor="text1"/>
          <w:lang w:val="en-GB"/>
        </w:rPr>
        <w:t xml:space="preserve"> </w:t>
      </w:r>
      <w:proofErr w:type="spellStart"/>
      <w:r w:rsidR="005924AE" w:rsidRPr="00771E6E">
        <w:rPr>
          <w:rFonts w:cs="Times New Roman"/>
          <w:color w:val="000000" w:themeColor="text1"/>
          <w:lang w:val="en-GB"/>
        </w:rPr>
        <w:t>Dominici’s</w:t>
      </w:r>
      <w:proofErr w:type="spellEnd"/>
      <w:r w:rsidR="005924AE" w:rsidRPr="00771E6E">
        <w:rPr>
          <w:rFonts w:cs="Times New Roman"/>
          <w:color w:val="000000" w:themeColor="text1"/>
          <w:lang w:val="en-GB"/>
        </w:rPr>
        <w:t xml:space="preserve"> advice to show images to children that would look similar to them, to fascinate or enchant them (“come simile e dal simile </w:t>
      </w:r>
      <w:proofErr w:type="spellStart"/>
      <w:r w:rsidR="005924AE" w:rsidRPr="00771E6E">
        <w:rPr>
          <w:rFonts w:cs="Times New Roman"/>
          <w:color w:val="000000" w:themeColor="text1"/>
          <w:lang w:val="en-GB"/>
        </w:rPr>
        <w:t>rapito</w:t>
      </w:r>
      <w:proofErr w:type="spellEnd"/>
      <w:r w:rsidR="005924AE" w:rsidRPr="00771E6E">
        <w:rPr>
          <w:rFonts w:cs="Times New Roman"/>
          <w:color w:val="000000" w:themeColor="text1"/>
          <w:lang w:val="en-GB"/>
        </w:rPr>
        <w:t xml:space="preserve">”), has been widely accepted and used in scholarship with regards to images of the Infant Christ and the young Saint John the Baptist. However, angels too were depicted as children of varying ages, from infants, as in </w:t>
      </w:r>
      <w:r w:rsidR="005924AE" w:rsidRPr="00771E6E">
        <w:rPr>
          <w:rFonts w:cs="Times New Roman"/>
          <w:i/>
          <w:color w:val="000000" w:themeColor="text1"/>
          <w:lang w:val="en-GB"/>
        </w:rPr>
        <w:t>putti</w:t>
      </w:r>
      <w:r w:rsidR="005924AE" w:rsidRPr="00771E6E">
        <w:rPr>
          <w:rFonts w:cs="Times New Roman"/>
          <w:color w:val="000000" w:themeColor="text1"/>
          <w:lang w:val="en-GB"/>
        </w:rPr>
        <w:t>, to young adolescents.</w:t>
      </w:r>
    </w:p>
    <w:p w14:paraId="3BD4F3E8" w14:textId="77777777" w:rsidR="00687CDF" w:rsidRPr="00771E6E" w:rsidRDefault="0046152C">
      <w:pPr>
        <w:ind w:firstLine="720"/>
        <w:rPr>
          <w:rFonts w:cs="Times New Roman"/>
          <w:color w:val="000000" w:themeColor="text1"/>
          <w:lang w:val="en-GB"/>
        </w:rPr>
      </w:pPr>
      <w:r w:rsidRPr="00771E6E">
        <w:rPr>
          <w:rFonts w:cs="Times New Roman"/>
          <w:color w:val="000000" w:themeColor="text1"/>
          <w:lang w:val="en-GB"/>
        </w:rPr>
        <w:lastRenderedPageBreak/>
        <w:t>As one of the most ubiquitous presence</w:t>
      </w:r>
      <w:r w:rsidR="00F61A6E" w:rsidRPr="00771E6E">
        <w:rPr>
          <w:rFonts w:cs="Times New Roman"/>
          <w:color w:val="000000" w:themeColor="text1"/>
          <w:lang w:val="en-GB"/>
        </w:rPr>
        <w:t>s</w:t>
      </w:r>
      <w:r w:rsidRPr="00771E6E">
        <w:rPr>
          <w:rFonts w:cs="Times New Roman"/>
          <w:color w:val="000000" w:themeColor="text1"/>
          <w:lang w:val="en-GB"/>
        </w:rPr>
        <w:t xml:space="preserve"> in the Renaissance Italian world, </w:t>
      </w:r>
      <w:r w:rsidR="00F61A6E" w:rsidRPr="00771E6E">
        <w:rPr>
          <w:rFonts w:cs="Times New Roman"/>
          <w:color w:val="000000" w:themeColor="text1"/>
          <w:lang w:val="en-GB"/>
        </w:rPr>
        <w:t xml:space="preserve">angels </w:t>
      </w:r>
      <w:r w:rsidRPr="00771E6E">
        <w:rPr>
          <w:rFonts w:cs="Times New Roman"/>
          <w:color w:val="000000" w:themeColor="text1"/>
          <w:lang w:val="en-GB"/>
        </w:rPr>
        <w:t>have almost been taken for granted</w:t>
      </w:r>
      <w:r w:rsidR="00F61A6E" w:rsidRPr="00771E6E">
        <w:rPr>
          <w:rFonts w:cs="Times New Roman"/>
          <w:color w:val="000000" w:themeColor="text1"/>
          <w:lang w:val="en-GB"/>
        </w:rPr>
        <w:t>,</w:t>
      </w:r>
      <w:r w:rsidRPr="00771E6E">
        <w:rPr>
          <w:rFonts w:cs="Times New Roman"/>
          <w:color w:val="000000" w:themeColor="text1"/>
          <w:lang w:val="en-GB"/>
        </w:rPr>
        <w:t xml:space="preserve"> and their significance </w:t>
      </w:r>
      <w:r w:rsidR="00911A4A" w:rsidRPr="00771E6E">
        <w:rPr>
          <w:rFonts w:cs="Times New Roman"/>
          <w:color w:val="000000" w:themeColor="text1"/>
          <w:lang w:val="en-GB"/>
        </w:rPr>
        <w:t xml:space="preserve">has been </w:t>
      </w:r>
      <w:r w:rsidRPr="00771E6E">
        <w:rPr>
          <w:rFonts w:cs="Times New Roman"/>
          <w:color w:val="000000" w:themeColor="text1"/>
          <w:lang w:val="en-GB"/>
        </w:rPr>
        <w:t xml:space="preserve">limited to </w:t>
      </w:r>
      <w:r w:rsidR="001829C1" w:rsidRPr="00771E6E">
        <w:rPr>
          <w:rFonts w:cs="Times New Roman"/>
          <w:color w:val="000000" w:themeColor="text1"/>
          <w:lang w:val="en-GB"/>
        </w:rPr>
        <w:t xml:space="preserve">their role </w:t>
      </w:r>
      <w:r w:rsidRPr="00771E6E">
        <w:rPr>
          <w:rFonts w:cs="Times New Roman"/>
          <w:color w:val="000000" w:themeColor="text1"/>
          <w:lang w:val="en-GB"/>
        </w:rPr>
        <w:t>as God’s messenger</w:t>
      </w:r>
      <w:r w:rsidR="001829C1" w:rsidRPr="00771E6E">
        <w:rPr>
          <w:rFonts w:cs="Times New Roman"/>
          <w:color w:val="000000" w:themeColor="text1"/>
          <w:lang w:val="en-GB"/>
        </w:rPr>
        <w:t>s</w:t>
      </w:r>
      <w:r w:rsidR="00F61A6E" w:rsidRPr="00771E6E">
        <w:rPr>
          <w:rFonts w:cs="Times New Roman"/>
          <w:color w:val="000000" w:themeColor="text1"/>
          <w:lang w:val="en-GB"/>
        </w:rPr>
        <w:t>,</w:t>
      </w:r>
      <w:r w:rsidRPr="00771E6E">
        <w:rPr>
          <w:rFonts w:cs="Times New Roman"/>
          <w:color w:val="000000" w:themeColor="text1"/>
          <w:lang w:val="en-GB"/>
        </w:rPr>
        <w:t xml:space="preserve"> and to the rather dutiful task of praising </w:t>
      </w:r>
      <w:r w:rsidR="002A4683" w:rsidRPr="00771E6E">
        <w:rPr>
          <w:rFonts w:cs="Times New Roman"/>
          <w:color w:val="000000" w:themeColor="text1"/>
          <w:lang w:val="en-GB"/>
        </w:rPr>
        <w:t xml:space="preserve">the Lord </w:t>
      </w:r>
      <w:r w:rsidRPr="00771E6E">
        <w:rPr>
          <w:rFonts w:cs="Times New Roman"/>
          <w:color w:val="000000" w:themeColor="text1"/>
          <w:lang w:val="en-GB"/>
        </w:rPr>
        <w:t>and adoring the Virgin and Child</w:t>
      </w:r>
      <w:r w:rsidR="00A27238" w:rsidRPr="00771E6E">
        <w:rPr>
          <w:rFonts w:cs="Times New Roman"/>
          <w:color w:val="000000" w:themeColor="text1"/>
          <w:lang w:val="en-GB"/>
        </w:rPr>
        <w:t xml:space="preserve">. </w:t>
      </w:r>
      <w:r w:rsidR="000E4256" w:rsidRPr="00771E6E">
        <w:rPr>
          <w:rFonts w:cs="Times New Roman"/>
          <w:color w:val="000000" w:themeColor="text1"/>
          <w:lang w:val="en-GB"/>
        </w:rPr>
        <w:t xml:space="preserve">The role that these figures could have </w:t>
      </w:r>
      <w:r w:rsidR="001829C1" w:rsidRPr="00771E6E">
        <w:rPr>
          <w:rFonts w:cs="Times New Roman"/>
          <w:color w:val="000000" w:themeColor="text1"/>
          <w:lang w:val="en-GB"/>
        </w:rPr>
        <w:t xml:space="preserve">played </w:t>
      </w:r>
      <w:r w:rsidR="000E4256" w:rsidRPr="00771E6E">
        <w:rPr>
          <w:rFonts w:cs="Times New Roman"/>
          <w:color w:val="000000" w:themeColor="text1"/>
          <w:lang w:val="en-GB"/>
        </w:rPr>
        <w:t>in the life and education of an individual has</w:t>
      </w:r>
      <w:r w:rsidR="000F70E6" w:rsidRPr="00771E6E">
        <w:rPr>
          <w:rFonts w:cs="Times New Roman"/>
          <w:color w:val="000000" w:themeColor="text1"/>
          <w:lang w:val="en-GB"/>
        </w:rPr>
        <w:t xml:space="preserve"> never </w:t>
      </w:r>
      <w:r w:rsidR="00911A4A" w:rsidRPr="00771E6E">
        <w:rPr>
          <w:rFonts w:cs="Times New Roman"/>
          <w:color w:val="000000" w:themeColor="text1"/>
          <w:lang w:val="en-GB"/>
        </w:rPr>
        <w:t xml:space="preserve">been </w:t>
      </w:r>
      <w:r w:rsidR="000F70E6" w:rsidRPr="00771E6E">
        <w:rPr>
          <w:rFonts w:cs="Times New Roman"/>
          <w:color w:val="000000" w:themeColor="text1"/>
          <w:lang w:val="en-GB"/>
        </w:rPr>
        <w:t>comprehensively considered</w:t>
      </w:r>
      <w:r w:rsidR="000E4256" w:rsidRPr="00771E6E">
        <w:rPr>
          <w:rFonts w:cs="Times New Roman"/>
          <w:color w:val="000000" w:themeColor="text1"/>
          <w:lang w:val="en-GB"/>
        </w:rPr>
        <w:t xml:space="preserve"> </w:t>
      </w:r>
      <w:r w:rsidR="003C7ED1" w:rsidRPr="00771E6E">
        <w:rPr>
          <w:rFonts w:cs="Times New Roman"/>
          <w:color w:val="000000" w:themeColor="text1"/>
          <w:lang w:val="en-GB"/>
        </w:rPr>
        <w:t xml:space="preserve">in </w:t>
      </w:r>
      <w:r w:rsidR="000E4256" w:rsidRPr="00771E6E">
        <w:rPr>
          <w:rFonts w:cs="Times New Roman"/>
          <w:color w:val="000000" w:themeColor="text1"/>
          <w:lang w:val="en-GB"/>
        </w:rPr>
        <w:t xml:space="preserve">scholarship. </w:t>
      </w:r>
      <w:r w:rsidR="00ED606D" w:rsidRPr="00771E6E">
        <w:rPr>
          <w:rFonts w:cs="Times New Roman"/>
          <w:color w:val="000000" w:themeColor="text1"/>
          <w:lang w:val="en-GB"/>
        </w:rPr>
        <w:t>Nonetheless</w:t>
      </w:r>
      <w:r w:rsidR="000E4256" w:rsidRPr="00771E6E">
        <w:rPr>
          <w:rFonts w:cs="Times New Roman"/>
          <w:color w:val="000000" w:themeColor="text1"/>
          <w:lang w:val="en-GB"/>
        </w:rPr>
        <w:t xml:space="preserve">, </w:t>
      </w:r>
      <w:r w:rsidR="003C7ED1" w:rsidRPr="00771E6E">
        <w:rPr>
          <w:rFonts w:cs="Times New Roman"/>
          <w:color w:val="000000" w:themeColor="text1"/>
          <w:lang w:val="en-GB"/>
        </w:rPr>
        <w:t>their common identification</w:t>
      </w:r>
      <w:r w:rsidR="000E4256" w:rsidRPr="00771E6E">
        <w:rPr>
          <w:rFonts w:cs="Times New Roman"/>
          <w:color w:val="000000" w:themeColor="text1"/>
          <w:lang w:val="en-GB"/>
        </w:rPr>
        <w:t xml:space="preserve"> as guardians and guides helps </w:t>
      </w:r>
      <w:r w:rsidR="00F61A6E" w:rsidRPr="00771E6E">
        <w:rPr>
          <w:rFonts w:cs="Times New Roman"/>
          <w:color w:val="000000" w:themeColor="text1"/>
          <w:lang w:val="en-GB"/>
        </w:rPr>
        <w:t xml:space="preserve">to </w:t>
      </w:r>
      <w:r w:rsidR="000E4256" w:rsidRPr="00771E6E">
        <w:rPr>
          <w:rFonts w:cs="Times New Roman"/>
          <w:color w:val="000000" w:themeColor="text1"/>
          <w:lang w:val="en-GB"/>
        </w:rPr>
        <w:t>fram</w:t>
      </w:r>
      <w:r w:rsidR="00F61A6E" w:rsidRPr="00771E6E">
        <w:rPr>
          <w:rFonts w:cs="Times New Roman"/>
          <w:color w:val="000000" w:themeColor="text1"/>
          <w:lang w:val="en-GB"/>
        </w:rPr>
        <w:t>e</w:t>
      </w:r>
      <w:r w:rsidR="000E4256" w:rsidRPr="00771E6E">
        <w:rPr>
          <w:rFonts w:cs="Times New Roman"/>
          <w:color w:val="000000" w:themeColor="text1"/>
          <w:lang w:val="en-GB"/>
        </w:rPr>
        <w:t xml:space="preserve"> them </w:t>
      </w:r>
      <w:r w:rsidR="00ED606D" w:rsidRPr="00771E6E">
        <w:rPr>
          <w:rFonts w:cs="Times New Roman"/>
          <w:color w:val="000000" w:themeColor="text1"/>
          <w:lang w:val="en-GB"/>
        </w:rPr>
        <w:t>with</w:t>
      </w:r>
      <w:r w:rsidR="000E4256" w:rsidRPr="00771E6E">
        <w:rPr>
          <w:rFonts w:cs="Times New Roman"/>
          <w:color w:val="000000" w:themeColor="text1"/>
          <w:lang w:val="en-GB"/>
        </w:rPr>
        <w:t>in a moral</w:t>
      </w:r>
      <w:r w:rsidR="00193840" w:rsidRPr="00771E6E">
        <w:rPr>
          <w:rFonts w:cs="Times New Roman"/>
          <w:color w:val="000000" w:themeColor="text1"/>
          <w:lang w:val="en-GB"/>
        </w:rPr>
        <w:t>, pedagogical</w:t>
      </w:r>
      <w:r w:rsidR="000E4256" w:rsidRPr="00771E6E">
        <w:rPr>
          <w:rFonts w:cs="Times New Roman"/>
          <w:color w:val="000000" w:themeColor="text1"/>
          <w:lang w:val="en-GB"/>
        </w:rPr>
        <w:t xml:space="preserve"> context. </w:t>
      </w:r>
      <w:r w:rsidR="00D84E21" w:rsidRPr="00771E6E">
        <w:rPr>
          <w:rFonts w:cs="Times New Roman"/>
          <w:color w:val="000000" w:themeColor="text1"/>
          <w:lang w:val="en-GB"/>
        </w:rPr>
        <w:t>In this light</w:t>
      </w:r>
      <w:r w:rsidR="006A5FE7" w:rsidRPr="00771E6E">
        <w:rPr>
          <w:rFonts w:cs="Times New Roman"/>
          <w:color w:val="000000" w:themeColor="text1"/>
          <w:lang w:val="en-GB"/>
        </w:rPr>
        <w:t>,</w:t>
      </w:r>
      <w:r w:rsidR="00D84E21" w:rsidRPr="00771E6E">
        <w:rPr>
          <w:rFonts w:cs="Times New Roman"/>
          <w:color w:val="000000" w:themeColor="text1"/>
          <w:lang w:val="en-GB"/>
        </w:rPr>
        <w:t xml:space="preserve"> </w:t>
      </w:r>
      <w:r w:rsidR="003C7ED1" w:rsidRPr="00771E6E">
        <w:rPr>
          <w:rFonts w:cs="Times New Roman"/>
          <w:color w:val="000000" w:themeColor="text1"/>
          <w:lang w:val="en-GB"/>
        </w:rPr>
        <w:t xml:space="preserve">it is striking to observe that </w:t>
      </w:r>
      <w:r w:rsidR="00D84E21" w:rsidRPr="00771E6E">
        <w:rPr>
          <w:rFonts w:cs="Times New Roman"/>
          <w:color w:val="000000" w:themeColor="text1"/>
          <w:lang w:val="en-GB"/>
        </w:rPr>
        <w:t>one of the activities</w:t>
      </w:r>
      <w:r w:rsidR="00ED606D" w:rsidRPr="00771E6E">
        <w:rPr>
          <w:rFonts w:cs="Times New Roman"/>
          <w:color w:val="000000" w:themeColor="text1"/>
          <w:lang w:val="en-GB"/>
        </w:rPr>
        <w:t xml:space="preserve"> in which they are often shown</w:t>
      </w:r>
      <w:r w:rsidR="00D84E21" w:rsidRPr="00771E6E">
        <w:rPr>
          <w:rFonts w:cs="Times New Roman"/>
          <w:color w:val="000000" w:themeColor="text1"/>
          <w:lang w:val="en-GB"/>
        </w:rPr>
        <w:t xml:space="preserve"> </w:t>
      </w:r>
      <w:r w:rsidR="003C7ED1" w:rsidRPr="00771E6E">
        <w:rPr>
          <w:rFonts w:cs="Times New Roman"/>
          <w:color w:val="000000" w:themeColor="text1"/>
          <w:lang w:val="en-GB"/>
        </w:rPr>
        <w:t xml:space="preserve">engaged </w:t>
      </w:r>
      <w:r w:rsidR="00D84E21" w:rsidRPr="00771E6E">
        <w:rPr>
          <w:rFonts w:cs="Times New Roman"/>
          <w:color w:val="000000" w:themeColor="text1"/>
          <w:lang w:val="en-GB"/>
        </w:rPr>
        <w:t xml:space="preserve">is </w:t>
      </w:r>
      <w:r w:rsidR="00F61A6E" w:rsidRPr="00771E6E">
        <w:rPr>
          <w:rFonts w:cs="Times New Roman"/>
          <w:color w:val="000000" w:themeColor="text1"/>
          <w:lang w:val="en-GB"/>
        </w:rPr>
        <w:t xml:space="preserve">strongly associated with </w:t>
      </w:r>
      <w:r w:rsidR="00D84E21" w:rsidRPr="00771E6E">
        <w:rPr>
          <w:rFonts w:cs="Times New Roman"/>
          <w:color w:val="000000" w:themeColor="text1"/>
          <w:lang w:val="en-GB"/>
        </w:rPr>
        <w:t>education and ethical training: making music.</w:t>
      </w:r>
    </w:p>
    <w:p w14:paraId="739DF0CE" w14:textId="77777777" w:rsidR="00B90035" w:rsidRPr="00771E6E" w:rsidRDefault="00B128C5">
      <w:pPr>
        <w:ind w:firstLine="720"/>
        <w:rPr>
          <w:rFonts w:cs="Times New Roman"/>
          <w:color w:val="000000" w:themeColor="text1"/>
          <w:lang w:val="en-GB"/>
        </w:rPr>
      </w:pPr>
      <w:r w:rsidRPr="00771E6E">
        <w:rPr>
          <w:rFonts w:cs="Times New Roman"/>
          <w:color w:val="000000" w:themeColor="text1"/>
          <w:lang w:val="en-GB"/>
        </w:rPr>
        <w:t xml:space="preserve">Theories </w:t>
      </w:r>
      <w:r w:rsidR="003C7ED1" w:rsidRPr="00771E6E">
        <w:rPr>
          <w:rFonts w:cs="Times New Roman"/>
          <w:color w:val="000000" w:themeColor="text1"/>
          <w:lang w:val="en-GB"/>
        </w:rPr>
        <w:t xml:space="preserve">concerning </w:t>
      </w:r>
      <w:r w:rsidRPr="00771E6E">
        <w:rPr>
          <w:rFonts w:cs="Times New Roman"/>
          <w:color w:val="000000" w:themeColor="text1"/>
          <w:lang w:val="en-GB"/>
        </w:rPr>
        <w:t xml:space="preserve">the </w:t>
      </w:r>
      <w:r w:rsidR="003C7ED1" w:rsidRPr="00771E6E">
        <w:rPr>
          <w:rFonts w:cs="Times New Roman"/>
          <w:color w:val="000000" w:themeColor="text1"/>
          <w:lang w:val="en-GB"/>
        </w:rPr>
        <w:t xml:space="preserve">ethical </w:t>
      </w:r>
      <w:r w:rsidRPr="00771E6E">
        <w:rPr>
          <w:rFonts w:cs="Times New Roman"/>
          <w:color w:val="000000" w:themeColor="text1"/>
          <w:lang w:val="en-GB"/>
        </w:rPr>
        <w:t xml:space="preserve">power of music </w:t>
      </w:r>
      <w:r w:rsidR="003C7ED1" w:rsidRPr="00771E6E">
        <w:rPr>
          <w:rFonts w:cs="Times New Roman"/>
          <w:color w:val="000000" w:themeColor="text1"/>
          <w:lang w:val="en-GB"/>
        </w:rPr>
        <w:t xml:space="preserve">had </w:t>
      </w:r>
      <w:r w:rsidRPr="00771E6E">
        <w:rPr>
          <w:rFonts w:cs="Times New Roman"/>
          <w:color w:val="000000" w:themeColor="text1"/>
          <w:lang w:val="en-GB"/>
        </w:rPr>
        <w:t xml:space="preserve">developed </w:t>
      </w:r>
      <w:r w:rsidR="00193840" w:rsidRPr="00771E6E">
        <w:rPr>
          <w:rFonts w:cs="Times New Roman"/>
          <w:color w:val="000000" w:themeColor="text1"/>
          <w:lang w:val="en-GB"/>
        </w:rPr>
        <w:t>in antiquity</w:t>
      </w:r>
      <w:r w:rsidR="003C7ED1" w:rsidRPr="00771E6E">
        <w:rPr>
          <w:rFonts w:cs="Times New Roman"/>
          <w:color w:val="000000" w:themeColor="text1"/>
          <w:lang w:val="en-GB"/>
        </w:rPr>
        <w:t xml:space="preserve">, both in the thought of the ancient Greek mathematician Pythagoras and its transmission through Plato and his late-antique imitators, and in Roman mythography, poetics and rhetorical theory. </w:t>
      </w:r>
      <w:r w:rsidR="00C10004" w:rsidRPr="00771E6E">
        <w:rPr>
          <w:rFonts w:cs="Times New Roman"/>
          <w:color w:val="000000" w:themeColor="text1"/>
          <w:lang w:val="en-GB"/>
        </w:rPr>
        <w:t>S</w:t>
      </w:r>
      <w:r w:rsidR="003C7ED1" w:rsidRPr="00771E6E">
        <w:rPr>
          <w:rFonts w:cs="Times New Roman"/>
          <w:color w:val="000000" w:themeColor="text1"/>
          <w:lang w:val="en-GB"/>
        </w:rPr>
        <w:t>uch texts</w:t>
      </w:r>
      <w:r w:rsidRPr="00771E6E">
        <w:rPr>
          <w:rFonts w:cs="Times New Roman"/>
          <w:color w:val="000000" w:themeColor="text1"/>
          <w:lang w:val="en-GB"/>
        </w:rPr>
        <w:t xml:space="preserve"> were available </w:t>
      </w:r>
      <w:r w:rsidR="00C10004" w:rsidRPr="00771E6E">
        <w:rPr>
          <w:rFonts w:cs="Times New Roman"/>
          <w:color w:val="000000" w:themeColor="text1"/>
          <w:lang w:val="en-GB"/>
        </w:rPr>
        <w:t xml:space="preserve">in fifteenth-century Italy </w:t>
      </w:r>
      <w:r w:rsidR="00F61A6E" w:rsidRPr="00771E6E">
        <w:rPr>
          <w:rFonts w:cs="Times New Roman"/>
          <w:color w:val="000000" w:themeColor="text1"/>
          <w:lang w:val="en-GB"/>
        </w:rPr>
        <w:t xml:space="preserve">on an </w:t>
      </w:r>
      <w:r w:rsidRPr="00771E6E">
        <w:rPr>
          <w:rFonts w:cs="Times New Roman"/>
          <w:color w:val="000000" w:themeColor="text1"/>
          <w:lang w:val="en-GB"/>
        </w:rPr>
        <w:t xml:space="preserve">unprecedented scale, through both the printing of ancient sources and the </w:t>
      </w:r>
      <w:r w:rsidR="00D73DCA" w:rsidRPr="00771E6E">
        <w:rPr>
          <w:rFonts w:cs="Times New Roman"/>
          <w:color w:val="000000" w:themeColor="text1"/>
          <w:lang w:val="en-GB"/>
        </w:rPr>
        <w:t xml:space="preserve">revival </w:t>
      </w:r>
      <w:r w:rsidRPr="00771E6E">
        <w:rPr>
          <w:rFonts w:cs="Times New Roman"/>
          <w:color w:val="000000" w:themeColor="text1"/>
          <w:lang w:val="en-GB"/>
        </w:rPr>
        <w:t>of the</w:t>
      </w:r>
      <w:r w:rsidR="003C7ED1" w:rsidRPr="00771E6E">
        <w:rPr>
          <w:rFonts w:cs="Times New Roman"/>
          <w:color w:val="000000" w:themeColor="text1"/>
          <w:lang w:val="en-GB"/>
        </w:rPr>
        <w:t>ir</w:t>
      </w:r>
      <w:r w:rsidRPr="00771E6E">
        <w:rPr>
          <w:rFonts w:cs="Times New Roman"/>
          <w:color w:val="000000" w:themeColor="text1"/>
          <w:lang w:val="en-GB"/>
        </w:rPr>
        <w:t xml:space="preserve"> </w:t>
      </w:r>
      <w:r w:rsidR="003C7ED1" w:rsidRPr="00771E6E">
        <w:rPr>
          <w:rFonts w:cs="Times New Roman"/>
          <w:color w:val="000000" w:themeColor="text1"/>
          <w:lang w:val="en-GB"/>
        </w:rPr>
        <w:t xml:space="preserve">stories and concepts </w:t>
      </w:r>
      <w:r w:rsidRPr="00771E6E">
        <w:rPr>
          <w:rFonts w:cs="Times New Roman"/>
          <w:color w:val="000000" w:themeColor="text1"/>
          <w:lang w:val="en-GB"/>
        </w:rPr>
        <w:t>in contemporary texts</w:t>
      </w:r>
      <w:r w:rsidR="003C7ED1" w:rsidRPr="00771E6E">
        <w:rPr>
          <w:rFonts w:cs="Times New Roman"/>
          <w:color w:val="000000" w:themeColor="text1"/>
          <w:lang w:val="en-GB"/>
        </w:rPr>
        <w:t xml:space="preserve">, </w:t>
      </w:r>
      <w:r w:rsidR="00D73DCA" w:rsidRPr="00771E6E">
        <w:rPr>
          <w:rFonts w:cs="Times New Roman"/>
          <w:color w:val="000000" w:themeColor="text1"/>
          <w:lang w:val="en-GB"/>
        </w:rPr>
        <w:t>most obviously in</w:t>
      </w:r>
      <w:r w:rsidR="003C7ED1" w:rsidRPr="00771E6E">
        <w:rPr>
          <w:rFonts w:cs="Times New Roman"/>
          <w:color w:val="000000" w:themeColor="text1"/>
          <w:lang w:val="en-GB"/>
        </w:rPr>
        <w:t xml:space="preserve"> expert music theory </w:t>
      </w:r>
      <w:r w:rsidR="00D73DCA" w:rsidRPr="00771E6E">
        <w:rPr>
          <w:rFonts w:cs="Times New Roman"/>
          <w:color w:val="000000" w:themeColor="text1"/>
          <w:lang w:val="en-GB"/>
        </w:rPr>
        <w:t>but also, much more ubiquitously, in</w:t>
      </w:r>
      <w:r w:rsidR="003C7ED1" w:rsidRPr="00771E6E">
        <w:rPr>
          <w:rFonts w:cs="Times New Roman"/>
          <w:color w:val="000000" w:themeColor="text1"/>
          <w:lang w:val="en-GB"/>
        </w:rPr>
        <w:t xml:space="preserve"> non-specialist discussions of music</w:t>
      </w:r>
      <w:r w:rsidRPr="00771E6E">
        <w:rPr>
          <w:rFonts w:cs="Times New Roman"/>
          <w:color w:val="000000" w:themeColor="text1"/>
          <w:lang w:val="en-GB"/>
        </w:rPr>
        <w:t>.</w:t>
      </w:r>
    </w:p>
    <w:p w14:paraId="0D2C13C3" w14:textId="77777777" w:rsidR="00941A8A" w:rsidRPr="00771E6E" w:rsidRDefault="00973C16">
      <w:pPr>
        <w:ind w:firstLine="720"/>
        <w:rPr>
          <w:rFonts w:cs="Times New Roman"/>
          <w:color w:val="000000" w:themeColor="text1"/>
          <w:lang w:val="en-GB"/>
        </w:rPr>
      </w:pPr>
      <w:r w:rsidRPr="00771E6E">
        <w:rPr>
          <w:rFonts w:cs="Times New Roman"/>
          <w:color w:val="000000" w:themeColor="text1"/>
          <w:lang w:val="en-GB"/>
        </w:rPr>
        <w:t xml:space="preserve">The study of music was advocated </w:t>
      </w:r>
      <w:r w:rsidR="0004672B" w:rsidRPr="00771E6E">
        <w:rPr>
          <w:rFonts w:cs="Times New Roman"/>
          <w:color w:val="000000" w:themeColor="text1"/>
          <w:lang w:val="en-GB"/>
        </w:rPr>
        <w:t xml:space="preserve">in </w:t>
      </w:r>
      <w:r w:rsidR="00B90035" w:rsidRPr="00771E6E">
        <w:rPr>
          <w:rFonts w:cs="Times New Roman"/>
          <w:color w:val="000000" w:themeColor="text1"/>
          <w:lang w:val="en-GB"/>
        </w:rPr>
        <w:t xml:space="preserve">numerous </w:t>
      </w:r>
      <w:r w:rsidR="0004672B" w:rsidRPr="00771E6E">
        <w:rPr>
          <w:rFonts w:cs="Times New Roman"/>
          <w:color w:val="000000" w:themeColor="text1"/>
          <w:lang w:val="en-GB"/>
        </w:rPr>
        <w:t xml:space="preserve">treatises </w:t>
      </w:r>
      <w:r w:rsidR="00B90035" w:rsidRPr="00771E6E">
        <w:rPr>
          <w:rFonts w:cs="Times New Roman"/>
          <w:color w:val="000000" w:themeColor="text1"/>
          <w:lang w:val="en-GB"/>
        </w:rPr>
        <w:t>on education, which</w:t>
      </w:r>
      <w:r w:rsidR="0004672B" w:rsidRPr="00771E6E">
        <w:rPr>
          <w:rFonts w:cs="Times New Roman"/>
          <w:color w:val="000000" w:themeColor="text1"/>
          <w:lang w:val="en-GB"/>
        </w:rPr>
        <w:t xml:space="preserve"> were often dedicated to </w:t>
      </w:r>
      <w:r w:rsidR="00AC6E32" w:rsidRPr="00771E6E">
        <w:rPr>
          <w:rFonts w:cs="Times New Roman"/>
          <w:color w:val="000000" w:themeColor="text1"/>
          <w:lang w:val="en-GB"/>
        </w:rPr>
        <w:t>young rulers</w:t>
      </w:r>
      <w:r w:rsidR="00B90035" w:rsidRPr="00771E6E">
        <w:rPr>
          <w:rFonts w:cs="Times New Roman"/>
          <w:color w:val="000000" w:themeColor="text1"/>
          <w:lang w:val="en-GB"/>
        </w:rPr>
        <w:t>. C</w:t>
      </w:r>
      <w:r w:rsidR="00AC6E32" w:rsidRPr="00771E6E">
        <w:rPr>
          <w:rFonts w:cs="Times New Roman"/>
          <w:color w:val="000000" w:themeColor="text1"/>
          <w:lang w:val="en-GB"/>
        </w:rPr>
        <w:t>hildren were encouraged to undertake musical training with private teachers or</w:t>
      </w:r>
      <w:r w:rsidR="009F7109" w:rsidRPr="00771E6E">
        <w:rPr>
          <w:rFonts w:cs="Times New Roman"/>
          <w:color w:val="000000" w:themeColor="text1"/>
          <w:lang w:val="en-GB"/>
        </w:rPr>
        <w:t xml:space="preserve"> were</w:t>
      </w:r>
      <w:r w:rsidR="00AC6E32" w:rsidRPr="00771E6E">
        <w:rPr>
          <w:rFonts w:cs="Times New Roman"/>
          <w:color w:val="000000" w:themeColor="text1"/>
          <w:lang w:val="en-GB"/>
        </w:rPr>
        <w:t xml:space="preserve"> taught by other members of the family.</w:t>
      </w:r>
      <w:r w:rsidR="007A3E14" w:rsidRPr="00771E6E">
        <w:rPr>
          <w:rFonts w:cs="Times New Roman"/>
          <w:color w:val="000000" w:themeColor="text1"/>
          <w:lang w:val="en-GB"/>
        </w:rPr>
        <w:t xml:space="preserve"> </w:t>
      </w:r>
      <w:r w:rsidR="00B90035" w:rsidRPr="00771E6E">
        <w:rPr>
          <w:rFonts w:cs="Times New Roman"/>
          <w:color w:val="000000" w:themeColor="text1"/>
          <w:lang w:val="en-GB"/>
        </w:rPr>
        <w:t xml:space="preserve">They participated in </w:t>
      </w:r>
      <w:r w:rsidR="00AC6E32" w:rsidRPr="00771E6E">
        <w:rPr>
          <w:rFonts w:cs="Times New Roman"/>
          <w:color w:val="000000" w:themeColor="text1"/>
          <w:lang w:val="en-GB"/>
        </w:rPr>
        <w:t>sing</w:t>
      </w:r>
      <w:r w:rsidR="00B90035" w:rsidRPr="00771E6E">
        <w:rPr>
          <w:rFonts w:cs="Times New Roman"/>
          <w:color w:val="000000" w:themeColor="text1"/>
          <w:lang w:val="en-GB"/>
        </w:rPr>
        <w:t>ing</w:t>
      </w:r>
      <w:r w:rsidR="00AC6E32" w:rsidRPr="00771E6E">
        <w:rPr>
          <w:rFonts w:cs="Times New Roman"/>
          <w:color w:val="000000" w:themeColor="text1"/>
          <w:lang w:val="en-GB"/>
        </w:rPr>
        <w:t xml:space="preserve"> and play</w:t>
      </w:r>
      <w:r w:rsidR="00B90035" w:rsidRPr="00771E6E">
        <w:rPr>
          <w:rFonts w:cs="Times New Roman"/>
          <w:color w:val="000000" w:themeColor="text1"/>
          <w:lang w:val="en-GB"/>
        </w:rPr>
        <w:t>ing</w:t>
      </w:r>
      <w:r w:rsidR="00AC6E32" w:rsidRPr="00771E6E">
        <w:rPr>
          <w:rFonts w:cs="Times New Roman"/>
          <w:color w:val="000000" w:themeColor="text1"/>
          <w:lang w:val="en-GB"/>
        </w:rPr>
        <w:t xml:space="preserve"> musical instruments during public religious celebrations, such as sacred plays and processions</w:t>
      </w:r>
      <w:r w:rsidR="00B90035" w:rsidRPr="00771E6E">
        <w:rPr>
          <w:rFonts w:cs="Times New Roman"/>
          <w:color w:val="000000" w:themeColor="text1"/>
          <w:lang w:val="en-GB"/>
        </w:rPr>
        <w:t xml:space="preserve">. In this last context the connections between children’s musical education and their emulation of angels were made completely explicit, as they </w:t>
      </w:r>
      <w:r w:rsidR="00EB1B3C" w:rsidRPr="00771E6E">
        <w:rPr>
          <w:rFonts w:cs="Times New Roman"/>
          <w:color w:val="000000" w:themeColor="text1"/>
          <w:lang w:val="en-GB"/>
        </w:rPr>
        <w:t xml:space="preserve">took on </w:t>
      </w:r>
      <w:r w:rsidR="00AC6E32" w:rsidRPr="00771E6E">
        <w:rPr>
          <w:rFonts w:cs="Times New Roman"/>
          <w:color w:val="000000" w:themeColor="text1"/>
          <w:lang w:val="en-GB"/>
        </w:rPr>
        <w:t>the role of musical angels</w:t>
      </w:r>
      <w:r w:rsidR="00B90035" w:rsidRPr="00771E6E">
        <w:rPr>
          <w:rFonts w:cs="Times New Roman"/>
          <w:color w:val="000000" w:themeColor="text1"/>
          <w:lang w:val="en-GB"/>
        </w:rPr>
        <w:t xml:space="preserve"> in theatrical performance</w:t>
      </w:r>
      <w:r w:rsidR="00193840" w:rsidRPr="00771E6E">
        <w:rPr>
          <w:rFonts w:cs="Times New Roman"/>
          <w:color w:val="000000" w:themeColor="text1"/>
          <w:lang w:val="en-GB"/>
        </w:rPr>
        <w:t>s</w:t>
      </w:r>
      <w:r w:rsidR="00AC6E32" w:rsidRPr="00771E6E">
        <w:rPr>
          <w:rFonts w:cs="Times New Roman"/>
          <w:color w:val="000000" w:themeColor="text1"/>
          <w:lang w:val="en-GB"/>
        </w:rPr>
        <w:t>.</w:t>
      </w:r>
    </w:p>
    <w:p w14:paraId="6EFEDC4E" w14:textId="77777777" w:rsidR="00B84432" w:rsidRPr="00771E6E" w:rsidRDefault="00AC6E32">
      <w:pPr>
        <w:ind w:firstLine="720"/>
        <w:rPr>
          <w:rFonts w:cs="Times New Roman"/>
          <w:lang w:val="en-GB"/>
        </w:rPr>
      </w:pPr>
      <w:r w:rsidRPr="00771E6E">
        <w:rPr>
          <w:rFonts w:cs="Times New Roman"/>
          <w:color w:val="000000" w:themeColor="text1"/>
          <w:lang w:val="en-GB"/>
        </w:rPr>
        <w:t xml:space="preserve">In this thesis I </w:t>
      </w:r>
      <w:r w:rsidR="009F7109" w:rsidRPr="00771E6E">
        <w:rPr>
          <w:rFonts w:cs="Times New Roman"/>
          <w:color w:val="000000" w:themeColor="text1"/>
          <w:lang w:val="en-GB"/>
        </w:rPr>
        <w:t xml:space="preserve">will </w:t>
      </w:r>
      <w:r w:rsidRPr="00771E6E">
        <w:rPr>
          <w:rFonts w:cs="Times New Roman"/>
          <w:color w:val="000000" w:themeColor="text1"/>
          <w:lang w:val="en-GB"/>
        </w:rPr>
        <w:t xml:space="preserve">argue that </w:t>
      </w:r>
      <w:r w:rsidR="00F61A6E" w:rsidRPr="00771E6E">
        <w:rPr>
          <w:rFonts w:cs="Times New Roman"/>
          <w:color w:val="000000" w:themeColor="text1"/>
          <w:lang w:val="en-GB"/>
        </w:rPr>
        <w:t xml:space="preserve">the </w:t>
      </w:r>
      <w:r w:rsidRPr="00771E6E">
        <w:rPr>
          <w:rFonts w:cs="Times New Roman"/>
          <w:color w:val="000000" w:themeColor="text1"/>
          <w:lang w:val="en-GB"/>
        </w:rPr>
        <w:t>figures of musical angels</w:t>
      </w:r>
      <w:r w:rsidR="006A5FE7" w:rsidRPr="00771E6E">
        <w:rPr>
          <w:rFonts w:cs="Times New Roman"/>
          <w:color w:val="000000" w:themeColor="text1"/>
          <w:lang w:val="en-GB"/>
        </w:rPr>
        <w:t xml:space="preserve"> within a Christian context</w:t>
      </w:r>
      <w:r w:rsidR="00F61A6E" w:rsidRPr="00771E6E">
        <w:rPr>
          <w:rFonts w:cs="Times New Roman"/>
          <w:color w:val="000000" w:themeColor="text1"/>
          <w:lang w:val="en-GB"/>
        </w:rPr>
        <w:t>,</w:t>
      </w:r>
      <w:r w:rsidR="006A5FE7" w:rsidRPr="00771E6E">
        <w:rPr>
          <w:rFonts w:cs="Times New Roman"/>
          <w:color w:val="000000" w:themeColor="text1"/>
          <w:lang w:val="en-GB"/>
        </w:rPr>
        <w:t xml:space="preserve"> </w:t>
      </w:r>
      <w:r w:rsidR="004F588F" w:rsidRPr="00771E6E">
        <w:rPr>
          <w:rFonts w:cs="Times New Roman"/>
          <w:color w:val="000000" w:themeColor="text1"/>
          <w:lang w:val="en-GB"/>
        </w:rPr>
        <w:t>with</w:t>
      </w:r>
      <w:r w:rsidR="00F61A6E" w:rsidRPr="00771E6E">
        <w:rPr>
          <w:rFonts w:cs="Times New Roman"/>
          <w:color w:val="000000" w:themeColor="text1"/>
          <w:lang w:val="en-GB"/>
        </w:rPr>
        <w:t xml:space="preserve"> their</w:t>
      </w:r>
      <w:r w:rsidR="004F588F" w:rsidRPr="00771E6E">
        <w:rPr>
          <w:rFonts w:cs="Times New Roman"/>
          <w:color w:val="000000" w:themeColor="text1"/>
          <w:lang w:val="en-GB"/>
        </w:rPr>
        <w:t xml:space="preserve"> childlike features</w:t>
      </w:r>
      <w:r w:rsidR="005924AE" w:rsidRPr="00771E6E">
        <w:rPr>
          <w:rFonts w:cs="Times New Roman"/>
          <w:color w:val="000000" w:themeColor="text1"/>
          <w:lang w:val="en-GB"/>
        </w:rPr>
        <w:t xml:space="preserve"> and their gestures familiar from the world of music education</w:t>
      </w:r>
      <w:r w:rsidR="00A565AB" w:rsidRPr="00771E6E">
        <w:rPr>
          <w:rFonts w:cs="Times New Roman"/>
          <w:color w:val="000000" w:themeColor="text1"/>
          <w:lang w:val="en-GB"/>
        </w:rPr>
        <w:t xml:space="preserve">, </w:t>
      </w:r>
      <w:r w:rsidR="005924AE" w:rsidRPr="00771E6E">
        <w:rPr>
          <w:rFonts w:cs="Times New Roman"/>
          <w:color w:val="000000" w:themeColor="text1"/>
          <w:lang w:val="en-GB"/>
        </w:rPr>
        <w:t xml:space="preserve">fulfilled </w:t>
      </w:r>
      <w:proofErr w:type="spellStart"/>
      <w:r w:rsidR="005924AE" w:rsidRPr="00771E6E">
        <w:rPr>
          <w:rFonts w:cs="Times New Roman"/>
          <w:color w:val="000000" w:themeColor="text1"/>
          <w:lang w:val="en-GB"/>
        </w:rPr>
        <w:t>Dominici’s</w:t>
      </w:r>
      <w:proofErr w:type="spellEnd"/>
      <w:r w:rsidR="005924AE" w:rsidRPr="00771E6E">
        <w:rPr>
          <w:rFonts w:cs="Times New Roman"/>
          <w:color w:val="000000" w:themeColor="text1"/>
          <w:lang w:val="en-GB"/>
        </w:rPr>
        <w:t xml:space="preserve"> advice in providing a model to imitate for young members of the household, contributing to the broader project to instil morality in children by providing them </w:t>
      </w:r>
      <w:r w:rsidR="001D4B12" w:rsidRPr="00771E6E">
        <w:rPr>
          <w:rFonts w:cs="Times New Roman"/>
          <w:color w:val="000000" w:themeColor="text1"/>
          <w:lang w:val="en-GB"/>
        </w:rPr>
        <w:t xml:space="preserve">with </w:t>
      </w:r>
      <w:r w:rsidR="005924AE" w:rsidRPr="00771E6E">
        <w:rPr>
          <w:rFonts w:cs="Times New Roman"/>
          <w:color w:val="000000" w:themeColor="text1"/>
          <w:lang w:val="en-GB"/>
        </w:rPr>
        <w:t xml:space="preserve">a </w:t>
      </w:r>
      <w:r w:rsidR="00193840" w:rsidRPr="00771E6E">
        <w:rPr>
          <w:rFonts w:cs="Times New Roman"/>
          <w:color w:val="000000" w:themeColor="text1"/>
          <w:lang w:val="en-GB"/>
        </w:rPr>
        <w:t>readily relatable exemplar</w:t>
      </w:r>
      <w:r w:rsidR="005924AE" w:rsidRPr="00771E6E">
        <w:rPr>
          <w:rFonts w:cs="Times New Roman"/>
          <w:color w:val="000000" w:themeColor="text1"/>
          <w:lang w:val="en-GB"/>
        </w:rPr>
        <w:t>. I believe that this was, at least in some specific cases</w:t>
      </w:r>
      <w:r w:rsidR="00B84432" w:rsidRPr="00771E6E">
        <w:rPr>
          <w:rFonts w:cs="Times New Roman"/>
          <w:color w:val="000000" w:themeColor="text1"/>
          <w:lang w:val="en-GB"/>
        </w:rPr>
        <w:t>,</w:t>
      </w:r>
      <w:r w:rsidR="005924AE" w:rsidRPr="00771E6E">
        <w:rPr>
          <w:rFonts w:cs="Times New Roman"/>
          <w:color w:val="000000" w:themeColor="text1"/>
          <w:lang w:val="en-GB"/>
        </w:rPr>
        <w:t xml:space="preserve"> and likely more generally, the </w:t>
      </w:r>
      <w:r w:rsidR="005924AE" w:rsidRPr="00771E6E">
        <w:rPr>
          <w:rFonts w:cs="Times New Roman"/>
          <w:i/>
          <w:iCs/>
          <w:color w:val="000000" w:themeColor="text1"/>
          <w:lang w:val="en-GB"/>
        </w:rPr>
        <w:t>intention</w:t>
      </w:r>
      <w:r w:rsidR="005924AE" w:rsidRPr="00771E6E">
        <w:rPr>
          <w:rFonts w:cs="Times New Roman"/>
          <w:color w:val="000000" w:themeColor="text1"/>
          <w:lang w:val="en-GB"/>
        </w:rPr>
        <w:t xml:space="preserve"> of artists and commissioners when </w:t>
      </w:r>
      <w:r w:rsidR="00B84432" w:rsidRPr="00771E6E">
        <w:rPr>
          <w:rFonts w:cs="Times New Roman"/>
          <w:color w:val="000000" w:themeColor="text1"/>
          <w:lang w:val="en-GB"/>
        </w:rPr>
        <w:t xml:space="preserve">devising </w:t>
      </w:r>
      <w:r w:rsidR="005924AE" w:rsidRPr="00771E6E">
        <w:rPr>
          <w:rFonts w:cs="Times New Roman"/>
          <w:color w:val="000000" w:themeColor="text1"/>
          <w:lang w:val="en-GB"/>
        </w:rPr>
        <w:t>domestic images featuring musical angels</w:t>
      </w:r>
      <w:r w:rsidR="00B002E3" w:rsidRPr="00771E6E">
        <w:rPr>
          <w:rFonts w:cs="Times New Roman"/>
          <w:lang w:val="en-GB"/>
        </w:rPr>
        <w:t>.</w:t>
      </w:r>
      <w:r w:rsidR="00193840" w:rsidRPr="00771E6E">
        <w:rPr>
          <w:rFonts w:cs="Times New Roman"/>
          <w:lang w:val="en-GB"/>
        </w:rPr>
        <w:t xml:space="preserve"> Additionally, and equally importantly, in this thesis I argue that this was the likely </w:t>
      </w:r>
      <w:r w:rsidR="00193840" w:rsidRPr="00771E6E">
        <w:rPr>
          <w:rFonts w:cs="Times New Roman"/>
          <w:i/>
          <w:lang w:val="en-GB"/>
        </w:rPr>
        <w:t>effect</w:t>
      </w:r>
      <w:r w:rsidR="00193840" w:rsidRPr="00771E6E">
        <w:rPr>
          <w:rFonts w:cs="Times New Roman"/>
          <w:lang w:val="en-GB"/>
        </w:rPr>
        <w:t xml:space="preserve"> of such images, even when the artist’s intention is impossible to gauge.</w:t>
      </w:r>
    </w:p>
    <w:p w14:paraId="42568C94" w14:textId="77777777" w:rsidR="00CB0C87" w:rsidRPr="00771E6E" w:rsidRDefault="00B84432">
      <w:pPr>
        <w:ind w:firstLine="720"/>
        <w:rPr>
          <w:rFonts w:cs="Times New Roman"/>
          <w:lang w:val="en-GB"/>
        </w:rPr>
      </w:pPr>
      <w:r w:rsidRPr="00771E6E">
        <w:rPr>
          <w:rFonts w:cs="Times New Roman"/>
          <w:lang w:val="en-GB"/>
        </w:rPr>
        <w:t>Considering this remit, this thesis inevitably crosses several different scholarly fields and topic</w:t>
      </w:r>
      <w:r w:rsidR="0041676D" w:rsidRPr="00771E6E">
        <w:rPr>
          <w:rFonts w:cs="Times New Roman"/>
          <w:lang w:val="en-GB"/>
        </w:rPr>
        <w:t>s</w:t>
      </w:r>
      <w:r w:rsidRPr="00771E6E">
        <w:rPr>
          <w:rFonts w:cs="Times New Roman"/>
          <w:lang w:val="en-GB"/>
        </w:rPr>
        <w:t>, each with their own literature</w:t>
      </w:r>
      <w:r w:rsidR="0041676D" w:rsidRPr="00771E6E">
        <w:rPr>
          <w:rFonts w:cs="Times New Roman"/>
          <w:lang w:val="en-GB"/>
        </w:rPr>
        <w:t xml:space="preserve"> and approaches</w:t>
      </w:r>
      <w:r w:rsidRPr="00771E6E">
        <w:rPr>
          <w:rFonts w:cs="Times New Roman"/>
          <w:lang w:val="en-GB"/>
        </w:rPr>
        <w:t xml:space="preserve">. </w:t>
      </w:r>
      <w:r w:rsidR="006145F5" w:rsidRPr="00771E6E">
        <w:rPr>
          <w:rFonts w:cs="Times New Roman"/>
          <w:lang w:val="en-GB"/>
        </w:rPr>
        <w:t xml:space="preserve">The focus on children and </w:t>
      </w:r>
      <w:r w:rsidR="006145F5" w:rsidRPr="00771E6E">
        <w:rPr>
          <w:rFonts w:cs="Times New Roman"/>
          <w:lang w:val="en-GB"/>
        </w:rPr>
        <w:lastRenderedPageBreak/>
        <w:t>efforts to shape their character requires engagement with research into Renaissance education, and the intersection between dis</w:t>
      </w:r>
      <w:r w:rsidR="001D4B12" w:rsidRPr="00771E6E">
        <w:rPr>
          <w:rFonts w:cs="Times New Roman"/>
          <w:lang w:val="en-GB"/>
        </w:rPr>
        <w:t>c</w:t>
      </w:r>
      <w:r w:rsidR="006145F5" w:rsidRPr="00771E6E">
        <w:rPr>
          <w:rFonts w:cs="Times New Roman"/>
          <w:lang w:val="en-GB"/>
        </w:rPr>
        <w:t>our</w:t>
      </w:r>
      <w:r w:rsidR="001D4B12" w:rsidRPr="00771E6E">
        <w:rPr>
          <w:rFonts w:cs="Times New Roman"/>
          <w:lang w:val="en-GB"/>
        </w:rPr>
        <w:t>s</w:t>
      </w:r>
      <w:r w:rsidR="006145F5" w:rsidRPr="00771E6E">
        <w:rPr>
          <w:rFonts w:cs="Times New Roman"/>
          <w:lang w:val="en-GB"/>
        </w:rPr>
        <w:t xml:space="preserve">es on education and ethics, something that has been a particular concern for writers focussed on the phenomenon of “humanism.” </w:t>
      </w:r>
      <w:r w:rsidR="00193840" w:rsidRPr="00771E6E">
        <w:rPr>
          <w:rFonts w:cs="Times New Roman"/>
          <w:lang w:val="en-GB"/>
        </w:rPr>
        <w:t>At the same time</w:t>
      </w:r>
      <w:r w:rsidR="006145F5" w:rsidRPr="00771E6E">
        <w:rPr>
          <w:rFonts w:cs="Times New Roman"/>
          <w:lang w:val="en-GB"/>
        </w:rPr>
        <w:t xml:space="preserve">, the adoption of angels in particular as exemplars draws the thesis also into the realm of domestic devotional practices, a field </w:t>
      </w:r>
      <w:r w:rsidR="003E1398" w:rsidRPr="00771E6E">
        <w:rPr>
          <w:rFonts w:cs="Times New Roman"/>
          <w:lang w:val="en-GB"/>
        </w:rPr>
        <w:t>that has enjoyed</w:t>
      </w:r>
      <w:r w:rsidR="006145F5" w:rsidRPr="00771E6E">
        <w:rPr>
          <w:rFonts w:cs="Times New Roman"/>
          <w:lang w:val="en-GB"/>
        </w:rPr>
        <w:t xml:space="preserve"> particular</w:t>
      </w:r>
      <w:r w:rsidR="003E1398" w:rsidRPr="00771E6E">
        <w:rPr>
          <w:rFonts w:cs="Times New Roman"/>
          <w:lang w:val="en-GB"/>
        </w:rPr>
        <w:t xml:space="preserve"> interest </w:t>
      </w:r>
      <w:r w:rsidRPr="00771E6E">
        <w:rPr>
          <w:rFonts w:cs="Times New Roman"/>
          <w:lang w:val="en-GB"/>
        </w:rPr>
        <w:t>over</w:t>
      </w:r>
      <w:r w:rsidR="006145F5" w:rsidRPr="00771E6E">
        <w:rPr>
          <w:rFonts w:cs="Times New Roman"/>
          <w:lang w:val="en-GB"/>
        </w:rPr>
        <w:t xml:space="preserve"> the past decade</w:t>
      </w:r>
      <w:r w:rsidRPr="00771E6E">
        <w:rPr>
          <w:rFonts w:cs="Times New Roman"/>
          <w:lang w:val="en-GB"/>
        </w:rPr>
        <w:t>,</w:t>
      </w:r>
      <w:r w:rsidR="006145F5" w:rsidRPr="00771E6E">
        <w:rPr>
          <w:rFonts w:cs="Times New Roman"/>
          <w:lang w:val="en-GB"/>
        </w:rPr>
        <w:t xml:space="preserve"> with several major projects and publications. </w:t>
      </w:r>
      <w:r w:rsidR="00A823F8" w:rsidRPr="00771E6E">
        <w:rPr>
          <w:rFonts w:cs="Times New Roman"/>
          <w:lang w:val="en-GB"/>
        </w:rPr>
        <w:t>Of course, angels are also a topic in themselves, straddling philosophical and theological domains,</w:t>
      </w:r>
      <w:r w:rsidR="00D77462" w:rsidRPr="00771E6E">
        <w:rPr>
          <w:rFonts w:cs="Times New Roman"/>
          <w:lang w:val="en-GB"/>
        </w:rPr>
        <w:t xml:space="preserve"> </w:t>
      </w:r>
      <w:r w:rsidR="001D4B12" w:rsidRPr="00771E6E">
        <w:rPr>
          <w:rFonts w:cs="Times New Roman"/>
          <w:lang w:val="en-GB"/>
        </w:rPr>
        <w:t>along with</w:t>
      </w:r>
      <w:r w:rsidR="00A823F8" w:rsidRPr="00771E6E">
        <w:rPr>
          <w:rFonts w:cs="Times New Roman"/>
          <w:lang w:val="en-GB"/>
        </w:rPr>
        <w:t xml:space="preserve"> studies of their distinctive iconography. </w:t>
      </w:r>
      <w:r w:rsidR="00C531EE" w:rsidRPr="00771E6E">
        <w:rPr>
          <w:rFonts w:cs="Times New Roman"/>
          <w:lang w:val="en-GB"/>
        </w:rPr>
        <w:t>H</w:t>
      </w:r>
      <w:r w:rsidR="00980326" w:rsidRPr="00771E6E">
        <w:rPr>
          <w:rFonts w:cs="Times New Roman"/>
          <w:lang w:val="en-GB"/>
        </w:rPr>
        <w:t>owever</w:t>
      </w:r>
      <w:r w:rsidR="00C531EE" w:rsidRPr="00771E6E">
        <w:rPr>
          <w:rFonts w:cs="Times New Roman"/>
          <w:lang w:val="en-GB"/>
        </w:rPr>
        <w:t>,</w:t>
      </w:r>
      <w:r w:rsidR="00A823F8" w:rsidRPr="00771E6E">
        <w:rPr>
          <w:rFonts w:cs="Times New Roman"/>
          <w:lang w:val="en-GB"/>
        </w:rPr>
        <w:t xml:space="preserve"> it is not only</w:t>
      </w:r>
      <w:r w:rsidR="00C531EE" w:rsidRPr="00771E6E">
        <w:rPr>
          <w:rFonts w:cs="Times New Roman"/>
          <w:lang w:val="en-GB"/>
        </w:rPr>
        <w:t xml:space="preserve"> the</w:t>
      </w:r>
      <w:r w:rsidR="00A823F8" w:rsidRPr="00771E6E">
        <w:rPr>
          <w:rFonts w:cs="Times New Roman"/>
          <w:lang w:val="en-GB"/>
        </w:rPr>
        <w:t xml:space="preserve"> images </w:t>
      </w:r>
      <w:r w:rsidR="00C531EE" w:rsidRPr="00771E6E">
        <w:rPr>
          <w:rFonts w:cs="Times New Roman"/>
          <w:lang w:val="en-GB"/>
        </w:rPr>
        <w:t>themselves t</w:t>
      </w:r>
      <w:r w:rsidR="00A823F8" w:rsidRPr="00771E6E">
        <w:rPr>
          <w:rFonts w:cs="Times New Roman"/>
          <w:lang w:val="en-GB"/>
        </w:rPr>
        <w:t>hat are important to this thesis, but also their</w:t>
      </w:r>
      <w:r w:rsidRPr="00771E6E">
        <w:rPr>
          <w:rFonts w:cs="Times New Roman"/>
          <w:lang w:val="en-GB"/>
        </w:rPr>
        <w:t xml:space="preserve"> context</w:t>
      </w:r>
      <w:r w:rsidR="00A823F8" w:rsidRPr="00771E6E">
        <w:rPr>
          <w:rFonts w:cs="Times New Roman"/>
          <w:lang w:val="en-GB"/>
        </w:rPr>
        <w:t xml:space="preserve"> within </w:t>
      </w:r>
      <w:r w:rsidRPr="00771E6E">
        <w:rPr>
          <w:rFonts w:cs="Times New Roman"/>
          <w:lang w:val="en-GB"/>
        </w:rPr>
        <w:t>the</w:t>
      </w:r>
      <w:r w:rsidR="00A823F8" w:rsidRPr="00771E6E">
        <w:rPr>
          <w:rFonts w:cs="Times New Roman"/>
          <w:lang w:val="en-GB"/>
        </w:rPr>
        <w:t xml:space="preserve"> domestic environment, and so literature on Flore</w:t>
      </w:r>
      <w:r w:rsidR="00C531EE" w:rsidRPr="00771E6E">
        <w:rPr>
          <w:rFonts w:cs="Times New Roman"/>
          <w:lang w:val="en-GB"/>
        </w:rPr>
        <w:t>n</w:t>
      </w:r>
      <w:r w:rsidR="00A823F8" w:rsidRPr="00771E6E">
        <w:rPr>
          <w:rFonts w:cs="Times New Roman"/>
          <w:lang w:val="en-GB"/>
        </w:rPr>
        <w:t xml:space="preserve">tine domestic interiors is also fundamental to the project. The study of interior decoration and furnishing, meanwhile, is not only a study of material practices and account books, but considers the role </w:t>
      </w:r>
      <w:r w:rsidR="00567FE9" w:rsidRPr="00771E6E">
        <w:rPr>
          <w:rFonts w:cs="Times New Roman"/>
          <w:lang w:val="en-GB"/>
        </w:rPr>
        <w:t xml:space="preserve">played </w:t>
      </w:r>
      <w:r w:rsidR="00A823F8" w:rsidRPr="00771E6E">
        <w:rPr>
          <w:rFonts w:cs="Times New Roman"/>
          <w:lang w:val="en-GB"/>
        </w:rPr>
        <w:t xml:space="preserve">by images in the ethical lives of viewers, a topic that has been highlighted in much recent art history focussed on the Italian Renaissance, a trend exemplified in Syson and Thornton’s </w:t>
      </w:r>
      <w:r w:rsidR="00A823F8" w:rsidRPr="00771E6E">
        <w:rPr>
          <w:rFonts w:cs="Times New Roman"/>
          <w:i/>
          <w:iCs/>
          <w:lang w:val="en-GB"/>
        </w:rPr>
        <w:t>Objects of Virtue</w:t>
      </w:r>
      <w:r w:rsidR="00114904" w:rsidRPr="00771E6E">
        <w:rPr>
          <w:rFonts w:cs="Times New Roman"/>
          <w:i/>
          <w:iCs/>
          <w:lang w:val="en-GB"/>
        </w:rPr>
        <w:t xml:space="preserve"> </w:t>
      </w:r>
      <w:r w:rsidR="00114904" w:rsidRPr="00771E6E">
        <w:rPr>
          <w:rFonts w:cs="Times New Roman"/>
          <w:lang w:val="en-GB"/>
        </w:rPr>
        <w:t>(2001)</w:t>
      </w:r>
      <w:r w:rsidR="00A823F8" w:rsidRPr="00771E6E">
        <w:rPr>
          <w:rFonts w:cs="Times New Roman"/>
          <w:lang w:val="en-GB"/>
        </w:rPr>
        <w:t>.</w:t>
      </w:r>
      <w:r w:rsidR="00567FE9" w:rsidRPr="00771E6E">
        <w:rPr>
          <w:rFonts w:cs="Times New Roman"/>
          <w:lang w:val="en-GB"/>
        </w:rPr>
        <w:t xml:space="preserve"> Finally, it is very significant to this study that not only images, but also music was commonly associated with moral training, and moreover was ubiquitous in the very same domestic environments; thus</w:t>
      </w:r>
      <w:r w:rsidR="00D77462" w:rsidRPr="00771E6E">
        <w:rPr>
          <w:rFonts w:cs="Times New Roman"/>
          <w:lang w:val="en-GB"/>
        </w:rPr>
        <w:t>,</w:t>
      </w:r>
      <w:r w:rsidR="00567FE9" w:rsidRPr="00771E6E">
        <w:rPr>
          <w:rFonts w:cs="Times New Roman"/>
          <w:lang w:val="en-GB"/>
        </w:rPr>
        <w:t xml:space="preserve"> this study deploys research into domestic music-making and the ideologies that supported it.</w:t>
      </w:r>
    </w:p>
    <w:p w14:paraId="0D5BE781" w14:textId="77777777" w:rsidR="00B86810" w:rsidRPr="00771E6E" w:rsidRDefault="00B261E9">
      <w:pPr>
        <w:ind w:firstLine="720"/>
        <w:rPr>
          <w:sz w:val="18"/>
          <w:szCs w:val="18"/>
          <w:lang w:val="en-GB"/>
        </w:rPr>
      </w:pPr>
      <w:r w:rsidRPr="00771E6E">
        <w:rPr>
          <w:rFonts w:cs="Times New Roman"/>
          <w:lang w:val="en-GB"/>
        </w:rPr>
        <w:t xml:space="preserve">Various studies have </w:t>
      </w:r>
      <w:r w:rsidR="00465388" w:rsidRPr="00771E6E">
        <w:rPr>
          <w:rFonts w:cs="Times New Roman"/>
          <w:lang w:val="en-GB"/>
        </w:rPr>
        <w:t>examined the principles and methods of</w:t>
      </w:r>
      <w:r w:rsidRPr="00771E6E">
        <w:rPr>
          <w:rFonts w:cs="Times New Roman"/>
          <w:lang w:val="en-GB"/>
        </w:rPr>
        <w:t xml:space="preserve"> formal education during the Renaissance</w:t>
      </w:r>
      <w:r w:rsidR="00465388" w:rsidRPr="00771E6E">
        <w:rPr>
          <w:rFonts w:cs="Times New Roman"/>
          <w:lang w:val="en-GB"/>
        </w:rPr>
        <w:t xml:space="preserve">. William Harrison Woodward’s classic </w:t>
      </w:r>
      <w:r w:rsidR="00465388" w:rsidRPr="00771E6E">
        <w:rPr>
          <w:rFonts w:cs="Times New Roman"/>
          <w:i/>
          <w:iCs/>
          <w:lang w:val="en-GB"/>
        </w:rPr>
        <w:t>Studies in Education during the Age of the Renaissance 1400-1600</w:t>
      </w:r>
      <w:r w:rsidR="00BB3190" w:rsidRPr="00771E6E">
        <w:rPr>
          <w:rFonts w:cs="Times New Roman"/>
          <w:lang w:val="en-GB"/>
        </w:rPr>
        <w:t xml:space="preserve"> (1906)</w:t>
      </w:r>
      <w:r w:rsidR="00465388" w:rsidRPr="00771E6E">
        <w:rPr>
          <w:rFonts w:cs="Times New Roman"/>
          <w:lang w:val="en-GB"/>
        </w:rPr>
        <w:t>, although now</w:t>
      </w:r>
      <w:r w:rsidR="00193840" w:rsidRPr="00771E6E">
        <w:rPr>
          <w:rFonts w:cs="Times New Roman"/>
          <w:lang w:val="en-GB"/>
        </w:rPr>
        <w:t xml:space="preserve"> more than</w:t>
      </w:r>
      <w:r w:rsidR="00465388" w:rsidRPr="00771E6E">
        <w:rPr>
          <w:rFonts w:cs="Times New Roman"/>
          <w:lang w:val="en-GB"/>
        </w:rPr>
        <w:t xml:space="preserve"> a century old, remains</w:t>
      </w:r>
      <w:r w:rsidR="00860251" w:rsidRPr="00771E6E">
        <w:rPr>
          <w:rFonts w:cs="Times New Roman"/>
          <w:lang w:val="en-GB"/>
        </w:rPr>
        <w:t xml:space="preserve"> fundamental for any investigation </w:t>
      </w:r>
      <w:r w:rsidR="00465388" w:rsidRPr="00771E6E">
        <w:rPr>
          <w:rFonts w:cs="Times New Roman"/>
          <w:lang w:val="en-GB"/>
        </w:rPr>
        <w:t>in this field.</w:t>
      </w:r>
      <w:r w:rsidR="004C54CA" w:rsidRPr="00771E6E">
        <w:rPr>
          <w:rFonts w:cs="Times New Roman"/>
          <w:lang w:val="en-GB"/>
        </w:rPr>
        <w:t xml:space="preserve"> Woodward made several fifteenth-century treatises on education available in English translation in his </w:t>
      </w:r>
      <w:proofErr w:type="spellStart"/>
      <w:r w:rsidR="004C54CA" w:rsidRPr="00771E6E">
        <w:rPr>
          <w:rFonts w:cs="Times New Roman"/>
          <w:i/>
          <w:iCs/>
          <w:lang w:val="en-GB"/>
        </w:rPr>
        <w:t>Vittorino</w:t>
      </w:r>
      <w:proofErr w:type="spellEnd"/>
      <w:r w:rsidR="004C54CA" w:rsidRPr="00771E6E">
        <w:rPr>
          <w:rFonts w:cs="Times New Roman"/>
          <w:i/>
          <w:iCs/>
          <w:lang w:val="en-GB"/>
        </w:rPr>
        <w:t xml:space="preserve"> da Feltre and Other Humanist Educators</w:t>
      </w:r>
      <w:r w:rsidR="004C54CA" w:rsidRPr="00771E6E">
        <w:rPr>
          <w:rFonts w:cs="Times New Roman"/>
          <w:lang w:val="en-GB"/>
        </w:rPr>
        <w:t xml:space="preserve"> (1897), work that has since been updated by Craig W. </w:t>
      </w:r>
      <w:proofErr w:type="spellStart"/>
      <w:r w:rsidR="004C54CA" w:rsidRPr="00771E6E">
        <w:rPr>
          <w:rFonts w:cs="Times New Roman"/>
          <w:lang w:val="en-GB"/>
        </w:rPr>
        <w:t>Kallendorf</w:t>
      </w:r>
      <w:proofErr w:type="spellEnd"/>
      <w:r w:rsidR="004C54CA" w:rsidRPr="00771E6E">
        <w:rPr>
          <w:rFonts w:cs="Times New Roman"/>
          <w:lang w:val="en-GB"/>
        </w:rPr>
        <w:t xml:space="preserve"> in an important volume of the I </w:t>
      </w:r>
      <w:proofErr w:type="spellStart"/>
      <w:r w:rsidR="004C54CA" w:rsidRPr="00771E6E">
        <w:rPr>
          <w:rFonts w:cs="Times New Roman"/>
          <w:lang w:val="en-GB"/>
        </w:rPr>
        <w:t>Tatti</w:t>
      </w:r>
      <w:proofErr w:type="spellEnd"/>
      <w:r w:rsidR="004C54CA" w:rsidRPr="00771E6E">
        <w:rPr>
          <w:rFonts w:cs="Times New Roman"/>
          <w:lang w:val="en-GB"/>
        </w:rPr>
        <w:t xml:space="preserve"> Renaissance Library entitled </w:t>
      </w:r>
      <w:r w:rsidR="004C54CA" w:rsidRPr="00771E6E">
        <w:rPr>
          <w:rFonts w:cs="Times New Roman"/>
          <w:i/>
          <w:iCs/>
          <w:lang w:val="en-GB"/>
        </w:rPr>
        <w:t>Humanist Educational Treatises</w:t>
      </w:r>
      <w:r w:rsidR="004C54CA" w:rsidRPr="00771E6E">
        <w:rPr>
          <w:rFonts w:cs="Times New Roman"/>
          <w:lang w:val="en-GB"/>
        </w:rPr>
        <w:t xml:space="preserve"> (2002). Eugenio </w:t>
      </w:r>
      <w:proofErr w:type="spellStart"/>
      <w:r w:rsidR="004C54CA" w:rsidRPr="00771E6E">
        <w:rPr>
          <w:rFonts w:cs="Times New Roman"/>
          <w:lang w:val="en-GB"/>
        </w:rPr>
        <w:t>Garin’s</w:t>
      </w:r>
      <w:proofErr w:type="spellEnd"/>
      <w:r w:rsidR="004C54CA" w:rsidRPr="00771E6E">
        <w:rPr>
          <w:rFonts w:cs="Times New Roman"/>
          <w:lang w:val="en-GB"/>
        </w:rPr>
        <w:t xml:space="preserve"> mid-twentieth century studies are also</w:t>
      </w:r>
      <w:r w:rsidR="00860251" w:rsidRPr="00771E6E">
        <w:rPr>
          <w:rFonts w:cs="Times New Roman"/>
          <w:lang w:val="en-GB"/>
        </w:rPr>
        <w:t xml:space="preserve"> significant contributions to</w:t>
      </w:r>
      <w:r w:rsidR="004C54CA" w:rsidRPr="00771E6E">
        <w:rPr>
          <w:rFonts w:cs="Times New Roman"/>
          <w:lang w:val="en-GB"/>
        </w:rPr>
        <w:t xml:space="preserve"> the field, especially his </w:t>
      </w:r>
      <w:proofErr w:type="spellStart"/>
      <w:r w:rsidR="004C54CA" w:rsidRPr="00771E6E">
        <w:rPr>
          <w:rFonts w:cs="Times New Roman"/>
          <w:i/>
          <w:iCs/>
        </w:rPr>
        <w:t>L'educazione</w:t>
      </w:r>
      <w:proofErr w:type="spellEnd"/>
      <w:r w:rsidR="004C54CA" w:rsidRPr="00771E6E">
        <w:rPr>
          <w:rFonts w:cs="Times New Roman"/>
          <w:i/>
          <w:iCs/>
        </w:rPr>
        <w:t xml:space="preserve"> in Europa 1400-1600</w:t>
      </w:r>
      <w:r w:rsidR="004C54CA" w:rsidRPr="00771E6E">
        <w:rPr>
          <w:rFonts w:cs="Times New Roman"/>
        </w:rPr>
        <w:t xml:space="preserve"> (1957)</w:t>
      </w:r>
      <w:r w:rsidR="00B86810" w:rsidRPr="00771E6E">
        <w:rPr>
          <w:rFonts w:cs="Times New Roman"/>
        </w:rPr>
        <w:t xml:space="preserve"> and the portfolio of sources </w:t>
      </w:r>
      <w:r w:rsidR="00193840" w:rsidRPr="00771E6E">
        <w:rPr>
          <w:rFonts w:cs="Times New Roman"/>
        </w:rPr>
        <w:t xml:space="preserve">published as </w:t>
      </w:r>
      <w:r w:rsidR="00B86810" w:rsidRPr="00771E6E">
        <w:rPr>
          <w:rFonts w:cs="Times New Roman"/>
          <w:i/>
          <w:lang w:val="en-GB"/>
        </w:rPr>
        <w:t xml:space="preserve">Il </w:t>
      </w:r>
      <w:proofErr w:type="spellStart"/>
      <w:r w:rsidR="00B86810" w:rsidRPr="00771E6E">
        <w:rPr>
          <w:rFonts w:cs="Times New Roman"/>
          <w:i/>
          <w:lang w:val="en-GB"/>
        </w:rPr>
        <w:t>pensiero</w:t>
      </w:r>
      <w:proofErr w:type="spellEnd"/>
      <w:r w:rsidR="00B86810" w:rsidRPr="00771E6E">
        <w:rPr>
          <w:rFonts w:cs="Times New Roman"/>
          <w:i/>
          <w:lang w:val="en-GB"/>
        </w:rPr>
        <w:t xml:space="preserve"> </w:t>
      </w:r>
      <w:proofErr w:type="spellStart"/>
      <w:r w:rsidR="00B86810" w:rsidRPr="00771E6E">
        <w:rPr>
          <w:rFonts w:cs="Times New Roman"/>
          <w:i/>
          <w:lang w:val="en-GB"/>
        </w:rPr>
        <w:t>pedagogico</w:t>
      </w:r>
      <w:proofErr w:type="spellEnd"/>
      <w:r w:rsidR="00B86810" w:rsidRPr="00771E6E">
        <w:rPr>
          <w:rFonts w:cs="Times New Roman"/>
          <w:i/>
          <w:lang w:val="en-GB"/>
        </w:rPr>
        <w:t xml:space="preserve"> </w:t>
      </w:r>
      <w:proofErr w:type="spellStart"/>
      <w:r w:rsidR="00B86810" w:rsidRPr="00771E6E">
        <w:rPr>
          <w:rFonts w:cs="Times New Roman"/>
          <w:i/>
          <w:lang w:val="en-GB"/>
        </w:rPr>
        <w:t>dello</w:t>
      </w:r>
      <w:proofErr w:type="spellEnd"/>
      <w:r w:rsidR="00B86810" w:rsidRPr="00771E6E">
        <w:rPr>
          <w:rFonts w:cs="Times New Roman"/>
          <w:i/>
          <w:lang w:val="en-GB"/>
        </w:rPr>
        <w:t xml:space="preserve"> </w:t>
      </w:r>
      <w:proofErr w:type="spellStart"/>
      <w:r w:rsidR="00B86810" w:rsidRPr="00771E6E">
        <w:rPr>
          <w:rFonts w:cs="Times New Roman"/>
          <w:i/>
          <w:lang w:val="en-GB"/>
        </w:rPr>
        <w:t>Umanesimo</w:t>
      </w:r>
      <w:proofErr w:type="spellEnd"/>
      <w:r w:rsidR="00465388" w:rsidRPr="00771E6E">
        <w:rPr>
          <w:rFonts w:cs="Times New Roman"/>
          <w:lang w:val="en-GB"/>
        </w:rPr>
        <w:t xml:space="preserve"> </w:t>
      </w:r>
      <w:r w:rsidR="00B86810" w:rsidRPr="00771E6E">
        <w:rPr>
          <w:rFonts w:cs="Times New Roman"/>
          <w:lang w:val="en-GB"/>
        </w:rPr>
        <w:t>(1958).</w:t>
      </w:r>
      <w:r w:rsidR="00465388" w:rsidRPr="00771E6E">
        <w:rPr>
          <w:rFonts w:cs="Times New Roman"/>
          <w:lang w:val="en-GB"/>
        </w:rPr>
        <w:t xml:space="preserve"> </w:t>
      </w:r>
      <w:r w:rsidR="00B86810" w:rsidRPr="00771E6E">
        <w:rPr>
          <w:rFonts w:cs="Times New Roman"/>
          <w:lang w:val="en-GB"/>
        </w:rPr>
        <w:t>More recently</w:t>
      </w:r>
      <w:r w:rsidR="00860251" w:rsidRPr="00771E6E">
        <w:rPr>
          <w:rFonts w:cs="Times New Roman"/>
          <w:lang w:val="en-GB"/>
        </w:rPr>
        <w:t>, important</w:t>
      </w:r>
      <w:r w:rsidR="00B86810" w:rsidRPr="00771E6E">
        <w:rPr>
          <w:rFonts w:cs="Times New Roman"/>
          <w:lang w:val="en-GB"/>
        </w:rPr>
        <w:t xml:space="preserve"> </w:t>
      </w:r>
      <w:r w:rsidR="003E1398" w:rsidRPr="00771E6E">
        <w:rPr>
          <w:rFonts w:cs="Times New Roman"/>
          <w:lang w:val="en-GB"/>
        </w:rPr>
        <w:t>studies</w:t>
      </w:r>
      <w:r w:rsidR="00B86810" w:rsidRPr="00771E6E">
        <w:rPr>
          <w:rFonts w:cs="Times New Roman"/>
          <w:lang w:val="en-GB"/>
        </w:rPr>
        <w:t xml:space="preserve"> </w:t>
      </w:r>
      <w:r w:rsidR="002F7774" w:rsidRPr="00771E6E">
        <w:rPr>
          <w:rFonts w:cs="Times New Roman"/>
          <w:lang w:val="en-GB"/>
        </w:rPr>
        <w:t xml:space="preserve">in this area </w:t>
      </w:r>
      <w:r w:rsidR="00B86810" w:rsidRPr="00771E6E">
        <w:rPr>
          <w:rFonts w:cs="Times New Roman"/>
          <w:lang w:val="en-GB"/>
        </w:rPr>
        <w:t xml:space="preserve">have been </w:t>
      </w:r>
      <w:r w:rsidR="003E1398" w:rsidRPr="00771E6E">
        <w:rPr>
          <w:rFonts w:cs="Times New Roman"/>
          <w:lang w:val="en-GB"/>
        </w:rPr>
        <w:t>carried out</w:t>
      </w:r>
      <w:r w:rsidR="00B86810" w:rsidRPr="00771E6E">
        <w:rPr>
          <w:rFonts w:cs="Times New Roman"/>
          <w:lang w:val="en-GB"/>
        </w:rPr>
        <w:t xml:space="preserve"> by </w:t>
      </w:r>
      <w:r w:rsidRPr="00771E6E">
        <w:rPr>
          <w:rFonts w:cs="Times New Roman"/>
          <w:lang w:val="en-GB"/>
        </w:rPr>
        <w:t xml:space="preserve">Paul F. </w:t>
      </w:r>
      <w:proofErr w:type="spellStart"/>
      <w:r w:rsidRPr="00771E6E">
        <w:rPr>
          <w:rFonts w:cs="Times New Roman"/>
          <w:lang w:val="en-GB"/>
        </w:rPr>
        <w:t>Grendler</w:t>
      </w:r>
      <w:proofErr w:type="spellEnd"/>
      <w:r w:rsidR="00B86810" w:rsidRPr="00771E6E">
        <w:rPr>
          <w:rFonts w:cs="Times New Roman"/>
          <w:lang w:val="en-GB"/>
        </w:rPr>
        <w:t xml:space="preserve"> and Robert Black. </w:t>
      </w:r>
      <w:proofErr w:type="spellStart"/>
      <w:r w:rsidR="00B86810" w:rsidRPr="00771E6E">
        <w:rPr>
          <w:rFonts w:cs="Times New Roman"/>
          <w:lang w:val="en-GB"/>
        </w:rPr>
        <w:t>Grendler</w:t>
      </w:r>
      <w:r w:rsidRPr="00771E6E">
        <w:rPr>
          <w:rFonts w:cs="Times New Roman"/>
          <w:lang w:val="en-GB"/>
        </w:rPr>
        <w:t>’s</w:t>
      </w:r>
      <w:proofErr w:type="spellEnd"/>
      <w:r w:rsidRPr="00771E6E">
        <w:rPr>
          <w:rFonts w:cs="Times New Roman"/>
          <w:lang w:val="en-GB"/>
        </w:rPr>
        <w:t xml:space="preserve"> comprehensive analysis of the changes that took place in curricula between the Late Middle Ages and the Reformation, in particular in relation to the humanistic movement, in his </w:t>
      </w:r>
      <w:r w:rsidRPr="00771E6E">
        <w:rPr>
          <w:i/>
          <w:lang w:val="en-GB"/>
        </w:rPr>
        <w:t>Schooling in Renaissance Italy</w:t>
      </w:r>
      <w:r w:rsidR="00465388" w:rsidRPr="00771E6E">
        <w:rPr>
          <w:i/>
          <w:lang w:val="en-GB"/>
        </w:rPr>
        <w:t xml:space="preserve">: </w:t>
      </w:r>
      <w:r w:rsidRPr="00771E6E">
        <w:rPr>
          <w:i/>
          <w:lang w:val="en-GB"/>
        </w:rPr>
        <w:t>Literacy and Learning 1330-1600</w:t>
      </w:r>
      <w:r w:rsidRPr="00771E6E">
        <w:rPr>
          <w:lang w:val="en-GB"/>
        </w:rPr>
        <w:t xml:space="preserve"> (1989) and </w:t>
      </w:r>
      <w:r w:rsidRPr="00771E6E">
        <w:rPr>
          <w:i/>
          <w:lang w:val="en-GB"/>
        </w:rPr>
        <w:t>The Universities of the Italian Renaissance</w:t>
      </w:r>
      <w:r w:rsidRPr="00771E6E">
        <w:rPr>
          <w:lang w:val="en-GB"/>
        </w:rPr>
        <w:t xml:space="preserve"> (2002)</w:t>
      </w:r>
      <w:r w:rsidR="00465388" w:rsidRPr="00771E6E">
        <w:rPr>
          <w:lang w:val="en-GB"/>
        </w:rPr>
        <w:t>, has been particularly influential</w:t>
      </w:r>
      <w:r w:rsidRPr="00771E6E">
        <w:rPr>
          <w:lang w:val="en-GB"/>
        </w:rPr>
        <w:t xml:space="preserve">. </w:t>
      </w:r>
      <w:r w:rsidRPr="00771E6E">
        <w:rPr>
          <w:rFonts w:cs="Times New Roman"/>
          <w:lang w:val="en-GB"/>
        </w:rPr>
        <w:t xml:space="preserve">Black’s publications on schools and teachers in Late </w:t>
      </w:r>
      <w:r w:rsidRPr="00771E6E">
        <w:rPr>
          <w:rFonts w:cs="Times New Roman"/>
          <w:lang w:val="en-GB"/>
        </w:rPr>
        <w:lastRenderedPageBreak/>
        <w:t xml:space="preserve">Medieval and Renaissance Florence and Tuscany, such as </w:t>
      </w:r>
      <w:r w:rsidRPr="00771E6E">
        <w:rPr>
          <w:i/>
          <w:lang w:val="en-GB"/>
        </w:rPr>
        <w:t>Humanism and Education in Medieval and Renaissance Italy</w:t>
      </w:r>
      <w:r w:rsidR="00B86810" w:rsidRPr="00771E6E">
        <w:rPr>
          <w:i/>
          <w:lang w:val="en-GB"/>
        </w:rPr>
        <w:t xml:space="preserve"> </w:t>
      </w:r>
      <w:r w:rsidRPr="00771E6E">
        <w:rPr>
          <w:lang w:val="en-GB"/>
        </w:rPr>
        <w:t>(2003) and</w:t>
      </w:r>
      <w:r w:rsidRPr="00771E6E">
        <w:rPr>
          <w:i/>
          <w:sz w:val="18"/>
          <w:szCs w:val="18"/>
          <w:lang w:val="en-GB"/>
        </w:rPr>
        <w:t xml:space="preserve"> </w:t>
      </w:r>
      <w:r w:rsidRPr="00771E6E">
        <w:rPr>
          <w:i/>
          <w:lang w:val="en-GB"/>
        </w:rPr>
        <w:t>Education and Society in Florentine Tuscany</w:t>
      </w:r>
      <w:r w:rsidRPr="00771E6E">
        <w:rPr>
          <w:lang w:val="en-GB"/>
        </w:rPr>
        <w:t xml:space="preserve"> (2007),</w:t>
      </w:r>
      <w:r w:rsidRPr="00771E6E">
        <w:rPr>
          <w:sz w:val="18"/>
          <w:szCs w:val="18"/>
          <w:lang w:val="en-GB"/>
        </w:rPr>
        <w:t xml:space="preserve"> </w:t>
      </w:r>
      <w:r w:rsidRPr="00771E6E">
        <w:rPr>
          <w:rFonts w:cs="Times New Roman"/>
          <w:lang w:val="en-GB"/>
        </w:rPr>
        <w:t>have made available an extensive analysis of passages relating to education and study</w:t>
      </w:r>
      <w:r w:rsidR="00EF7B9B" w:rsidRPr="00771E6E">
        <w:rPr>
          <w:rFonts w:cs="Times New Roman"/>
          <w:lang w:val="en-GB"/>
        </w:rPr>
        <w:t xml:space="preserve"> f</w:t>
      </w:r>
      <w:r w:rsidRPr="00771E6E">
        <w:rPr>
          <w:rFonts w:cs="Times New Roman"/>
          <w:lang w:val="en-GB"/>
        </w:rPr>
        <w:t xml:space="preserve">rom the 1427 and 1458 </w:t>
      </w:r>
      <w:proofErr w:type="spellStart"/>
      <w:r w:rsidRPr="00771E6E">
        <w:rPr>
          <w:rFonts w:cs="Times New Roman"/>
          <w:i/>
          <w:lang w:val="en-GB"/>
        </w:rPr>
        <w:t>catast</w:t>
      </w:r>
      <w:r w:rsidR="00204D5B" w:rsidRPr="00771E6E">
        <w:rPr>
          <w:rFonts w:cs="Times New Roman"/>
          <w:i/>
          <w:lang w:val="en-GB"/>
        </w:rPr>
        <w:t>i</w:t>
      </w:r>
      <w:proofErr w:type="spellEnd"/>
      <w:r w:rsidRPr="00771E6E">
        <w:rPr>
          <w:rFonts w:cs="Times New Roman"/>
          <w:lang w:val="en-GB"/>
        </w:rPr>
        <w:t xml:space="preserve">, and from unpublished Florentine </w:t>
      </w:r>
      <w:proofErr w:type="spellStart"/>
      <w:r w:rsidRPr="00771E6E">
        <w:rPr>
          <w:rFonts w:cs="Times New Roman"/>
          <w:i/>
          <w:lang w:val="en-GB"/>
        </w:rPr>
        <w:t>ricordanze</w:t>
      </w:r>
      <w:proofErr w:type="spellEnd"/>
      <w:r w:rsidRPr="00771E6E">
        <w:rPr>
          <w:rFonts w:cs="Times New Roman"/>
          <w:lang w:val="en-GB"/>
        </w:rPr>
        <w:t xml:space="preserve"> </w:t>
      </w:r>
      <w:r w:rsidR="00B86810" w:rsidRPr="00771E6E">
        <w:rPr>
          <w:rFonts w:cs="Times New Roman"/>
          <w:lang w:val="en-GB"/>
        </w:rPr>
        <w:t xml:space="preserve">from the fifteenth century </w:t>
      </w:r>
      <w:r w:rsidRPr="00771E6E">
        <w:rPr>
          <w:rFonts w:cs="Times New Roman"/>
          <w:lang w:val="en-GB"/>
        </w:rPr>
        <w:t>up to 1507.</w:t>
      </w:r>
      <w:r w:rsidRPr="00771E6E">
        <w:rPr>
          <w:sz w:val="18"/>
          <w:szCs w:val="18"/>
          <w:lang w:val="en-GB"/>
        </w:rPr>
        <w:t xml:space="preserve"> </w:t>
      </w:r>
    </w:p>
    <w:p w14:paraId="19CCFC42" w14:textId="77777777" w:rsidR="00B261E9" w:rsidRPr="00771E6E" w:rsidRDefault="00B261E9">
      <w:pPr>
        <w:ind w:firstLine="720"/>
        <w:rPr>
          <w:rFonts w:cs="Times New Roman"/>
          <w:lang w:val="en-GB"/>
        </w:rPr>
      </w:pPr>
      <w:r w:rsidRPr="00771E6E">
        <w:rPr>
          <w:rFonts w:cs="Times New Roman"/>
          <w:lang w:val="en-GB"/>
        </w:rPr>
        <w:t xml:space="preserve">As the principal efforts of scholars in this field concentrate on </w:t>
      </w:r>
      <w:r w:rsidR="00B86810" w:rsidRPr="00771E6E">
        <w:rPr>
          <w:rFonts w:cs="Times New Roman"/>
          <w:lang w:val="en-GB"/>
        </w:rPr>
        <w:t xml:space="preserve">formal </w:t>
      </w:r>
      <w:r w:rsidRPr="00771E6E">
        <w:rPr>
          <w:rFonts w:cs="Times New Roman"/>
          <w:lang w:val="en-GB"/>
        </w:rPr>
        <w:t xml:space="preserve">schooling and university education, the realm of pre-school teaching and its link to the moral development of children has been studied almost exclusively in relation to the wider topic of the history of childhood. Since the </w:t>
      </w:r>
      <w:r w:rsidR="00B86810" w:rsidRPr="00771E6E">
        <w:rPr>
          <w:rFonts w:cs="Times New Roman"/>
          <w:lang w:val="en-GB"/>
        </w:rPr>
        <w:t>publication of</w:t>
      </w:r>
      <w:r w:rsidRPr="00771E6E">
        <w:rPr>
          <w:rFonts w:cs="Times New Roman"/>
          <w:lang w:val="en-GB"/>
        </w:rPr>
        <w:t xml:space="preserve"> Philippe </w:t>
      </w:r>
      <w:proofErr w:type="spellStart"/>
      <w:r w:rsidRPr="00771E6E">
        <w:rPr>
          <w:rFonts w:cs="Times New Roman"/>
          <w:lang w:val="en-GB"/>
        </w:rPr>
        <w:t>Ariès</w:t>
      </w:r>
      <w:proofErr w:type="spellEnd"/>
      <w:r w:rsidR="00B86810" w:rsidRPr="00771E6E">
        <w:rPr>
          <w:rFonts w:cs="Times New Roman"/>
          <w:lang w:val="en-GB"/>
        </w:rPr>
        <w:t>’ ground</w:t>
      </w:r>
      <w:r w:rsidR="00204D5B" w:rsidRPr="00771E6E">
        <w:rPr>
          <w:rFonts w:cs="Times New Roman"/>
          <w:lang w:val="en-GB"/>
        </w:rPr>
        <w:t>-</w:t>
      </w:r>
      <w:r w:rsidR="00B86810" w:rsidRPr="00771E6E">
        <w:rPr>
          <w:rFonts w:cs="Times New Roman"/>
          <w:lang w:val="en-GB"/>
        </w:rPr>
        <w:t xml:space="preserve">breaking </w:t>
      </w:r>
      <w:proofErr w:type="spellStart"/>
      <w:r w:rsidR="00B86810" w:rsidRPr="00771E6E">
        <w:rPr>
          <w:rFonts w:cs="Times New Roman"/>
          <w:i/>
          <w:iCs/>
          <w:lang w:val="en-GB"/>
        </w:rPr>
        <w:t>L'enfant</w:t>
      </w:r>
      <w:proofErr w:type="spellEnd"/>
      <w:r w:rsidR="00B86810" w:rsidRPr="00771E6E">
        <w:rPr>
          <w:rFonts w:cs="Times New Roman"/>
          <w:i/>
          <w:iCs/>
          <w:lang w:val="en-GB"/>
        </w:rPr>
        <w:t xml:space="preserve"> et la </w:t>
      </w:r>
      <w:proofErr w:type="spellStart"/>
      <w:r w:rsidR="00B86810" w:rsidRPr="00771E6E">
        <w:rPr>
          <w:rFonts w:cs="Times New Roman"/>
          <w:i/>
          <w:iCs/>
          <w:lang w:val="en-GB"/>
        </w:rPr>
        <w:t>famille</w:t>
      </w:r>
      <w:proofErr w:type="spellEnd"/>
      <w:r w:rsidR="00B86810" w:rsidRPr="00771E6E">
        <w:rPr>
          <w:rFonts w:cs="Times New Roman"/>
          <w:i/>
          <w:iCs/>
          <w:lang w:val="en-GB"/>
        </w:rPr>
        <w:t xml:space="preserve"> sous </w:t>
      </w:r>
      <w:proofErr w:type="spellStart"/>
      <w:r w:rsidR="00B86810" w:rsidRPr="00771E6E">
        <w:rPr>
          <w:rFonts w:cs="Times New Roman"/>
          <w:i/>
          <w:iCs/>
          <w:lang w:val="en-GB"/>
        </w:rPr>
        <w:t>l'ancien</w:t>
      </w:r>
      <w:proofErr w:type="spellEnd"/>
      <w:r w:rsidR="00B86810" w:rsidRPr="00771E6E">
        <w:rPr>
          <w:rFonts w:cs="Times New Roman"/>
          <w:i/>
          <w:iCs/>
          <w:lang w:val="en-GB"/>
        </w:rPr>
        <w:t xml:space="preserve"> </w:t>
      </w:r>
      <w:proofErr w:type="spellStart"/>
      <w:r w:rsidR="00B86810" w:rsidRPr="00771E6E">
        <w:rPr>
          <w:rFonts w:cs="Times New Roman"/>
          <w:i/>
          <w:iCs/>
          <w:lang w:val="en-GB"/>
        </w:rPr>
        <w:t>régime</w:t>
      </w:r>
      <w:proofErr w:type="spellEnd"/>
      <w:r w:rsidRPr="00771E6E">
        <w:rPr>
          <w:rFonts w:cs="Times New Roman"/>
          <w:lang w:val="en-GB"/>
        </w:rPr>
        <w:t xml:space="preserve"> in 1960, scholars have analysed attitudes toward children, and the relationship between</w:t>
      </w:r>
      <w:r w:rsidR="002F7774" w:rsidRPr="00771E6E">
        <w:rPr>
          <w:rFonts w:cs="Times New Roman"/>
          <w:lang w:val="en-GB"/>
        </w:rPr>
        <w:t xml:space="preserve"> them and</w:t>
      </w:r>
      <w:r w:rsidRPr="00771E6E">
        <w:rPr>
          <w:rFonts w:cs="Times New Roman"/>
          <w:lang w:val="en-GB"/>
        </w:rPr>
        <w:t xml:space="preserve"> </w:t>
      </w:r>
      <w:r w:rsidR="002F7774" w:rsidRPr="00771E6E">
        <w:rPr>
          <w:rFonts w:cs="Times New Roman"/>
          <w:lang w:val="en-GB"/>
        </w:rPr>
        <w:t xml:space="preserve">their </w:t>
      </w:r>
      <w:r w:rsidRPr="00771E6E">
        <w:rPr>
          <w:rFonts w:cs="Times New Roman"/>
          <w:lang w:val="en-GB"/>
        </w:rPr>
        <w:t>parents, with some studies focusing on specific parts of the child-rearing process</w:t>
      </w:r>
      <w:r w:rsidR="00B86810" w:rsidRPr="00771E6E">
        <w:rPr>
          <w:rFonts w:cs="Times New Roman"/>
          <w:lang w:val="en-GB"/>
        </w:rPr>
        <w:t>,</w:t>
      </w:r>
      <w:r w:rsidRPr="00771E6E">
        <w:rPr>
          <w:rFonts w:cs="Times New Roman"/>
          <w:lang w:val="en-GB"/>
        </w:rPr>
        <w:t xml:space="preserve"> such as childbirth, wet nursing and the role of the mother.</w:t>
      </w:r>
      <w:r w:rsidR="00B86810" w:rsidRPr="00771E6E">
        <w:rPr>
          <w:rFonts w:cs="Times New Roman"/>
          <w:lang w:val="en-GB"/>
        </w:rPr>
        <w:t xml:space="preserve"> </w:t>
      </w:r>
      <w:r w:rsidRPr="00771E6E">
        <w:rPr>
          <w:rFonts w:cs="Times New Roman"/>
          <w:lang w:val="en-GB"/>
        </w:rPr>
        <w:t>The mother</w:t>
      </w:r>
      <w:r w:rsidR="00B86810" w:rsidRPr="00771E6E">
        <w:rPr>
          <w:rFonts w:cs="Times New Roman"/>
          <w:lang w:val="en-GB"/>
        </w:rPr>
        <w:t>’s role</w:t>
      </w:r>
      <w:r w:rsidRPr="00771E6E">
        <w:rPr>
          <w:rFonts w:cs="Times New Roman"/>
          <w:lang w:val="en-GB"/>
        </w:rPr>
        <w:t xml:space="preserve"> as a “teacher” </w:t>
      </w:r>
      <w:r w:rsidR="00EF7B9B" w:rsidRPr="00771E6E">
        <w:rPr>
          <w:rFonts w:cs="Times New Roman"/>
          <w:lang w:val="en-GB"/>
        </w:rPr>
        <w:t>in</w:t>
      </w:r>
      <w:r w:rsidRPr="00771E6E">
        <w:rPr>
          <w:rFonts w:cs="Times New Roman"/>
          <w:lang w:val="en-GB"/>
        </w:rPr>
        <w:t xml:space="preserve"> the education of children has been re</w:t>
      </w:r>
      <w:r w:rsidR="00193840" w:rsidRPr="00771E6E">
        <w:rPr>
          <w:rFonts w:cs="Times New Roman"/>
          <w:lang w:val="en-GB"/>
        </w:rPr>
        <w:t>-e</w:t>
      </w:r>
      <w:r w:rsidRPr="00771E6E">
        <w:rPr>
          <w:rFonts w:cs="Times New Roman"/>
          <w:lang w:val="en-GB"/>
        </w:rPr>
        <w:t xml:space="preserve">valuated in </w:t>
      </w:r>
      <w:r w:rsidR="00C10931" w:rsidRPr="00771E6E">
        <w:rPr>
          <w:rFonts w:cs="Times New Roman"/>
          <w:lang w:val="en-GB"/>
        </w:rPr>
        <w:t>recent</w:t>
      </w:r>
      <w:r w:rsidRPr="00771E6E">
        <w:rPr>
          <w:rFonts w:cs="Times New Roman"/>
          <w:lang w:val="en-GB"/>
        </w:rPr>
        <w:t xml:space="preserve"> decades, primarily thanks to studies carried out by Margaret King, who linked maternal teaching through history with theories on early learning taken from the modern fields of psychology and sociology in her </w:t>
      </w:r>
      <w:r w:rsidR="00AB1AC1" w:rsidRPr="00771E6E">
        <w:rPr>
          <w:rFonts w:cs="Times New Roman"/>
          <w:lang w:val="en-GB"/>
        </w:rPr>
        <w:t xml:space="preserve">2008 </w:t>
      </w:r>
      <w:r w:rsidRPr="00771E6E">
        <w:rPr>
          <w:rFonts w:cs="Times New Roman"/>
          <w:lang w:val="en-GB"/>
        </w:rPr>
        <w:t>essay</w:t>
      </w:r>
      <w:r w:rsidR="00C10931" w:rsidRPr="00771E6E">
        <w:rPr>
          <w:rFonts w:cs="Times New Roman"/>
          <w:lang w:val="en-GB"/>
        </w:rPr>
        <w:t xml:space="preserve"> </w:t>
      </w:r>
      <w:r w:rsidRPr="00771E6E">
        <w:t>“The School of Infancy</w:t>
      </w:r>
      <w:r w:rsidR="00C10931" w:rsidRPr="00771E6E">
        <w:t>:</w:t>
      </w:r>
      <w:r w:rsidRPr="00771E6E">
        <w:t xml:space="preserve"> The Emergence of Mother as Teacher in Early Modern Times</w:t>
      </w:r>
      <w:r w:rsidR="00C10931" w:rsidRPr="00771E6E">
        <w:t>,</w:t>
      </w:r>
      <w:r w:rsidRPr="00771E6E">
        <w:t xml:space="preserve">” and </w:t>
      </w:r>
      <w:r w:rsidR="00CB0BA4" w:rsidRPr="00771E6E">
        <w:t xml:space="preserve">then </w:t>
      </w:r>
      <w:r w:rsidR="00C10931" w:rsidRPr="00771E6E">
        <w:t xml:space="preserve">at </w:t>
      </w:r>
      <w:r w:rsidR="00204D5B" w:rsidRPr="00771E6E">
        <w:t>greater</w:t>
      </w:r>
      <w:r w:rsidR="00C10931" w:rsidRPr="00771E6E">
        <w:t xml:space="preserve"> length </w:t>
      </w:r>
      <w:r w:rsidRPr="00771E6E">
        <w:t xml:space="preserve">in </w:t>
      </w:r>
      <w:r w:rsidR="003E1398" w:rsidRPr="00771E6E">
        <w:t>her book</w:t>
      </w:r>
      <w:r w:rsidRPr="00771E6E">
        <w:t xml:space="preserve"> </w:t>
      </w:r>
      <w:r w:rsidRPr="00771E6E">
        <w:rPr>
          <w:bCs/>
          <w:i/>
        </w:rPr>
        <w:t>How Mothers Shaped Successful Sons and Created World History: The School of Infancy</w:t>
      </w:r>
      <w:r w:rsidRPr="00771E6E">
        <w:rPr>
          <w:bCs/>
        </w:rPr>
        <w:t xml:space="preserve"> (2014).</w:t>
      </w:r>
    </w:p>
    <w:p w14:paraId="67F632E3" w14:textId="77777777" w:rsidR="005147FA" w:rsidRPr="00771E6E" w:rsidRDefault="00B261E9">
      <w:pPr>
        <w:ind w:firstLine="720"/>
        <w:rPr>
          <w:rFonts w:cs="Times New Roman"/>
          <w:lang w:val="en-GB"/>
        </w:rPr>
      </w:pPr>
      <w:r w:rsidRPr="00771E6E">
        <w:rPr>
          <w:rFonts w:cs="Times New Roman"/>
          <w:lang w:val="en-GB"/>
        </w:rPr>
        <w:t xml:space="preserve">While all these studies are fundamental to understanding the context and the specifics of the educational process, they do not </w:t>
      </w:r>
      <w:r w:rsidR="002167E2" w:rsidRPr="00771E6E">
        <w:rPr>
          <w:rFonts w:cs="Times New Roman"/>
          <w:lang w:val="en-GB"/>
        </w:rPr>
        <w:t xml:space="preserve">consider </w:t>
      </w:r>
      <w:r w:rsidR="00EF7B9B" w:rsidRPr="00771E6E">
        <w:rPr>
          <w:rFonts w:cs="Times New Roman"/>
          <w:lang w:val="en-GB"/>
        </w:rPr>
        <w:t>the way in which morality could be imparted by parents in a more subtle way, by using images and music</w:t>
      </w:r>
      <w:r w:rsidRPr="00771E6E">
        <w:rPr>
          <w:rFonts w:cs="Times New Roman"/>
          <w:lang w:val="en-GB"/>
        </w:rPr>
        <w:t>.</w:t>
      </w:r>
      <w:r w:rsidR="00EF7B9B" w:rsidRPr="00771E6E">
        <w:rPr>
          <w:rFonts w:cs="Times New Roman"/>
          <w:color w:val="000000" w:themeColor="text1"/>
          <w:lang w:val="en-GB"/>
        </w:rPr>
        <w:t xml:space="preserve"> </w:t>
      </w:r>
      <w:r w:rsidR="00276D28" w:rsidRPr="00771E6E">
        <w:rPr>
          <w:rFonts w:cs="Times New Roman"/>
          <w:lang w:val="en-GB"/>
        </w:rPr>
        <w:t>B</w:t>
      </w:r>
      <w:r w:rsidR="00307C97" w:rsidRPr="00771E6E">
        <w:rPr>
          <w:rFonts w:cs="Times New Roman"/>
          <w:lang w:val="en-GB"/>
        </w:rPr>
        <w:t>oth t</w:t>
      </w:r>
      <w:r w:rsidR="00B002E3" w:rsidRPr="00771E6E">
        <w:rPr>
          <w:rFonts w:cs="Times New Roman"/>
          <w:lang w:val="en-GB"/>
        </w:rPr>
        <w:t xml:space="preserve">hese devices were thought to be powerful and </w:t>
      </w:r>
      <w:r w:rsidR="00F61A6E" w:rsidRPr="00771E6E">
        <w:rPr>
          <w:rFonts w:cs="Times New Roman"/>
          <w:lang w:val="en-GB"/>
        </w:rPr>
        <w:t>persuasive</w:t>
      </w:r>
      <w:r w:rsidR="002167E2" w:rsidRPr="00771E6E">
        <w:rPr>
          <w:rFonts w:cs="Times New Roman"/>
          <w:lang w:val="en-GB"/>
        </w:rPr>
        <w:t xml:space="preserve"> in their own right</w:t>
      </w:r>
      <w:r w:rsidR="00B002E3" w:rsidRPr="00771E6E">
        <w:rPr>
          <w:rFonts w:cs="Times New Roman"/>
          <w:lang w:val="en-GB"/>
        </w:rPr>
        <w:t>, especially on young</w:t>
      </w:r>
      <w:r w:rsidR="002167E2" w:rsidRPr="00771E6E">
        <w:rPr>
          <w:rFonts w:cs="Times New Roman"/>
          <w:lang w:val="en-GB"/>
        </w:rPr>
        <w:t>,</w:t>
      </w:r>
      <w:r w:rsidR="00B002E3" w:rsidRPr="00771E6E">
        <w:rPr>
          <w:rFonts w:cs="Times New Roman"/>
          <w:lang w:val="en-GB"/>
        </w:rPr>
        <w:t xml:space="preserve"> malleable minds.</w:t>
      </w:r>
      <w:r w:rsidR="002167E2" w:rsidRPr="00771E6E">
        <w:rPr>
          <w:rFonts w:cs="Times New Roman"/>
          <w:lang w:val="en-GB"/>
        </w:rPr>
        <w:t xml:space="preserve"> In images of musical angels,</w:t>
      </w:r>
      <w:r w:rsidR="00EB772C" w:rsidRPr="00771E6E">
        <w:rPr>
          <w:rFonts w:cs="Times New Roman"/>
          <w:lang w:val="en-GB"/>
        </w:rPr>
        <w:t xml:space="preserve"> </w:t>
      </w:r>
      <w:r w:rsidR="002167E2" w:rsidRPr="00771E6E">
        <w:rPr>
          <w:rFonts w:cs="Times New Roman"/>
          <w:lang w:val="en-GB"/>
        </w:rPr>
        <w:t xml:space="preserve">their </w:t>
      </w:r>
      <w:r w:rsidR="000601ED" w:rsidRPr="00771E6E">
        <w:rPr>
          <w:rFonts w:cs="Times New Roman"/>
          <w:lang w:val="en-GB"/>
        </w:rPr>
        <w:t>power</w:t>
      </w:r>
      <w:r w:rsidR="004B7C36" w:rsidRPr="00771E6E">
        <w:rPr>
          <w:rFonts w:cs="Times New Roman"/>
          <w:lang w:val="en-GB"/>
        </w:rPr>
        <w:t>s</w:t>
      </w:r>
      <w:r w:rsidR="000601ED" w:rsidRPr="00771E6E">
        <w:rPr>
          <w:rFonts w:cs="Times New Roman"/>
          <w:lang w:val="en-GB"/>
        </w:rPr>
        <w:t xml:space="preserve"> </w:t>
      </w:r>
      <w:r w:rsidR="002167E2" w:rsidRPr="00771E6E">
        <w:rPr>
          <w:rFonts w:cs="Times New Roman"/>
          <w:lang w:val="en-GB"/>
        </w:rPr>
        <w:t xml:space="preserve">of influence </w:t>
      </w:r>
      <w:r w:rsidR="000601ED" w:rsidRPr="00771E6E">
        <w:rPr>
          <w:rFonts w:cs="Times New Roman"/>
          <w:lang w:val="en-GB"/>
        </w:rPr>
        <w:t xml:space="preserve">are combined, </w:t>
      </w:r>
      <w:r w:rsidR="002167E2" w:rsidRPr="00771E6E">
        <w:rPr>
          <w:rFonts w:cs="Times New Roman"/>
          <w:lang w:val="en-GB"/>
        </w:rPr>
        <w:t>and</w:t>
      </w:r>
      <w:r w:rsidR="002F7774" w:rsidRPr="00771E6E">
        <w:rPr>
          <w:rFonts w:cs="Times New Roman"/>
          <w:lang w:val="en-GB"/>
        </w:rPr>
        <w:t xml:space="preserve"> imbued</w:t>
      </w:r>
      <w:r w:rsidR="003E1398" w:rsidRPr="00771E6E">
        <w:rPr>
          <w:rFonts w:cs="Times New Roman"/>
          <w:lang w:val="en-GB"/>
        </w:rPr>
        <w:t xml:space="preserve"> </w:t>
      </w:r>
      <w:r w:rsidR="00307C97" w:rsidRPr="00771E6E">
        <w:rPr>
          <w:rFonts w:cs="Times New Roman"/>
          <w:lang w:val="en-GB"/>
        </w:rPr>
        <w:t xml:space="preserve">with </w:t>
      </w:r>
      <w:r w:rsidR="00B52200" w:rsidRPr="00771E6E">
        <w:rPr>
          <w:rFonts w:cs="Times New Roman"/>
          <w:lang w:val="en-GB"/>
        </w:rPr>
        <w:t>Christian meaning.</w:t>
      </w:r>
      <w:r w:rsidR="00307C97" w:rsidRPr="00771E6E">
        <w:rPr>
          <w:rFonts w:cs="Times New Roman"/>
          <w:lang w:val="en-GB"/>
        </w:rPr>
        <w:t xml:space="preserve"> </w:t>
      </w:r>
      <w:r w:rsidR="00E21149" w:rsidRPr="00771E6E">
        <w:rPr>
          <w:rFonts w:cs="Times New Roman"/>
          <w:lang w:val="en-GB"/>
        </w:rPr>
        <w:t>Such</w:t>
      </w:r>
      <w:r w:rsidR="00B52200" w:rsidRPr="00771E6E">
        <w:rPr>
          <w:rFonts w:cs="Times New Roman"/>
          <w:lang w:val="en-GB"/>
        </w:rPr>
        <w:t xml:space="preserve"> images </w:t>
      </w:r>
      <w:r w:rsidR="00E21149" w:rsidRPr="00771E6E">
        <w:rPr>
          <w:rFonts w:cs="Times New Roman"/>
          <w:lang w:val="en-GB"/>
        </w:rPr>
        <w:t xml:space="preserve">can thus be seen to present a </w:t>
      </w:r>
      <w:r w:rsidR="002F7774" w:rsidRPr="00771E6E">
        <w:rPr>
          <w:rFonts w:cs="Times New Roman"/>
          <w:lang w:val="en-GB"/>
        </w:rPr>
        <w:t>powerful</w:t>
      </w:r>
      <w:r w:rsidR="003E1398" w:rsidRPr="00771E6E">
        <w:rPr>
          <w:rFonts w:cs="Times New Roman"/>
          <w:lang w:val="en-GB"/>
        </w:rPr>
        <w:t xml:space="preserve"> </w:t>
      </w:r>
      <w:r w:rsidR="00E21149" w:rsidRPr="00771E6E">
        <w:rPr>
          <w:rFonts w:cs="Times New Roman"/>
          <w:lang w:val="en-GB"/>
        </w:rPr>
        <w:t>combination of pedagogical practices, aimed at moral and religious instruction</w:t>
      </w:r>
      <w:r w:rsidR="000601ED" w:rsidRPr="00771E6E">
        <w:rPr>
          <w:rFonts w:cs="Times New Roman"/>
          <w:lang w:val="en-GB"/>
        </w:rPr>
        <w:t>.</w:t>
      </w:r>
      <w:r w:rsidR="00A7425A" w:rsidRPr="00771E6E">
        <w:rPr>
          <w:rFonts w:cs="Times New Roman"/>
          <w:lang w:val="en-GB"/>
        </w:rPr>
        <w:t xml:space="preserve"> </w:t>
      </w:r>
      <w:r w:rsidR="00ED606D" w:rsidRPr="00771E6E">
        <w:rPr>
          <w:rFonts w:cs="Times New Roman"/>
          <w:lang w:val="en-GB"/>
        </w:rPr>
        <w:t xml:space="preserve">The Renaissance home was </w:t>
      </w:r>
      <w:r w:rsidR="005147FA" w:rsidRPr="00771E6E">
        <w:rPr>
          <w:rFonts w:cs="Times New Roman"/>
          <w:lang w:val="en-GB"/>
        </w:rPr>
        <w:t>the very first space in which the fundamentals of moral education were imparted to new-borns and children before they went out to school</w:t>
      </w:r>
      <w:r w:rsidR="00A7425A" w:rsidRPr="00771E6E">
        <w:rPr>
          <w:rFonts w:cs="Times New Roman"/>
          <w:lang w:val="en-GB"/>
        </w:rPr>
        <w:t>; and</w:t>
      </w:r>
      <w:r w:rsidR="00204D5B" w:rsidRPr="00771E6E">
        <w:rPr>
          <w:rFonts w:cs="Times New Roman"/>
          <w:lang w:val="en-GB"/>
        </w:rPr>
        <w:t>,</w:t>
      </w:r>
      <w:r w:rsidR="00A7425A" w:rsidRPr="00771E6E">
        <w:rPr>
          <w:rFonts w:cs="Times New Roman"/>
          <w:lang w:val="en-GB"/>
        </w:rPr>
        <w:t xml:space="preserve"> in the case of elite families</w:t>
      </w:r>
      <w:r w:rsidR="00204D5B" w:rsidRPr="00771E6E">
        <w:rPr>
          <w:rFonts w:cs="Times New Roman"/>
          <w:lang w:val="en-GB"/>
        </w:rPr>
        <w:t>,</w:t>
      </w:r>
      <w:r w:rsidR="00A7425A" w:rsidRPr="00771E6E">
        <w:rPr>
          <w:rFonts w:cs="Times New Roman"/>
          <w:lang w:val="en-GB"/>
        </w:rPr>
        <w:t xml:space="preserve"> education often continued in the home at school age, through the use of private tutors</w:t>
      </w:r>
      <w:r w:rsidR="005147FA" w:rsidRPr="00771E6E">
        <w:rPr>
          <w:rFonts w:cs="Times New Roman"/>
          <w:lang w:val="en-GB"/>
        </w:rPr>
        <w:t xml:space="preserve">. </w:t>
      </w:r>
      <w:r w:rsidR="00A7425A" w:rsidRPr="00771E6E">
        <w:rPr>
          <w:rFonts w:cs="Times New Roman"/>
          <w:lang w:val="en-GB"/>
        </w:rPr>
        <w:t>This thesis argues that images of m</w:t>
      </w:r>
      <w:r w:rsidR="00ED606D" w:rsidRPr="00771E6E">
        <w:rPr>
          <w:rFonts w:cs="Times New Roman"/>
          <w:lang w:val="en-GB"/>
        </w:rPr>
        <w:t xml:space="preserve">usical angels </w:t>
      </w:r>
      <w:r w:rsidR="00536F4F" w:rsidRPr="00771E6E">
        <w:rPr>
          <w:rFonts w:cs="Times New Roman"/>
          <w:lang w:val="en-GB"/>
        </w:rPr>
        <w:t>would have been intended to act as models for these young members of the household</w:t>
      </w:r>
      <w:r w:rsidR="00E8543F" w:rsidRPr="00771E6E">
        <w:rPr>
          <w:rFonts w:cs="Times New Roman"/>
          <w:lang w:val="en-GB"/>
        </w:rPr>
        <w:t xml:space="preserve"> to imitate</w:t>
      </w:r>
      <w:r w:rsidR="00536F4F" w:rsidRPr="00771E6E">
        <w:rPr>
          <w:rFonts w:cs="Times New Roman"/>
          <w:lang w:val="en-GB"/>
        </w:rPr>
        <w:t>, with the purpose of “shaping the mind” towards virtuous behaviour.</w:t>
      </w:r>
    </w:p>
    <w:p w14:paraId="6B0B102B" w14:textId="77777777" w:rsidR="008C1BB7" w:rsidRPr="00771E6E" w:rsidRDefault="00EF7B9B">
      <w:pPr>
        <w:ind w:firstLine="720"/>
        <w:rPr>
          <w:lang w:val="en-GB"/>
        </w:rPr>
      </w:pPr>
      <w:r w:rsidRPr="00771E6E">
        <w:rPr>
          <w:lang w:val="en-GB"/>
        </w:rPr>
        <w:t>To date</w:t>
      </w:r>
      <w:r w:rsidR="008C1BB7" w:rsidRPr="00771E6E">
        <w:rPr>
          <w:lang w:val="en-GB"/>
        </w:rPr>
        <w:t xml:space="preserve">, </w:t>
      </w:r>
      <w:r w:rsidRPr="00771E6E">
        <w:rPr>
          <w:lang w:val="en-GB"/>
        </w:rPr>
        <w:t xml:space="preserve">the role of </w:t>
      </w:r>
      <w:r w:rsidR="008C1BB7" w:rsidRPr="00771E6E">
        <w:rPr>
          <w:lang w:val="en-GB"/>
        </w:rPr>
        <w:t xml:space="preserve">musical angels </w:t>
      </w:r>
      <w:r w:rsidRPr="00771E6E">
        <w:rPr>
          <w:lang w:val="en-GB"/>
        </w:rPr>
        <w:t xml:space="preserve">has </w:t>
      </w:r>
      <w:r w:rsidR="008C1BB7" w:rsidRPr="00771E6E">
        <w:rPr>
          <w:lang w:val="en-GB"/>
        </w:rPr>
        <w:t>only</w:t>
      </w:r>
      <w:r w:rsidRPr="00771E6E">
        <w:rPr>
          <w:lang w:val="en-GB"/>
        </w:rPr>
        <w:t xml:space="preserve"> been addressed</w:t>
      </w:r>
      <w:r w:rsidR="008C1BB7" w:rsidRPr="00771E6E">
        <w:rPr>
          <w:lang w:val="en-GB"/>
        </w:rPr>
        <w:t xml:space="preserve"> </w:t>
      </w:r>
      <w:r w:rsidRPr="00771E6E">
        <w:rPr>
          <w:lang w:val="en-GB"/>
        </w:rPr>
        <w:t>as part of broader</w:t>
      </w:r>
      <w:r w:rsidR="008C1BB7" w:rsidRPr="00771E6E">
        <w:rPr>
          <w:lang w:val="en-GB"/>
        </w:rPr>
        <w:t xml:space="preserve"> studies dedicated to angels</w:t>
      </w:r>
      <w:r w:rsidRPr="00771E6E">
        <w:rPr>
          <w:lang w:val="en-GB"/>
        </w:rPr>
        <w:t xml:space="preserve"> as a whole</w:t>
      </w:r>
      <w:r w:rsidR="008C1BB7" w:rsidRPr="00771E6E">
        <w:rPr>
          <w:lang w:val="en-GB"/>
        </w:rPr>
        <w:t>.</w:t>
      </w:r>
      <w:r w:rsidRPr="00771E6E">
        <w:rPr>
          <w:lang w:val="en-GB"/>
        </w:rPr>
        <w:t xml:space="preserve"> S</w:t>
      </w:r>
      <w:r w:rsidR="008C1BB7" w:rsidRPr="00771E6E">
        <w:rPr>
          <w:lang w:val="en-GB"/>
        </w:rPr>
        <w:t xml:space="preserve">tudies such as Marco </w:t>
      </w:r>
      <w:proofErr w:type="spellStart"/>
      <w:r w:rsidR="008C1BB7" w:rsidRPr="00771E6E">
        <w:rPr>
          <w:lang w:val="en-GB"/>
        </w:rPr>
        <w:t>Bussagli’s</w:t>
      </w:r>
      <w:proofErr w:type="spellEnd"/>
      <w:r w:rsidR="008C1BB7" w:rsidRPr="00771E6E">
        <w:rPr>
          <w:lang w:val="en-GB"/>
        </w:rPr>
        <w:t xml:space="preserve"> </w:t>
      </w:r>
      <w:r w:rsidR="008C1BB7" w:rsidRPr="00771E6E">
        <w:rPr>
          <w:i/>
          <w:lang w:val="en-GB"/>
        </w:rPr>
        <w:t xml:space="preserve">Storia </w:t>
      </w:r>
      <w:proofErr w:type="spellStart"/>
      <w:r w:rsidR="008C1BB7" w:rsidRPr="00771E6E">
        <w:rPr>
          <w:i/>
          <w:lang w:val="en-GB"/>
        </w:rPr>
        <w:t>degli</w:t>
      </w:r>
      <w:proofErr w:type="spellEnd"/>
      <w:r w:rsidR="008C1BB7" w:rsidRPr="00771E6E">
        <w:rPr>
          <w:i/>
          <w:lang w:val="en-GB"/>
        </w:rPr>
        <w:t xml:space="preserve"> </w:t>
      </w:r>
      <w:proofErr w:type="spellStart"/>
      <w:r w:rsidR="008C1BB7" w:rsidRPr="00771E6E">
        <w:rPr>
          <w:i/>
          <w:lang w:val="en-GB"/>
        </w:rPr>
        <w:lastRenderedPageBreak/>
        <w:t>angeli</w:t>
      </w:r>
      <w:proofErr w:type="spellEnd"/>
      <w:r w:rsidR="008C1BB7" w:rsidRPr="00771E6E">
        <w:rPr>
          <w:i/>
          <w:lang w:val="en-GB"/>
        </w:rPr>
        <w:t xml:space="preserve">: </w:t>
      </w:r>
      <w:proofErr w:type="spellStart"/>
      <w:r w:rsidR="008C1BB7" w:rsidRPr="00771E6E">
        <w:rPr>
          <w:i/>
          <w:lang w:val="en-GB"/>
        </w:rPr>
        <w:t>Racconto</w:t>
      </w:r>
      <w:proofErr w:type="spellEnd"/>
      <w:r w:rsidR="008C1BB7" w:rsidRPr="00771E6E">
        <w:rPr>
          <w:i/>
          <w:lang w:val="en-GB"/>
        </w:rPr>
        <w:t xml:space="preserve"> di </w:t>
      </w:r>
      <w:proofErr w:type="spellStart"/>
      <w:r w:rsidR="008C1BB7" w:rsidRPr="00771E6E">
        <w:rPr>
          <w:i/>
          <w:lang w:val="en-GB"/>
        </w:rPr>
        <w:t>immagini</w:t>
      </w:r>
      <w:proofErr w:type="spellEnd"/>
      <w:r w:rsidR="008C1BB7" w:rsidRPr="00771E6E">
        <w:rPr>
          <w:i/>
          <w:lang w:val="en-GB"/>
        </w:rPr>
        <w:t xml:space="preserve"> e di </w:t>
      </w:r>
      <w:proofErr w:type="spellStart"/>
      <w:r w:rsidR="008C1BB7" w:rsidRPr="00771E6E">
        <w:rPr>
          <w:i/>
          <w:lang w:val="en-GB"/>
        </w:rPr>
        <w:t>idee</w:t>
      </w:r>
      <w:proofErr w:type="spellEnd"/>
      <w:r w:rsidR="008C1BB7" w:rsidRPr="00771E6E">
        <w:rPr>
          <w:lang w:val="en-GB"/>
        </w:rPr>
        <w:t xml:space="preserve"> (1991), </w:t>
      </w:r>
      <w:r w:rsidR="008C1BB7" w:rsidRPr="00771E6E">
        <w:t xml:space="preserve">Francesco </w:t>
      </w:r>
      <w:proofErr w:type="spellStart"/>
      <w:r w:rsidR="008C1BB7" w:rsidRPr="00771E6E">
        <w:t>Buranelli</w:t>
      </w:r>
      <w:proofErr w:type="spellEnd"/>
      <w:r w:rsidR="008C1BB7" w:rsidRPr="00771E6E">
        <w:t xml:space="preserve"> and Robin C. </w:t>
      </w:r>
      <w:proofErr w:type="spellStart"/>
      <w:r w:rsidR="008C1BB7" w:rsidRPr="00771E6E">
        <w:t>Dietrick’s</w:t>
      </w:r>
      <w:proofErr w:type="spellEnd"/>
      <w:r w:rsidR="008C1BB7" w:rsidRPr="00771E6E">
        <w:t xml:space="preserve"> edited</w:t>
      </w:r>
      <w:r w:rsidR="008C1BB7" w:rsidRPr="00771E6E">
        <w:rPr>
          <w:lang w:val="en-GB"/>
        </w:rPr>
        <w:t xml:space="preserve"> collection of essays </w:t>
      </w:r>
      <w:r w:rsidR="008C1BB7" w:rsidRPr="00771E6E">
        <w:rPr>
          <w:i/>
        </w:rPr>
        <w:t xml:space="preserve">Between God and Man: Angels in Italian </w:t>
      </w:r>
      <w:r w:rsidR="00CB4AFC" w:rsidRPr="00771E6E">
        <w:rPr>
          <w:i/>
        </w:rPr>
        <w:t>Art</w:t>
      </w:r>
      <w:r w:rsidR="00CB4AFC" w:rsidRPr="00771E6E">
        <w:t xml:space="preserve"> </w:t>
      </w:r>
      <w:r w:rsidR="008C1BB7" w:rsidRPr="00771E6E">
        <w:t>(2007)</w:t>
      </w:r>
      <w:r w:rsidR="00CB4AFC" w:rsidRPr="00771E6E">
        <w:t>,</w:t>
      </w:r>
      <w:r w:rsidR="008C1BB7" w:rsidRPr="00771E6E">
        <w:t xml:space="preserve"> and Meredith J</w:t>
      </w:r>
      <w:r w:rsidR="00CB4AFC" w:rsidRPr="00771E6E">
        <w:t>.</w:t>
      </w:r>
      <w:r w:rsidR="008C1BB7" w:rsidRPr="00771E6E">
        <w:t xml:space="preserve"> Gill’s </w:t>
      </w:r>
      <w:r w:rsidR="008C1BB7" w:rsidRPr="00771E6E">
        <w:rPr>
          <w:i/>
        </w:rPr>
        <w:t>Angels and the Order of Heaven in Medieval and Renaissance Italy</w:t>
      </w:r>
      <w:r w:rsidR="008C1BB7" w:rsidRPr="00771E6E">
        <w:t xml:space="preserve"> (2014) have focused mainly on the theological significance and on the evolution of the iconography of the angelic figure, only touching upon musical angels as </w:t>
      </w:r>
      <w:r w:rsidR="00CB4AFC" w:rsidRPr="00771E6E">
        <w:t xml:space="preserve">a relatively small </w:t>
      </w:r>
      <w:r w:rsidR="008C1BB7" w:rsidRPr="00771E6E">
        <w:t xml:space="preserve">part of </w:t>
      </w:r>
      <w:r w:rsidR="00CB4AFC" w:rsidRPr="00771E6E">
        <w:t xml:space="preserve">a </w:t>
      </w:r>
      <w:r w:rsidRPr="00771E6E">
        <w:t>wider</w:t>
      </w:r>
      <w:r w:rsidR="008C1BB7" w:rsidRPr="00771E6E">
        <w:t xml:space="preserve"> context.</w:t>
      </w:r>
      <w:r w:rsidR="00D03F6D" w:rsidRPr="00771E6E">
        <w:t xml:space="preserve"> </w:t>
      </w:r>
      <w:r w:rsidR="008C1BB7" w:rsidRPr="00771E6E">
        <w:rPr>
          <w:lang w:val="en-GB"/>
        </w:rPr>
        <w:t xml:space="preserve">An exception to this is </w:t>
      </w:r>
      <w:r w:rsidR="00D03F6D" w:rsidRPr="00771E6E">
        <w:rPr>
          <w:lang w:val="en-GB"/>
        </w:rPr>
        <w:t xml:space="preserve">Reinhold Hammerstein’s </w:t>
      </w:r>
      <w:r w:rsidR="008C1BB7" w:rsidRPr="00771E6E">
        <w:rPr>
          <w:lang w:val="en-GB"/>
        </w:rPr>
        <w:t xml:space="preserve">remarkable study, </w:t>
      </w:r>
      <w:r w:rsidR="008C1BB7" w:rsidRPr="00771E6E">
        <w:rPr>
          <w:i/>
          <w:lang w:val="en-GB"/>
        </w:rPr>
        <w:t xml:space="preserve">Die </w:t>
      </w:r>
      <w:proofErr w:type="spellStart"/>
      <w:r w:rsidR="008C1BB7" w:rsidRPr="00771E6E">
        <w:rPr>
          <w:i/>
          <w:lang w:val="en-GB"/>
        </w:rPr>
        <w:t>Musik</w:t>
      </w:r>
      <w:proofErr w:type="spellEnd"/>
      <w:r w:rsidR="008C1BB7" w:rsidRPr="00771E6E">
        <w:rPr>
          <w:i/>
          <w:lang w:val="en-GB"/>
        </w:rPr>
        <w:t xml:space="preserve"> der Engel: </w:t>
      </w:r>
      <w:proofErr w:type="spellStart"/>
      <w:r w:rsidR="008C1BB7" w:rsidRPr="00771E6E">
        <w:rPr>
          <w:i/>
          <w:lang w:val="en-GB"/>
        </w:rPr>
        <w:t>Untersuchungen</w:t>
      </w:r>
      <w:proofErr w:type="spellEnd"/>
      <w:r w:rsidR="008C1BB7" w:rsidRPr="00771E6E">
        <w:rPr>
          <w:i/>
          <w:lang w:val="en-GB"/>
        </w:rPr>
        <w:t xml:space="preserve"> </w:t>
      </w:r>
      <w:proofErr w:type="spellStart"/>
      <w:r w:rsidR="008C1BB7" w:rsidRPr="00771E6E">
        <w:rPr>
          <w:i/>
          <w:lang w:val="en-GB"/>
        </w:rPr>
        <w:t>zur</w:t>
      </w:r>
      <w:proofErr w:type="spellEnd"/>
      <w:r w:rsidR="008C1BB7" w:rsidRPr="00771E6E">
        <w:rPr>
          <w:i/>
          <w:lang w:val="en-GB"/>
        </w:rPr>
        <w:t xml:space="preserve"> </w:t>
      </w:r>
      <w:proofErr w:type="spellStart"/>
      <w:r w:rsidR="008C1BB7" w:rsidRPr="00771E6E">
        <w:rPr>
          <w:i/>
          <w:lang w:val="en-GB"/>
        </w:rPr>
        <w:t>Musikanschauung</w:t>
      </w:r>
      <w:proofErr w:type="spellEnd"/>
      <w:r w:rsidR="008C1BB7" w:rsidRPr="00771E6E">
        <w:rPr>
          <w:i/>
          <w:lang w:val="en-GB"/>
        </w:rPr>
        <w:t xml:space="preserve"> des </w:t>
      </w:r>
      <w:proofErr w:type="spellStart"/>
      <w:r w:rsidR="008C1BB7" w:rsidRPr="00771E6E">
        <w:rPr>
          <w:i/>
          <w:lang w:val="en-GB"/>
        </w:rPr>
        <w:t>Mittelalters</w:t>
      </w:r>
      <w:proofErr w:type="spellEnd"/>
      <w:r w:rsidR="008C1BB7" w:rsidRPr="00771E6E">
        <w:rPr>
          <w:i/>
          <w:lang w:val="en-GB"/>
        </w:rPr>
        <w:t xml:space="preserve"> </w:t>
      </w:r>
      <w:r w:rsidR="008C1BB7" w:rsidRPr="00771E6E">
        <w:rPr>
          <w:lang w:val="en-GB"/>
        </w:rPr>
        <w:t>(1990), which has analysed musical angels from varying perspectives, including their role as models in the self-fashioning of monks. This particular element has also been discussed by other musicologists such as Katherine Powers and Amy Gillette</w:t>
      </w:r>
      <w:r w:rsidR="00D03F6D" w:rsidRPr="00771E6E">
        <w:rPr>
          <w:lang w:val="en-GB"/>
        </w:rPr>
        <w:t xml:space="preserve">, producing a useful </w:t>
      </w:r>
      <w:r w:rsidR="003E1398" w:rsidRPr="00771E6E">
        <w:rPr>
          <w:lang w:val="en-GB"/>
        </w:rPr>
        <w:t>strand</w:t>
      </w:r>
      <w:r w:rsidR="00D03F6D" w:rsidRPr="00771E6E">
        <w:rPr>
          <w:lang w:val="en-GB"/>
        </w:rPr>
        <w:t xml:space="preserve"> of literature that establishes the principle of angels as models to emulate</w:t>
      </w:r>
      <w:r w:rsidR="002F7774" w:rsidRPr="00771E6E">
        <w:rPr>
          <w:lang w:val="en-GB"/>
        </w:rPr>
        <w:t>,</w:t>
      </w:r>
      <w:r w:rsidR="00D03F6D" w:rsidRPr="00771E6E">
        <w:rPr>
          <w:lang w:val="en-GB"/>
        </w:rPr>
        <w:t xml:space="preserve"> but locates it in a very different context,</w:t>
      </w:r>
      <w:r w:rsidR="002F7774" w:rsidRPr="00771E6E">
        <w:rPr>
          <w:lang w:val="en-GB"/>
        </w:rPr>
        <w:t xml:space="preserve"> </w:t>
      </w:r>
      <w:r w:rsidR="005E2225" w:rsidRPr="00771E6E">
        <w:rPr>
          <w:lang w:val="en-GB"/>
        </w:rPr>
        <w:t>namely the</w:t>
      </w:r>
      <w:r w:rsidR="002F7774" w:rsidRPr="00771E6E">
        <w:rPr>
          <w:lang w:val="en-GB"/>
        </w:rPr>
        <w:t xml:space="preserve"> ecclesiastical setting.</w:t>
      </w:r>
      <w:r w:rsidR="008C1BB7" w:rsidRPr="00771E6E">
        <w:rPr>
          <w:lang w:val="en-GB"/>
        </w:rPr>
        <w:t xml:space="preserve"> Additionally, some research has focused on the musical instruments that angels play in visual representations and on the techniques depicted, including </w:t>
      </w:r>
      <w:r w:rsidR="00D03F6D" w:rsidRPr="00771E6E">
        <w:rPr>
          <w:lang w:val="en-GB"/>
        </w:rPr>
        <w:t>classic</w:t>
      </w:r>
      <w:r w:rsidR="008C1BB7" w:rsidRPr="00771E6E">
        <w:rPr>
          <w:lang w:val="en-GB"/>
        </w:rPr>
        <w:t xml:space="preserve"> studies by Emanuel </w:t>
      </w:r>
      <w:proofErr w:type="spellStart"/>
      <w:r w:rsidR="008C1BB7" w:rsidRPr="00771E6E">
        <w:rPr>
          <w:lang w:val="en-GB"/>
        </w:rPr>
        <w:t>Winternitz</w:t>
      </w:r>
      <w:proofErr w:type="spellEnd"/>
      <w:r w:rsidR="00D03F6D" w:rsidRPr="00771E6E">
        <w:rPr>
          <w:lang w:val="en-GB"/>
        </w:rPr>
        <w:t xml:space="preserve">, and more </w:t>
      </w:r>
      <w:r w:rsidR="002F7774" w:rsidRPr="00771E6E">
        <w:rPr>
          <w:lang w:val="en-GB"/>
        </w:rPr>
        <w:t xml:space="preserve">detailed </w:t>
      </w:r>
      <w:r w:rsidR="00D03F6D" w:rsidRPr="00771E6E">
        <w:rPr>
          <w:lang w:val="en-GB"/>
        </w:rPr>
        <w:t>recent work by Timothy McGee</w:t>
      </w:r>
      <w:r w:rsidR="008C1BB7" w:rsidRPr="00771E6E">
        <w:rPr>
          <w:lang w:val="en-GB"/>
        </w:rPr>
        <w:t>.</w:t>
      </w:r>
    </w:p>
    <w:p w14:paraId="22783C6E" w14:textId="77777777" w:rsidR="00B37B77" w:rsidRPr="00771E6E" w:rsidRDefault="00067553" w:rsidP="005E2225">
      <w:pPr>
        <w:ind w:firstLine="720"/>
        <w:rPr>
          <w:rStyle w:val="a-size-medium"/>
          <w:color w:val="000000" w:themeColor="text1"/>
          <w:lang w:val="en-GB"/>
        </w:rPr>
      </w:pPr>
      <w:r w:rsidRPr="00771E6E">
        <w:rPr>
          <w:lang w:val="en-GB"/>
        </w:rPr>
        <w:t>Research into musical angels</w:t>
      </w:r>
      <w:r w:rsidR="00036940" w:rsidRPr="00771E6E">
        <w:rPr>
          <w:lang w:val="en-GB"/>
        </w:rPr>
        <w:t xml:space="preserve">, </w:t>
      </w:r>
      <w:r w:rsidRPr="00771E6E">
        <w:rPr>
          <w:lang w:val="en-GB"/>
        </w:rPr>
        <w:t xml:space="preserve">although </w:t>
      </w:r>
      <w:r w:rsidR="008C1BB7" w:rsidRPr="00771E6E">
        <w:rPr>
          <w:lang w:val="en-GB"/>
        </w:rPr>
        <w:t xml:space="preserve">acknowledging </w:t>
      </w:r>
      <w:r w:rsidRPr="00771E6E">
        <w:rPr>
          <w:lang w:val="en-GB"/>
        </w:rPr>
        <w:t xml:space="preserve">and exploring </w:t>
      </w:r>
      <w:r w:rsidR="008C1BB7" w:rsidRPr="00771E6E">
        <w:rPr>
          <w:lang w:val="en-GB"/>
        </w:rPr>
        <w:t>the</w:t>
      </w:r>
      <w:r w:rsidR="002A032C" w:rsidRPr="00771E6E">
        <w:rPr>
          <w:lang w:val="en-GB"/>
        </w:rPr>
        <w:t>ir</w:t>
      </w:r>
      <w:r w:rsidR="008C1BB7" w:rsidRPr="00771E6E">
        <w:rPr>
          <w:lang w:val="en-GB"/>
        </w:rPr>
        <w:t xml:space="preserve"> significance during the Renaissance, ha</w:t>
      </w:r>
      <w:r w:rsidRPr="00771E6E">
        <w:rPr>
          <w:lang w:val="en-GB"/>
        </w:rPr>
        <w:t>s yet to consider their function in relation to young viewers in the domestic sphere</w:t>
      </w:r>
      <w:r w:rsidR="008C1BB7" w:rsidRPr="00771E6E">
        <w:rPr>
          <w:lang w:val="en-GB"/>
        </w:rPr>
        <w:t>.</w:t>
      </w:r>
      <w:r w:rsidRPr="00771E6E">
        <w:rPr>
          <w:rStyle w:val="a-size-medium"/>
          <w:color w:val="000000" w:themeColor="text1"/>
          <w:lang w:val="en-GB"/>
        </w:rPr>
        <w:t xml:space="preserve"> </w:t>
      </w:r>
      <w:r w:rsidR="00BA58FF" w:rsidRPr="00771E6E">
        <w:rPr>
          <w:rStyle w:val="a-size-medium"/>
          <w:color w:val="000000" w:themeColor="text1"/>
          <w:lang w:val="en-GB"/>
        </w:rPr>
        <w:t>When studying the</w:t>
      </w:r>
      <w:r w:rsidR="00907EA0" w:rsidRPr="00771E6E">
        <w:rPr>
          <w:rStyle w:val="a-size-medium"/>
          <w:color w:val="000000" w:themeColor="text1"/>
          <w:lang w:val="en-GB"/>
        </w:rPr>
        <w:t xml:space="preserve"> </w:t>
      </w:r>
      <w:r w:rsidR="00BA58FF" w:rsidRPr="00771E6E">
        <w:rPr>
          <w:rStyle w:val="a-size-medium"/>
          <w:color w:val="000000" w:themeColor="text1"/>
          <w:lang w:val="en-GB"/>
        </w:rPr>
        <w:t xml:space="preserve">fifteenth- and sixteenth-century </w:t>
      </w:r>
      <w:r w:rsidR="00907EA0" w:rsidRPr="00771E6E">
        <w:rPr>
          <w:rStyle w:val="a-size-medium"/>
          <w:color w:val="000000" w:themeColor="text1"/>
          <w:lang w:val="en-GB"/>
        </w:rPr>
        <w:t>domestic interior</w:t>
      </w:r>
      <w:r w:rsidR="00BA58FF" w:rsidRPr="00771E6E">
        <w:rPr>
          <w:rStyle w:val="a-size-medium"/>
          <w:color w:val="000000" w:themeColor="text1"/>
          <w:lang w:val="en-GB"/>
        </w:rPr>
        <w:t>,</w:t>
      </w:r>
      <w:r w:rsidR="00907EA0" w:rsidRPr="00771E6E">
        <w:rPr>
          <w:rStyle w:val="a-size-medium"/>
          <w:color w:val="000000" w:themeColor="text1"/>
          <w:lang w:val="en-GB"/>
        </w:rPr>
        <w:t xml:space="preserve"> the many archival documents </w:t>
      </w:r>
      <w:r w:rsidR="00BA58FF" w:rsidRPr="00771E6E">
        <w:rPr>
          <w:rStyle w:val="a-size-medium"/>
          <w:color w:val="000000" w:themeColor="text1"/>
          <w:lang w:val="en-GB"/>
        </w:rPr>
        <w:t>that s</w:t>
      </w:r>
      <w:r w:rsidR="00907EA0" w:rsidRPr="00771E6E">
        <w:rPr>
          <w:rStyle w:val="a-size-medium"/>
          <w:color w:val="000000" w:themeColor="text1"/>
          <w:lang w:val="en-GB"/>
        </w:rPr>
        <w:t>urvive from the Florentine area provide an extremely rich</w:t>
      </w:r>
      <w:r w:rsidR="00BA58FF" w:rsidRPr="00771E6E">
        <w:rPr>
          <w:rStyle w:val="a-size-medium"/>
          <w:color w:val="000000" w:themeColor="text1"/>
          <w:lang w:val="en-GB"/>
        </w:rPr>
        <w:t xml:space="preserve"> foundation upon which to base further investigation. </w:t>
      </w:r>
      <w:r w:rsidRPr="00771E6E">
        <w:rPr>
          <w:rStyle w:val="a-size-medium"/>
          <w:color w:val="000000" w:themeColor="text1"/>
          <w:lang w:val="en-GB"/>
        </w:rPr>
        <w:t>The many decades of</w:t>
      </w:r>
      <w:r w:rsidR="00681D69" w:rsidRPr="00771E6E">
        <w:rPr>
          <w:rStyle w:val="a-size-medium"/>
          <w:color w:val="000000" w:themeColor="text1"/>
          <w:lang w:val="en-GB"/>
        </w:rPr>
        <w:t xml:space="preserve"> intense</w:t>
      </w:r>
      <w:r w:rsidR="003C32CA" w:rsidRPr="00771E6E">
        <w:rPr>
          <w:rStyle w:val="a-size-medium"/>
          <w:color w:val="000000" w:themeColor="text1"/>
          <w:lang w:val="en-GB"/>
        </w:rPr>
        <w:t xml:space="preserve"> </w:t>
      </w:r>
      <w:r w:rsidRPr="00771E6E">
        <w:rPr>
          <w:rStyle w:val="a-size-medium"/>
          <w:color w:val="000000" w:themeColor="text1"/>
          <w:lang w:val="en-GB"/>
        </w:rPr>
        <w:t>research into</w:t>
      </w:r>
      <w:r w:rsidR="00BA58FF" w:rsidRPr="00771E6E">
        <w:rPr>
          <w:rStyle w:val="a-size-medium"/>
          <w:color w:val="000000" w:themeColor="text1"/>
          <w:lang w:val="en-GB"/>
        </w:rPr>
        <w:t xml:space="preserve"> the domestic environment as a whole in Renaissance Florence</w:t>
      </w:r>
      <w:r w:rsidR="00907EA0" w:rsidRPr="00771E6E">
        <w:rPr>
          <w:rStyle w:val="a-size-medium"/>
          <w:color w:val="000000" w:themeColor="text1"/>
          <w:lang w:val="en-GB"/>
        </w:rPr>
        <w:t xml:space="preserve"> </w:t>
      </w:r>
      <w:r w:rsidR="00BA58FF" w:rsidRPr="00771E6E">
        <w:rPr>
          <w:rStyle w:val="a-size-medium"/>
          <w:color w:val="000000" w:themeColor="text1"/>
          <w:lang w:val="en-GB"/>
        </w:rPr>
        <w:t xml:space="preserve">provides </w:t>
      </w:r>
      <w:r w:rsidRPr="00771E6E">
        <w:rPr>
          <w:rStyle w:val="a-size-medium"/>
          <w:color w:val="000000" w:themeColor="text1"/>
          <w:lang w:val="en-GB"/>
        </w:rPr>
        <w:t xml:space="preserve">a </w:t>
      </w:r>
      <w:r w:rsidR="00BA58FF" w:rsidRPr="00771E6E">
        <w:rPr>
          <w:rStyle w:val="a-size-medium"/>
          <w:color w:val="000000" w:themeColor="text1"/>
          <w:lang w:val="en-GB"/>
        </w:rPr>
        <w:t>detailed context within which to seek further insight</w:t>
      </w:r>
      <w:r w:rsidRPr="00771E6E">
        <w:rPr>
          <w:rStyle w:val="a-size-medium"/>
          <w:color w:val="000000" w:themeColor="text1"/>
          <w:lang w:val="en-GB"/>
        </w:rPr>
        <w:t>s</w:t>
      </w:r>
      <w:r w:rsidR="00BA58FF" w:rsidRPr="00771E6E">
        <w:rPr>
          <w:rStyle w:val="a-size-medium"/>
          <w:color w:val="000000" w:themeColor="text1"/>
          <w:lang w:val="en-GB"/>
        </w:rPr>
        <w:t xml:space="preserve"> into the role that images of musical angels in particular played within the home</w:t>
      </w:r>
      <w:r w:rsidR="002A032C" w:rsidRPr="00771E6E">
        <w:rPr>
          <w:rStyle w:val="a-size-medium"/>
          <w:color w:val="000000" w:themeColor="text1"/>
          <w:lang w:val="en-GB"/>
        </w:rPr>
        <w:t xml:space="preserve"> – </w:t>
      </w:r>
      <w:r w:rsidR="00BA58FF" w:rsidRPr="00771E6E">
        <w:rPr>
          <w:rStyle w:val="a-size-medium"/>
          <w:color w:val="000000" w:themeColor="text1"/>
          <w:lang w:val="en-GB"/>
        </w:rPr>
        <w:t>especially in the case of wealthy families.</w:t>
      </w:r>
      <w:r w:rsidR="006003AA" w:rsidRPr="00771E6E">
        <w:rPr>
          <w:rFonts w:cs="Times New Roman"/>
          <w:color w:val="000000" w:themeColor="text1"/>
          <w:lang w:val="en-GB"/>
        </w:rPr>
        <w:t xml:space="preserve"> </w:t>
      </w:r>
      <w:r w:rsidR="00E96D6A" w:rsidRPr="00771E6E">
        <w:rPr>
          <w:rFonts w:cs="Times New Roman"/>
          <w:color w:val="000000" w:themeColor="text1"/>
          <w:lang w:val="en-GB"/>
        </w:rPr>
        <w:t>In 1908, Attilio Schiaparelli’s book</w:t>
      </w:r>
      <w:r w:rsidR="00E96D6A" w:rsidRPr="00771E6E">
        <w:rPr>
          <w:rFonts w:cs="Times New Roman"/>
          <w:color w:val="000000" w:themeColor="text1"/>
        </w:rPr>
        <w:t xml:space="preserve"> </w:t>
      </w:r>
      <w:r w:rsidR="00E96D6A" w:rsidRPr="00771E6E">
        <w:rPr>
          <w:rFonts w:cs="Times New Roman"/>
          <w:i/>
          <w:color w:val="000000" w:themeColor="text1"/>
          <w:lang w:val="en-GB"/>
        </w:rPr>
        <w:t xml:space="preserve">La casa </w:t>
      </w:r>
      <w:proofErr w:type="spellStart"/>
      <w:r w:rsidR="00E96D6A" w:rsidRPr="00771E6E">
        <w:rPr>
          <w:rFonts w:cs="Times New Roman"/>
          <w:i/>
          <w:color w:val="000000" w:themeColor="text1"/>
          <w:lang w:val="en-GB"/>
        </w:rPr>
        <w:t>fiorentina</w:t>
      </w:r>
      <w:proofErr w:type="spellEnd"/>
      <w:r w:rsidR="00E96D6A" w:rsidRPr="00771E6E">
        <w:rPr>
          <w:rFonts w:cs="Times New Roman"/>
          <w:i/>
          <w:color w:val="000000" w:themeColor="text1"/>
          <w:lang w:val="en-GB"/>
        </w:rPr>
        <w:t xml:space="preserve"> e </w:t>
      </w:r>
      <w:proofErr w:type="spellStart"/>
      <w:r w:rsidR="00E96D6A" w:rsidRPr="00771E6E">
        <w:rPr>
          <w:rFonts w:cs="Times New Roman"/>
          <w:i/>
          <w:color w:val="000000" w:themeColor="text1"/>
          <w:lang w:val="en-GB"/>
        </w:rPr>
        <w:t>i</w:t>
      </w:r>
      <w:proofErr w:type="spellEnd"/>
      <w:r w:rsidR="00E96D6A" w:rsidRPr="00771E6E">
        <w:rPr>
          <w:rFonts w:cs="Times New Roman"/>
          <w:i/>
          <w:color w:val="000000" w:themeColor="text1"/>
          <w:lang w:val="en-GB"/>
        </w:rPr>
        <w:t xml:space="preserve"> </w:t>
      </w:r>
      <w:proofErr w:type="spellStart"/>
      <w:r w:rsidR="00E96D6A" w:rsidRPr="00771E6E">
        <w:rPr>
          <w:rFonts w:cs="Times New Roman"/>
          <w:i/>
          <w:color w:val="000000" w:themeColor="text1"/>
          <w:lang w:val="en-GB"/>
        </w:rPr>
        <w:t>suoi</w:t>
      </w:r>
      <w:proofErr w:type="spellEnd"/>
      <w:r w:rsidR="00E96D6A" w:rsidRPr="00771E6E">
        <w:rPr>
          <w:rFonts w:cs="Times New Roman"/>
          <w:i/>
          <w:color w:val="000000" w:themeColor="text1"/>
          <w:lang w:val="en-GB"/>
        </w:rPr>
        <w:t xml:space="preserve"> </w:t>
      </w:r>
      <w:proofErr w:type="spellStart"/>
      <w:r w:rsidR="00E96D6A" w:rsidRPr="00771E6E">
        <w:rPr>
          <w:rFonts w:cs="Times New Roman"/>
          <w:i/>
          <w:color w:val="000000" w:themeColor="text1"/>
          <w:lang w:val="en-GB"/>
        </w:rPr>
        <w:t>arredi</w:t>
      </w:r>
      <w:proofErr w:type="spellEnd"/>
      <w:r w:rsidR="00E96D6A" w:rsidRPr="00771E6E">
        <w:rPr>
          <w:rFonts w:cs="Times New Roman"/>
          <w:i/>
          <w:color w:val="000000" w:themeColor="text1"/>
          <w:lang w:val="en-GB"/>
        </w:rPr>
        <w:t xml:space="preserve"> </w:t>
      </w:r>
      <w:proofErr w:type="spellStart"/>
      <w:r w:rsidR="00E96D6A" w:rsidRPr="00771E6E">
        <w:rPr>
          <w:rFonts w:cs="Times New Roman"/>
          <w:i/>
          <w:color w:val="000000" w:themeColor="text1"/>
          <w:lang w:val="en-GB"/>
        </w:rPr>
        <w:t>nei</w:t>
      </w:r>
      <w:proofErr w:type="spellEnd"/>
      <w:r w:rsidR="00E96D6A" w:rsidRPr="00771E6E">
        <w:rPr>
          <w:rFonts w:cs="Times New Roman"/>
          <w:i/>
          <w:color w:val="000000" w:themeColor="text1"/>
          <w:lang w:val="en-GB"/>
        </w:rPr>
        <w:t xml:space="preserve"> </w:t>
      </w:r>
      <w:proofErr w:type="spellStart"/>
      <w:r w:rsidR="00E96D6A" w:rsidRPr="00771E6E">
        <w:rPr>
          <w:rFonts w:cs="Times New Roman"/>
          <w:i/>
          <w:color w:val="000000" w:themeColor="text1"/>
          <w:lang w:val="en-GB"/>
        </w:rPr>
        <w:t>secoli</w:t>
      </w:r>
      <w:proofErr w:type="spellEnd"/>
      <w:r w:rsidR="00E96D6A" w:rsidRPr="00771E6E">
        <w:rPr>
          <w:rFonts w:cs="Times New Roman"/>
          <w:i/>
          <w:color w:val="000000" w:themeColor="text1"/>
          <w:lang w:val="en-GB"/>
        </w:rPr>
        <w:t xml:space="preserve"> XIV e XV</w:t>
      </w:r>
      <w:r w:rsidR="00E96D6A" w:rsidRPr="00771E6E">
        <w:rPr>
          <w:rFonts w:cs="Times New Roman"/>
          <w:color w:val="000000" w:themeColor="text1"/>
        </w:rPr>
        <w:t xml:space="preserve"> </w:t>
      </w:r>
      <w:r w:rsidR="007E6897" w:rsidRPr="00771E6E">
        <w:rPr>
          <w:rFonts w:cs="Times New Roman"/>
          <w:color w:val="000000" w:themeColor="text1"/>
        </w:rPr>
        <w:t xml:space="preserve">laid </w:t>
      </w:r>
      <w:r w:rsidR="000D40B6" w:rsidRPr="00771E6E">
        <w:rPr>
          <w:rFonts w:cs="Times New Roman"/>
          <w:color w:val="000000" w:themeColor="text1"/>
        </w:rPr>
        <w:t>the foundations for</w:t>
      </w:r>
      <w:r w:rsidR="007E6897" w:rsidRPr="00771E6E">
        <w:rPr>
          <w:rFonts w:cs="Times New Roman"/>
          <w:color w:val="000000" w:themeColor="text1"/>
        </w:rPr>
        <w:t xml:space="preserve"> </w:t>
      </w:r>
      <w:r w:rsidR="006003AA" w:rsidRPr="00771E6E">
        <w:rPr>
          <w:rFonts w:cs="Times New Roman"/>
          <w:color w:val="000000" w:themeColor="text1"/>
        </w:rPr>
        <w:t xml:space="preserve">the </w:t>
      </w:r>
      <w:r w:rsidR="007E6897" w:rsidRPr="00771E6E">
        <w:rPr>
          <w:rFonts w:cs="Times New Roman"/>
          <w:color w:val="000000" w:themeColor="text1"/>
        </w:rPr>
        <w:t>stud</w:t>
      </w:r>
      <w:r w:rsidR="006003AA" w:rsidRPr="00771E6E">
        <w:rPr>
          <w:rFonts w:cs="Times New Roman"/>
          <w:color w:val="000000" w:themeColor="text1"/>
        </w:rPr>
        <w:t>y</w:t>
      </w:r>
      <w:r w:rsidR="007E6897" w:rsidRPr="00771E6E">
        <w:rPr>
          <w:rFonts w:cs="Times New Roman"/>
          <w:color w:val="000000" w:themeColor="text1"/>
        </w:rPr>
        <w:t xml:space="preserve"> o</w:t>
      </w:r>
      <w:r w:rsidR="006003AA" w:rsidRPr="00771E6E">
        <w:rPr>
          <w:rFonts w:cs="Times New Roman"/>
          <w:color w:val="000000" w:themeColor="text1"/>
        </w:rPr>
        <w:t>f visual</w:t>
      </w:r>
      <w:r w:rsidR="007E6897" w:rsidRPr="00771E6E">
        <w:rPr>
          <w:rFonts w:cs="Times New Roman"/>
          <w:color w:val="000000" w:themeColor="text1"/>
        </w:rPr>
        <w:t xml:space="preserve"> </w:t>
      </w:r>
      <w:r w:rsidR="00E96D6A" w:rsidRPr="00771E6E">
        <w:rPr>
          <w:rFonts w:cs="Times New Roman"/>
          <w:color w:val="000000" w:themeColor="text1"/>
          <w:lang w:val="en-GB"/>
        </w:rPr>
        <w:t xml:space="preserve">art in the home, using Florence as a case-study. </w:t>
      </w:r>
      <w:r w:rsidR="006003AA" w:rsidRPr="00771E6E">
        <w:rPr>
          <w:rFonts w:cs="Times New Roman"/>
          <w:color w:val="000000" w:themeColor="text1"/>
          <w:lang w:val="en-GB"/>
        </w:rPr>
        <w:t>Subsequently</w:t>
      </w:r>
      <w:r w:rsidR="00E96D6A" w:rsidRPr="00771E6E">
        <w:rPr>
          <w:rFonts w:cs="Times New Roman"/>
          <w:color w:val="000000" w:themeColor="text1"/>
          <w:lang w:val="en-GB"/>
        </w:rPr>
        <w:t>, several scholars have focuse</w:t>
      </w:r>
      <w:r w:rsidR="006003AA" w:rsidRPr="00771E6E">
        <w:rPr>
          <w:rFonts w:cs="Times New Roman"/>
          <w:color w:val="000000" w:themeColor="text1"/>
          <w:lang w:val="en-GB"/>
        </w:rPr>
        <w:t>d</w:t>
      </w:r>
      <w:r w:rsidR="00E96D6A" w:rsidRPr="00771E6E">
        <w:rPr>
          <w:rFonts w:cs="Times New Roman"/>
          <w:color w:val="000000" w:themeColor="text1"/>
          <w:lang w:val="en-GB"/>
        </w:rPr>
        <w:t xml:space="preserve"> on Italian, and in particular Florentine, case-studies of domestic art. </w:t>
      </w:r>
      <w:r w:rsidR="00E96D6A" w:rsidRPr="00771E6E">
        <w:rPr>
          <w:lang w:val="en-GB"/>
        </w:rPr>
        <w:t xml:space="preserve">John </w:t>
      </w:r>
      <w:r w:rsidR="00FD76DB" w:rsidRPr="00771E6E">
        <w:rPr>
          <w:lang w:val="en-GB"/>
        </w:rPr>
        <w:t>K.</w:t>
      </w:r>
      <w:r w:rsidR="00E96D6A" w:rsidRPr="00771E6E">
        <w:rPr>
          <w:lang w:val="en-GB"/>
        </w:rPr>
        <w:t xml:space="preserve"> </w:t>
      </w:r>
      <w:proofErr w:type="spellStart"/>
      <w:r w:rsidR="00E96D6A" w:rsidRPr="00771E6E">
        <w:rPr>
          <w:lang w:val="en-GB"/>
        </w:rPr>
        <w:t>Lydecker’s</w:t>
      </w:r>
      <w:proofErr w:type="spellEnd"/>
      <w:r w:rsidR="00E96D6A" w:rsidRPr="00771E6E">
        <w:rPr>
          <w:lang w:val="en-GB"/>
        </w:rPr>
        <w:t xml:space="preserve"> PhD dissertation</w:t>
      </w:r>
      <w:r w:rsidR="00E96D6A" w:rsidRPr="00771E6E">
        <w:rPr>
          <w:rStyle w:val="Strong"/>
          <w:color w:val="000000" w:themeColor="text1"/>
          <w:lang w:val="en-GB"/>
        </w:rPr>
        <w:t xml:space="preserve"> </w:t>
      </w:r>
      <w:r w:rsidR="00E96D6A" w:rsidRPr="00771E6E">
        <w:rPr>
          <w:rStyle w:val="Strong"/>
          <w:b w:val="0"/>
          <w:i/>
          <w:color w:val="000000" w:themeColor="text1"/>
          <w:lang w:val="en-GB"/>
        </w:rPr>
        <w:t>The domestic setting of the arts in Renaissance Florence</w:t>
      </w:r>
      <w:r w:rsidR="00E96D6A" w:rsidRPr="00771E6E">
        <w:rPr>
          <w:color w:val="000000" w:themeColor="text1"/>
          <w:lang w:val="en-GB"/>
        </w:rPr>
        <w:t xml:space="preserve"> (1987</w:t>
      </w:r>
      <w:r w:rsidR="00E96D6A" w:rsidRPr="00771E6E">
        <w:rPr>
          <w:rStyle w:val="Strong"/>
          <w:b w:val="0"/>
          <w:color w:val="000000" w:themeColor="text1"/>
          <w:lang w:val="en-GB"/>
        </w:rPr>
        <w:t>), for instance,</w:t>
      </w:r>
      <w:r w:rsidR="00E96D6A" w:rsidRPr="00771E6E">
        <w:rPr>
          <w:rStyle w:val="adjust"/>
          <w:bCs/>
          <w:color w:val="000000" w:themeColor="text1"/>
          <w:lang w:val="en-GB"/>
        </w:rPr>
        <w:t xml:space="preserve"> has examined the organisation of the house and its content</w:t>
      </w:r>
      <w:r w:rsidR="006003AA" w:rsidRPr="00771E6E">
        <w:rPr>
          <w:rStyle w:val="adjust"/>
          <w:bCs/>
          <w:color w:val="000000" w:themeColor="text1"/>
          <w:lang w:val="en-GB"/>
        </w:rPr>
        <w:t>s</w:t>
      </w:r>
      <w:r w:rsidR="00E96D6A" w:rsidRPr="00771E6E">
        <w:rPr>
          <w:rStyle w:val="adjust"/>
          <w:bCs/>
          <w:color w:val="000000" w:themeColor="text1"/>
          <w:lang w:val="en-GB"/>
        </w:rPr>
        <w:t>, focusing on the acquisition and accumulation of art</w:t>
      </w:r>
      <w:r w:rsidR="006003AA" w:rsidRPr="00771E6E">
        <w:rPr>
          <w:rStyle w:val="adjust"/>
          <w:bCs/>
          <w:color w:val="000000" w:themeColor="text1"/>
          <w:lang w:val="en-GB"/>
        </w:rPr>
        <w:t xml:space="preserve">; </w:t>
      </w:r>
      <w:r w:rsidR="00E96D6A" w:rsidRPr="00771E6E">
        <w:rPr>
          <w:rStyle w:val="adjust"/>
          <w:bCs/>
          <w:color w:val="000000" w:themeColor="text1"/>
          <w:lang w:val="en-GB"/>
        </w:rPr>
        <w:t xml:space="preserve">while </w:t>
      </w:r>
      <w:r w:rsidR="00E96D6A" w:rsidRPr="00771E6E">
        <w:rPr>
          <w:rStyle w:val="a-declarative"/>
          <w:color w:val="000000" w:themeColor="text1"/>
          <w:lang w:val="en-GB"/>
        </w:rPr>
        <w:t xml:space="preserve">Peter Thornton’s </w:t>
      </w:r>
      <w:r w:rsidR="00E96D6A" w:rsidRPr="00771E6E">
        <w:rPr>
          <w:rStyle w:val="a-size-large"/>
          <w:i/>
          <w:color w:val="000000" w:themeColor="text1"/>
          <w:lang w:val="en-GB"/>
        </w:rPr>
        <w:t xml:space="preserve">The Italian Renaissance </w:t>
      </w:r>
      <w:r w:rsidR="006003AA" w:rsidRPr="00771E6E">
        <w:rPr>
          <w:rStyle w:val="a-size-large"/>
          <w:i/>
          <w:color w:val="000000" w:themeColor="text1"/>
          <w:lang w:val="en-GB"/>
        </w:rPr>
        <w:t>I</w:t>
      </w:r>
      <w:r w:rsidR="00E96D6A" w:rsidRPr="00771E6E">
        <w:rPr>
          <w:rStyle w:val="a-size-large"/>
          <w:i/>
          <w:color w:val="000000" w:themeColor="text1"/>
          <w:lang w:val="en-GB"/>
        </w:rPr>
        <w:t>nterior, 1400-1600</w:t>
      </w:r>
      <w:r w:rsidR="00E96D6A" w:rsidRPr="00771E6E">
        <w:rPr>
          <w:rStyle w:val="apple-converted-space"/>
          <w:color w:val="000000" w:themeColor="text1"/>
          <w:lang w:val="en-GB"/>
        </w:rPr>
        <w:t xml:space="preserve"> (1</w:t>
      </w:r>
      <w:r w:rsidR="00E96D6A" w:rsidRPr="00771E6E">
        <w:rPr>
          <w:rStyle w:val="a-size-medium"/>
          <w:color w:val="000000" w:themeColor="text1"/>
          <w:lang w:val="en-GB"/>
        </w:rPr>
        <w:t>991) has analysed the different types of domestic furnishings</w:t>
      </w:r>
      <w:r w:rsidR="006003AA" w:rsidRPr="00771E6E">
        <w:rPr>
          <w:rStyle w:val="a-size-medium"/>
          <w:color w:val="000000" w:themeColor="text1"/>
          <w:lang w:val="en-GB"/>
        </w:rPr>
        <w:t xml:space="preserve"> present in the home</w:t>
      </w:r>
      <w:r w:rsidR="00E96D6A" w:rsidRPr="00771E6E">
        <w:rPr>
          <w:rStyle w:val="a-size-medium"/>
          <w:color w:val="000000" w:themeColor="text1"/>
          <w:lang w:val="en-GB"/>
        </w:rPr>
        <w:t xml:space="preserve">. </w:t>
      </w:r>
    </w:p>
    <w:p w14:paraId="79B316B5" w14:textId="4EFF2AE0" w:rsidR="00E96D6A" w:rsidRPr="00771E6E" w:rsidRDefault="006003AA" w:rsidP="00143AB7">
      <w:pPr>
        <w:pStyle w:val="CommentText"/>
      </w:pPr>
      <w:r w:rsidRPr="00771E6E">
        <w:rPr>
          <w:rStyle w:val="a-size-medium"/>
          <w:color w:val="000000" w:themeColor="text1"/>
          <w:lang w:val="en-GB"/>
        </w:rPr>
        <w:t>More recently</w:t>
      </w:r>
      <w:r w:rsidR="007E6897" w:rsidRPr="00771E6E">
        <w:rPr>
          <w:rStyle w:val="a-size-medium"/>
          <w:color w:val="000000" w:themeColor="text1"/>
          <w:lang w:val="en-GB"/>
        </w:rPr>
        <w:t xml:space="preserve">, the Victoria &amp; Albert Museum’s exhibition and associated publication </w:t>
      </w:r>
      <w:r w:rsidR="007E6897" w:rsidRPr="00771E6E">
        <w:rPr>
          <w:rStyle w:val="a-size-medium"/>
          <w:i/>
          <w:color w:val="000000" w:themeColor="text1"/>
          <w:lang w:val="en-GB"/>
        </w:rPr>
        <w:t>At Home in Renaissance Italy</w:t>
      </w:r>
      <w:r w:rsidR="007E6897" w:rsidRPr="00771E6E">
        <w:rPr>
          <w:rStyle w:val="a-size-medium"/>
          <w:color w:val="000000" w:themeColor="text1"/>
          <w:lang w:val="en-GB"/>
        </w:rPr>
        <w:t xml:space="preserve"> (2006-07)</w:t>
      </w:r>
      <w:r w:rsidR="00FD76DB" w:rsidRPr="00771E6E">
        <w:rPr>
          <w:rStyle w:val="a-size-medium"/>
          <w:color w:val="000000" w:themeColor="text1"/>
          <w:lang w:val="en-GB"/>
        </w:rPr>
        <w:t>,</w:t>
      </w:r>
      <w:r w:rsidR="007E6897" w:rsidRPr="00771E6E">
        <w:rPr>
          <w:rStyle w:val="a-size-medium"/>
          <w:color w:val="000000" w:themeColor="text1"/>
          <w:lang w:val="en-GB"/>
        </w:rPr>
        <w:t xml:space="preserve"> curated by Marta </w:t>
      </w:r>
      <w:proofErr w:type="spellStart"/>
      <w:r w:rsidR="007E6897" w:rsidRPr="00771E6E">
        <w:rPr>
          <w:rStyle w:val="a-size-medium"/>
          <w:color w:val="000000" w:themeColor="text1"/>
          <w:lang w:val="en-GB"/>
        </w:rPr>
        <w:t>Ajmar-Wollheim</w:t>
      </w:r>
      <w:proofErr w:type="spellEnd"/>
      <w:r w:rsidR="007E6897" w:rsidRPr="00771E6E">
        <w:rPr>
          <w:rStyle w:val="a-size-medium"/>
          <w:color w:val="000000" w:themeColor="text1"/>
          <w:lang w:val="en-GB"/>
        </w:rPr>
        <w:t xml:space="preserve"> and Flora Dennis</w:t>
      </w:r>
      <w:r w:rsidRPr="00771E6E">
        <w:rPr>
          <w:rStyle w:val="a-size-medium"/>
          <w:color w:val="000000" w:themeColor="text1"/>
          <w:lang w:val="en-GB"/>
        </w:rPr>
        <w:t>,</w:t>
      </w:r>
      <w:r w:rsidR="007E6897" w:rsidRPr="00771E6E">
        <w:rPr>
          <w:rStyle w:val="a-size-medium"/>
          <w:color w:val="000000" w:themeColor="text1"/>
          <w:lang w:val="en-GB"/>
        </w:rPr>
        <w:t xml:space="preserve"> has shed light on domestic devotional practices and the presence of music within </w:t>
      </w:r>
      <w:r w:rsidR="007E6897" w:rsidRPr="00771E6E">
        <w:rPr>
          <w:rStyle w:val="a-size-medium"/>
          <w:color w:val="000000" w:themeColor="text1"/>
          <w:lang w:val="en-GB"/>
        </w:rPr>
        <w:lastRenderedPageBreak/>
        <w:t xml:space="preserve">the home, among </w:t>
      </w:r>
      <w:r w:rsidRPr="00771E6E">
        <w:rPr>
          <w:rStyle w:val="a-size-medium"/>
          <w:color w:val="000000" w:themeColor="text1"/>
          <w:lang w:val="en-GB"/>
        </w:rPr>
        <w:t xml:space="preserve">many </w:t>
      </w:r>
      <w:r w:rsidR="007E6897" w:rsidRPr="00771E6E">
        <w:rPr>
          <w:rStyle w:val="a-size-medium"/>
          <w:color w:val="000000" w:themeColor="text1"/>
          <w:lang w:val="en-GB"/>
        </w:rPr>
        <w:t>other topics</w:t>
      </w:r>
      <w:r w:rsidR="004F18A3" w:rsidRPr="00771E6E">
        <w:rPr>
          <w:rStyle w:val="a-size-medium"/>
          <w:color w:val="000000" w:themeColor="text1"/>
          <w:lang w:val="en-GB"/>
        </w:rPr>
        <w:t xml:space="preserve">. </w:t>
      </w:r>
      <w:r w:rsidRPr="00771E6E">
        <w:rPr>
          <w:rStyle w:val="a-size-medium"/>
          <w:color w:val="000000" w:themeColor="text1"/>
          <w:lang w:val="en-GB"/>
        </w:rPr>
        <w:t>Dennis’ study of music in the home was extended into an important essay on music rooms</w:t>
      </w:r>
      <w:r w:rsidRPr="00771E6E">
        <w:rPr>
          <w:lang w:val="en-GB"/>
        </w:rPr>
        <w:t xml:space="preserve">, published in the major anthology </w:t>
      </w:r>
      <w:r w:rsidRPr="00771E6E">
        <w:rPr>
          <w:i/>
          <w:iCs/>
        </w:rPr>
        <w:t>The Music Room in Early Modern France and Italy</w:t>
      </w:r>
      <w:r w:rsidRPr="00771E6E">
        <w:t xml:space="preserve"> (2012).</w:t>
      </w:r>
      <w:r w:rsidRPr="00771E6E">
        <w:rPr>
          <w:rFonts w:cs="Times New Roman"/>
          <w:color w:val="000000" w:themeColor="text1"/>
          <w:lang w:val="en-GB"/>
        </w:rPr>
        <w:t xml:space="preserve"> </w:t>
      </w:r>
      <w:r w:rsidR="00E96D6A" w:rsidRPr="00771E6E">
        <w:rPr>
          <w:rStyle w:val="a-size-medium"/>
          <w:color w:val="000000" w:themeColor="text1"/>
          <w:lang w:val="en-GB"/>
        </w:rPr>
        <w:t>In 2013, these topics were further developed in the c</w:t>
      </w:r>
      <w:r w:rsidR="00E96D6A" w:rsidRPr="00771E6E">
        <w:rPr>
          <w:rFonts w:cs="Times New Roman"/>
          <w:lang w:val="en-GB"/>
        </w:rPr>
        <w:t xml:space="preserve">ollection of essays </w:t>
      </w:r>
      <w:r w:rsidR="00E96D6A" w:rsidRPr="00771E6E">
        <w:rPr>
          <w:rStyle w:val="fn"/>
          <w:rFonts w:cs="Times New Roman"/>
          <w:i/>
          <w:color w:val="000000" w:themeColor="text1"/>
          <w:lang w:val="en-GB"/>
        </w:rPr>
        <w:t>The Early Modern Italian Domestic Interior, 1400-1700</w:t>
      </w:r>
      <w:r w:rsidR="00E96D6A" w:rsidRPr="00771E6E">
        <w:rPr>
          <w:rFonts w:cs="Times New Roman"/>
          <w:i/>
          <w:lang w:val="en-GB"/>
        </w:rPr>
        <w:t>.</w:t>
      </w:r>
      <w:r w:rsidR="00E96D6A" w:rsidRPr="00771E6E">
        <w:rPr>
          <w:rStyle w:val="apple-converted-space"/>
          <w:rFonts w:cs="Times New Roman"/>
          <w:i/>
          <w:color w:val="000000" w:themeColor="text1"/>
          <w:lang w:val="en-GB"/>
        </w:rPr>
        <w:t> </w:t>
      </w:r>
      <w:r w:rsidR="00E96D6A" w:rsidRPr="00771E6E">
        <w:rPr>
          <w:rStyle w:val="Subtitle1"/>
          <w:rFonts w:cs="Times New Roman"/>
          <w:bCs/>
          <w:i/>
          <w:color w:val="000000" w:themeColor="text1"/>
          <w:lang w:val="en-GB"/>
        </w:rPr>
        <w:t>Objects, Spaces, Domesticities</w:t>
      </w:r>
      <w:r w:rsidR="00E96D6A" w:rsidRPr="00771E6E">
        <w:rPr>
          <w:rStyle w:val="Subtitle1"/>
          <w:rFonts w:cs="Times New Roman"/>
          <w:bCs/>
          <w:color w:val="000000" w:themeColor="text1"/>
          <w:lang w:val="en-GB"/>
        </w:rPr>
        <w:t xml:space="preserve">, </w:t>
      </w:r>
      <w:r w:rsidR="00E96D6A" w:rsidRPr="00771E6E">
        <w:rPr>
          <w:lang w:val="en-GB"/>
        </w:rPr>
        <w:t xml:space="preserve">edited by Erin J. Campbell, Stephanie R. Miller and Elizabeth Carroll </w:t>
      </w:r>
      <w:proofErr w:type="spellStart"/>
      <w:r w:rsidR="00E96D6A" w:rsidRPr="00771E6E">
        <w:rPr>
          <w:lang w:val="en-GB"/>
        </w:rPr>
        <w:t>Consavari</w:t>
      </w:r>
      <w:proofErr w:type="spellEnd"/>
      <w:r w:rsidR="00E96D6A" w:rsidRPr="00771E6E">
        <w:rPr>
          <w:lang w:val="en-GB"/>
        </w:rPr>
        <w:t xml:space="preserve">, with each essay focusing on a different regional perspective. Of particular relevance to this </w:t>
      </w:r>
      <w:r w:rsidR="00F363EF" w:rsidRPr="00771E6E">
        <w:rPr>
          <w:lang w:val="en-GB"/>
        </w:rPr>
        <w:t>thesis</w:t>
      </w:r>
      <w:r w:rsidR="00E96D6A" w:rsidRPr="00771E6E">
        <w:rPr>
          <w:lang w:val="en-GB"/>
        </w:rPr>
        <w:t xml:space="preserve"> is Maria </w:t>
      </w:r>
      <w:proofErr w:type="spellStart"/>
      <w:r w:rsidR="00E96D6A" w:rsidRPr="00771E6E">
        <w:rPr>
          <w:lang w:val="en-GB"/>
        </w:rPr>
        <w:t>DePrano’s</w:t>
      </w:r>
      <w:proofErr w:type="spellEnd"/>
      <w:r w:rsidR="00E96D6A" w:rsidRPr="00771E6E">
        <w:rPr>
          <w:lang w:val="en-GB"/>
        </w:rPr>
        <w:t xml:space="preserve"> essay “‘Chi </w:t>
      </w:r>
      <w:proofErr w:type="spellStart"/>
      <w:r w:rsidR="00E96D6A" w:rsidRPr="00771E6E">
        <w:rPr>
          <w:lang w:val="en-GB"/>
        </w:rPr>
        <w:t>vuol</w:t>
      </w:r>
      <w:proofErr w:type="spellEnd"/>
      <w:r w:rsidR="00E96D6A" w:rsidRPr="00771E6E">
        <w:rPr>
          <w:lang w:val="en-GB"/>
        </w:rPr>
        <w:t xml:space="preserve"> </w:t>
      </w:r>
      <w:proofErr w:type="spellStart"/>
      <w:r w:rsidR="00E96D6A" w:rsidRPr="00771E6E">
        <w:rPr>
          <w:lang w:val="en-GB"/>
        </w:rPr>
        <w:t>esser</w:t>
      </w:r>
      <w:proofErr w:type="spellEnd"/>
      <w:r w:rsidR="00E96D6A" w:rsidRPr="00771E6E">
        <w:rPr>
          <w:lang w:val="en-GB"/>
        </w:rPr>
        <w:t xml:space="preserve"> </w:t>
      </w:r>
      <w:proofErr w:type="spellStart"/>
      <w:r w:rsidR="00E96D6A" w:rsidRPr="00771E6E">
        <w:rPr>
          <w:lang w:val="en-GB"/>
        </w:rPr>
        <w:t>lieto</w:t>
      </w:r>
      <w:proofErr w:type="spellEnd"/>
      <w:r w:rsidR="00E96D6A" w:rsidRPr="00771E6E">
        <w:rPr>
          <w:lang w:val="en-GB"/>
        </w:rPr>
        <w:t xml:space="preserve">, </w:t>
      </w:r>
      <w:proofErr w:type="spellStart"/>
      <w:r w:rsidR="00E96D6A" w:rsidRPr="00771E6E">
        <w:rPr>
          <w:lang w:val="en-GB"/>
        </w:rPr>
        <w:t>sia</w:t>
      </w:r>
      <w:proofErr w:type="spellEnd"/>
      <w:r w:rsidR="00E96D6A" w:rsidRPr="00771E6E">
        <w:rPr>
          <w:lang w:val="en-GB"/>
        </w:rPr>
        <w:t>’</w:t>
      </w:r>
      <w:r w:rsidR="00366F0E" w:rsidRPr="00771E6E">
        <w:rPr>
          <w:lang w:val="en-GB"/>
        </w:rPr>
        <w:t>:</w:t>
      </w:r>
      <w:r w:rsidR="00E96D6A" w:rsidRPr="00771E6E">
        <w:rPr>
          <w:lang w:val="en-GB"/>
        </w:rPr>
        <w:t xml:space="preserve"> Objects of Entertainment in the Tornabuoni Palace in Florence”, which gives an insight into </w:t>
      </w:r>
      <w:r w:rsidR="00F363EF" w:rsidRPr="00771E6E">
        <w:rPr>
          <w:lang w:val="en-GB"/>
        </w:rPr>
        <w:t>the</w:t>
      </w:r>
      <w:r w:rsidR="00E96D6A" w:rsidRPr="00771E6E">
        <w:rPr>
          <w:lang w:val="en-GB"/>
        </w:rPr>
        <w:t xml:space="preserve"> type</w:t>
      </w:r>
      <w:r w:rsidR="00F363EF" w:rsidRPr="00771E6E">
        <w:rPr>
          <w:lang w:val="en-GB"/>
        </w:rPr>
        <w:t>s</w:t>
      </w:r>
      <w:r w:rsidR="00E96D6A" w:rsidRPr="00771E6E">
        <w:rPr>
          <w:lang w:val="en-GB"/>
        </w:rPr>
        <w:t xml:space="preserve"> of musical instruments</w:t>
      </w:r>
      <w:r w:rsidR="00F363EF" w:rsidRPr="00771E6E">
        <w:rPr>
          <w:lang w:val="en-GB"/>
        </w:rPr>
        <w:t xml:space="preserve"> that</w:t>
      </w:r>
      <w:r w:rsidR="00E96D6A" w:rsidRPr="00771E6E">
        <w:rPr>
          <w:lang w:val="en-GB"/>
        </w:rPr>
        <w:t xml:space="preserve"> would have been kept in the domestic space, and in which room. </w:t>
      </w:r>
      <w:r w:rsidR="00A90888" w:rsidRPr="00771E6E">
        <w:rPr>
          <w:color w:val="000000" w:themeColor="text1"/>
          <w:lang w:val="en-GB"/>
        </w:rPr>
        <w:t xml:space="preserve">The aforementioned studies touch upon the importance of the involvement of physical senses in the experience of art, especially sight and hearing. The sense of touch is explored by Adrian W. B. Randolph’s </w:t>
      </w:r>
      <w:r w:rsidR="00A90888" w:rsidRPr="00771E6E">
        <w:rPr>
          <w:i/>
          <w:iCs/>
          <w:color w:val="000000" w:themeColor="text1"/>
          <w:lang w:val="en-GB"/>
        </w:rPr>
        <w:t xml:space="preserve">Touching Objects: </w:t>
      </w:r>
      <w:r w:rsidR="00A90888" w:rsidRPr="00771E6E">
        <w:rPr>
          <w:i/>
          <w:iCs/>
          <w:color w:val="000000" w:themeColor="text1"/>
        </w:rPr>
        <w:t xml:space="preserve">Intimate Experiences of Italian </w:t>
      </w:r>
      <w:r w:rsidR="00A90888" w:rsidRPr="00771E6E">
        <w:rPr>
          <w:i/>
          <w:iCs/>
          <w:color w:val="000000" w:themeColor="text1"/>
          <w:lang w:val="en-GB"/>
        </w:rPr>
        <w:t xml:space="preserve">Fifteenth-century Art </w:t>
      </w:r>
      <w:r w:rsidR="00A90888" w:rsidRPr="00771E6E">
        <w:rPr>
          <w:color w:val="000000" w:themeColor="text1"/>
          <w:lang w:val="en-GB"/>
        </w:rPr>
        <w:t xml:space="preserve">(2015), in which he </w:t>
      </w:r>
      <w:r w:rsidR="00143AB7" w:rsidRPr="00771E6E">
        <w:t xml:space="preserve">analyses works of arts in light of their multisensory </w:t>
      </w:r>
      <w:r w:rsidR="00143AB7" w:rsidRPr="00771E6E">
        <w:rPr>
          <w:color w:val="000000" w:themeColor="text1"/>
        </w:rPr>
        <w:t>potential</w:t>
      </w:r>
      <w:r w:rsidR="00A90888" w:rsidRPr="00771E6E">
        <w:rPr>
          <w:color w:val="000000" w:themeColor="text1"/>
          <w:lang w:val="en-GB"/>
        </w:rPr>
        <w:t xml:space="preserve">. </w:t>
      </w:r>
      <w:r w:rsidRPr="00771E6E">
        <w:rPr>
          <w:rFonts w:cs="Times New Roman"/>
          <w:color w:val="000000" w:themeColor="text1"/>
          <w:lang w:val="en-GB"/>
        </w:rPr>
        <w:t>Despite this extensive body of existing literature, figures of musical angels and their function have not been specifically included in studies on Florentine domestic art.</w:t>
      </w:r>
    </w:p>
    <w:p w14:paraId="1BAC382A" w14:textId="6ABAED9F" w:rsidR="005D02E6" w:rsidRPr="00771E6E" w:rsidRDefault="00996459">
      <w:pPr>
        <w:ind w:firstLine="720"/>
        <w:rPr>
          <w:lang w:val="it-IT"/>
        </w:rPr>
      </w:pPr>
      <w:r w:rsidRPr="00771E6E">
        <w:rPr>
          <w:lang w:val="en-GB"/>
        </w:rPr>
        <w:t>R</w:t>
      </w:r>
      <w:r w:rsidR="00E96D6A" w:rsidRPr="00771E6E">
        <w:rPr>
          <w:lang w:val="en-GB"/>
        </w:rPr>
        <w:t xml:space="preserve">ecently, a shift can be perceived within domestic studies from a strong focus on domestic art towards an increased awareness of devotional practices within the home. </w:t>
      </w:r>
      <w:r w:rsidR="00E96D6A" w:rsidRPr="00771E6E">
        <w:rPr>
          <w:rStyle w:val="a-size-medium"/>
          <w:color w:val="000000" w:themeColor="text1"/>
          <w:lang w:val="en-GB"/>
        </w:rPr>
        <w:t xml:space="preserve">Several recent studies </w:t>
      </w:r>
      <w:r w:rsidR="00E96D6A" w:rsidRPr="00771E6E">
        <w:rPr>
          <w:lang w:val="en-GB"/>
        </w:rPr>
        <w:t>have shed light on personal piety and the intimate relationship of the individual with the divine</w:t>
      </w:r>
      <w:r w:rsidR="00784EA5" w:rsidRPr="00771E6E">
        <w:rPr>
          <w:lang w:val="en-GB"/>
        </w:rPr>
        <w:t>,</w:t>
      </w:r>
      <w:r w:rsidR="00E96D6A" w:rsidRPr="00771E6E">
        <w:rPr>
          <w:rStyle w:val="a-size-medium"/>
          <w:color w:val="000000" w:themeColor="text1"/>
          <w:lang w:val="en-GB"/>
        </w:rPr>
        <w:t xml:space="preserve"> including publications which resulted from the </w:t>
      </w:r>
      <w:r w:rsidR="00E96D6A" w:rsidRPr="00771E6E">
        <w:rPr>
          <w:rFonts w:cs="Times New Roman"/>
          <w:lang w:val="en-GB"/>
        </w:rPr>
        <w:t xml:space="preserve">University of Cambridge research project “Domestic Devotion: the place of piety in the Italian Renaissance home” (2013-2016), led by Abigail </w:t>
      </w:r>
      <w:proofErr w:type="spellStart"/>
      <w:r w:rsidR="00E96D6A" w:rsidRPr="00771E6E">
        <w:rPr>
          <w:rFonts w:cs="Times New Roman"/>
          <w:lang w:val="en-GB"/>
        </w:rPr>
        <w:t>Brundin</w:t>
      </w:r>
      <w:proofErr w:type="spellEnd"/>
      <w:r w:rsidR="00E96D6A" w:rsidRPr="00771E6E">
        <w:rPr>
          <w:rFonts w:cs="Times New Roman"/>
          <w:lang w:val="en-GB"/>
        </w:rPr>
        <w:t xml:space="preserve">, Deborah Howard and Mary </w:t>
      </w:r>
      <w:proofErr w:type="spellStart"/>
      <w:r w:rsidR="00E96D6A" w:rsidRPr="00771E6E">
        <w:rPr>
          <w:rFonts w:cs="Times New Roman"/>
          <w:lang w:val="en-GB"/>
        </w:rPr>
        <w:t>Laven</w:t>
      </w:r>
      <w:proofErr w:type="spellEnd"/>
      <w:r w:rsidR="005D02E6" w:rsidRPr="00771E6E">
        <w:rPr>
          <w:rFonts w:cs="Times New Roman"/>
          <w:lang w:val="en-GB"/>
        </w:rPr>
        <w:t xml:space="preserve">: </w:t>
      </w:r>
      <w:r w:rsidR="005D02E6" w:rsidRPr="00771E6E">
        <w:rPr>
          <w:i/>
          <w:lang w:val="en-GB"/>
        </w:rPr>
        <w:t>The sacred home in Renaissance Italy</w:t>
      </w:r>
      <w:r w:rsidR="005D02E6" w:rsidRPr="00771E6E">
        <w:rPr>
          <w:rStyle w:val="a-size-medium"/>
          <w:color w:val="000000" w:themeColor="text1"/>
          <w:lang w:val="en-GB"/>
        </w:rPr>
        <w:t xml:space="preserve"> </w:t>
      </w:r>
      <w:r w:rsidR="005D02E6" w:rsidRPr="00771E6E">
        <w:rPr>
          <w:lang w:val="en-GB"/>
        </w:rPr>
        <w:t xml:space="preserve">(2018) and </w:t>
      </w:r>
      <w:r w:rsidR="005D02E6" w:rsidRPr="00771E6E">
        <w:rPr>
          <w:i/>
          <w:lang w:val="en-GB"/>
        </w:rPr>
        <w:t>Domestic devotions in Early Modern Italy</w:t>
      </w:r>
      <w:r w:rsidR="005D02E6" w:rsidRPr="00771E6E">
        <w:rPr>
          <w:lang w:val="en-GB"/>
        </w:rPr>
        <w:t xml:space="preserve">, edited by Maya Corry, Marco </w:t>
      </w:r>
      <w:proofErr w:type="spellStart"/>
      <w:r w:rsidR="005D02E6" w:rsidRPr="00771E6E">
        <w:rPr>
          <w:lang w:val="en-GB"/>
        </w:rPr>
        <w:t>Faini</w:t>
      </w:r>
      <w:proofErr w:type="spellEnd"/>
      <w:r w:rsidR="005D02E6" w:rsidRPr="00771E6E">
        <w:rPr>
          <w:lang w:val="en-GB"/>
        </w:rPr>
        <w:t xml:space="preserve"> and Alessia </w:t>
      </w:r>
      <w:proofErr w:type="spellStart"/>
      <w:r w:rsidR="005D02E6" w:rsidRPr="00771E6E">
        <w:rPr>
          <w:lang w:val="en-GB"/>
        </w:rPr>
        <w:t>Meneghin</w:t>
      </w:r>
      <w:proofErr w:type="spellEnd"/>
      <w:r w:rsidR="005D02E6" w:rsidRPr="00771E6E">
        <w:rPr>
          <w:lang w:val="en-GB"/>
        </w:rPr>
        <w:t xml:space="preserve">, both published in 2018. A similar approach was taken in the </w:t>
      </w:r>
      <w:r w:rsidR="00784EA5" w:rsidRPr="00771E6E">
        <w:rPr>
          <w:lang w:val="en-GB"/>
        </w:rPr>
        <w:t>anthology</w:t>
      </w:r>
      <w:r w:rsidR="005D02E6" w:rsidRPr="00771E6E">
        <w:rPr>
          <w:lang w:val="it-IT"/>
        </w:rPr>
        <w:t xml:space="preserve"> </w:t>
      </w:r>
      <w:r w:rsidR="005D02E6" w:rsidRPr="00771E6E">
        <w:rPr>
          <w:rFonts w:cs="Times New Roman"/>
          <w:i/>
          <w:iCs/>
          <w:lang w:val="it-IT"/>
        </w:rPr>
        <w:t>Pregare in casa: Oggetti e documenti della pratica religiosa tra Medioevo e Rinascimento</w:t>
      </w:r>
      <w:r w:rsidR="005D02E6" w:rsidRPr="00771E6E">
        <w:rPr>
          <w:rFonts w:cs="Times New Roman"/>
          <w:lang w:val="it-IT"/>
        </w:rPr>
        <w:t xml:space="preserve"> </w:t>
      </w:r>
      <w:r w:rsidR="005D02E6" w:rsidRPr="00771E6E">
        <w:rPr>
          <w:rFonts w:cs="Times New Roman"/>
        </w:rPr>
        <w:t xml:space="preserve">edited by </w:t>
      </w:r>
      <w:r w:rsidR="005D02E6" w:rsidRPr="00771E6E">
        <w:rPr>
          <w:rStyle w:val="Strong"/>
          <w:b w:val="0"/>
          <w:color w:val="000000" w:themeColor="text1"/>
        </w:rPr>
        <w:t xml:space="preserve">Giovanna </w:t>
      </w:r>
      <w:proofErr w:type="spellStart"/>
      <w:r w:rsidR="005D02E6" w:rsidRPr="00771E6E">
        <w:rPr>
          <w:rStyle w:val="Strong"/>
          <w:b w:val="0"/>
          <w:color w:val="000000" w:themeColor="text1"/>
        </w:rPr>
        <w:t>Baldissin</w:t>
      </w:r>
      <w:proofErr w:type="spellEnd"/>
      <w:r w:rsidR="005D02E6" w:rsidRPr="00771E6E">
        <w:rPr>
          <w:rStyle w:val="Strong"/>
          <w:b w:val="0"/>
          <w:color w:val="000000" w:themeColor="text1"/>
        </w:rPr>
        <w:t xml:space="preserve"> </w:t>
      </w:r>
      <w:proofErr w:type="spellStart"/>
      <w:r w:rsidR="005D02E6" w:rsidRPr="00771E6E">
        <w:rPr>
          <w:rStyle w:val="Strong"/>
          <w:b w:val="0"/>
          <w:color w:val="000000" w:themeColor="text1"/>
        </w:rPr>
        <w:t>Molli</w:t>
      </w:r>
      <w:proofErr w:type="spellEnd"/>
      <w:r w:rsidR="005D02E6" w:rsidRPr="00771E6E">
        <w:rPr>
          <w:rStyle w:val="Strong"/>
          <w:b w:val="0"/>
          <w:color w:val="000000" w:themeColor="text1"/>
        </w:rPr>
        <w:t>, Cr</w:t>
      </w:r>
      <w:r w:rsidR="003C08C3" w:rsidRPr="00771E6E">
        <w:rPr>
          <w:rStyle w:val="Strong"/>
          <w:b w:val="0"/>
          <w:color w:val="000000" w:themeColor="text1"/>
        </w:rPr>
        <w:t>i</w:t>
      </w:r>
      <w:r w:rsidR="005D02E6" w:rsidRPr="00771E6E">
        <w:rPr>
          <w:rStyle w:val="Strong"/>
          <w:b w:val="0"/>
          <w:color w:val="000000" w:themeColor="text1"/>
        </w:rPr>
        <w:t xml:space="preserve">stina </w:t>
      </w:r>
      <w:proofErr w:type="spellStart"/>
      <w:r w:rsidR="005D02E6" w:rsidRPr="00771E6E">
        <w:rPr>
          <w:rStyle w:val="Strong"/>
          <w:b w:val="0"/>
          <w:color w:val="000000" w:themeColor="text1"/>
        </w:rPr>
        <w:t>Guarnieri</w:t>
      </w:r>
      <w:proofErr w:type="spellEnd"/>
      <w:r w:rsidR="005D02E6" w:rsidRPr="00771E6E">
        <w:rPr>
          <w:rStyle w:val="Strong"/>
          <w:b w:val="0"/>
          <w:color w:val="000000" w:themeColor="text1"/>
        </w:rPr>
        <w:t xml:space="preserve"> and Zuleika Murat</w:t>
      </w:r>
      <w:r w:rsidR="005D02E6" w:rsidRPr="00771E6E">
        <w:rPr>
          <w:rStyle w:val="Strong"/>
          <w:color w:val="000000" w:themeColor="text1"/>
        </w:rPr>
        <w:t xml:space="preserve"> </w:t>
      </w:r>
      <w:r w:rsidR="005D02E6" w:rsidRPr="00771E6E">
        <w:rPr>
          <w:rStyle w:val="Strong"/>
          <w:b w:val="0"/>
          <w:color w:val="000000" w:themeColor="text1"/>
        </w:rPr>
        <w:t>(</w:t>
      </w:r>
      <w:r w:rsidR="005D02E6" w:rsidRPr="00771E6E">
        <w:t>2018)</w:t>
      </w:r>
      <w:r w:rsidR="005D02E6" w:rsidRPr="00771E6E">
        <w:rPr>
          <w:lang w:val="it-IT"/>
        </w:rPr>
        <w:t>.</w:t>
      </w:r>
    </w:p>
    <w:p w14:paraId="38F36E56" w14:textId="77777777" w:rsidR="00120FC5" w:rsidRPr="00771E6E" w:rsidRDefault="005E2225">
      <w:pPr>
        <w:ind w:firstLine="720"/>
        <w:rPr>
          <w:rFonts w:cs="Times New Roman"/>
          <w:lang w:val="en-GB"/>
        </w:rPr>
      </w:pPr>
      <w:r w:rsidRPr="00771E6E">
        <w:rPr>
          <w:lang w:val="en-GB"/>
        </w:rPr>
        <w:t>Al</w:t>
      </w:r>
      <w:r w:rsidR="00E96D6A" w:rsidRPr="00771E6E">
        <w:rPr>
          <w:lang w:val="en-GB"/>
        </w:rPr>
        <w:t xml:space="preserve">though these publications </w:t>
      </w:r>
      <w:r w:rsidR="00921EA7" w:rsidRPr="00771E6E">
        <w:rPr>
          <w:lang w:val="en-GB"/>
        </w:rPr>
        <w:t xml:space="preserve">focus solely on </w:t>
      </w:r>
      <w:r w:rsidR="00E96D6A" w:rsidRPr="00771E6E">
        <w:rPr>
          <w:lang w:val="en-GB"/>
        </w:rPr>
        <w:t xml:space="preserve">devotional practices within the home, surprisingly none of them </w:t>
      </w:r>
      <w:r w:rsidR="00784EA5" w:rsidRPr="00771E6E">
        <w:rPr>
          <w:lang w:val="en-GB"/>
        </w:rPr>
        <w:t>consider</w:t>
      </w:r>
      <w:r w:rsidR="00E96D6A" w:rsidRPr="00771E6E">
        <w:rPr>
          <w:lang w:val="en-GB"/>
        </w:rPr>
        <w:t xml:space="preserve"> the function of musical angels within th</w:t>
      </w:r>
      <w:r w:rsidRPr="00771E6E">
        <w:rPr>
          <w:lang w:val="en-GB"/>
        </w:rPr>
        <w:t>e home</w:t>
      </w:r>
      <w:r w:rsidR="00E96D6A" w:rsidRPr="00771E6E">
        <w:rPr>
          <w:lang w:val="en-GB"/>
        </w:rPr>
        <w:t>.</w:t>
      </w:r>
      <w:r w:rsidR="00DF3BA3" w:rsidRPr="00771E6E">
        <w:rPr>
          <w:lang w:val="en-GB"/>
        </w:rPr>
        <w:t xml:space="preserve"> </w:t>
      </w:r>
      <w:r w:rsidR="00DF3BA3" w:rsidRPr="00771E6E">
        <w:rPr>
          <w:rFonts w:cs="Times New Roman"/>
          <w:lang w:val="en-GB"/>
        </w:rPr>
        <w:t>This thesis will s</w:t>
      </w:r>
      <w:r w:rsidR="00A94006" w:rsidRPr="00771E6E">
        <w:rPr>
          <w:rFonts w:cs="Times New Roman"/>
          <w:lang w:val="en-GB"/>
        </w:rPr>
        <w:t xml:space="preserve">eek to </w:t>
      </w:r>
      <w:r w:rsidR="00DF3BA3" w:rsidRPr="00771E6E">
        <w:rPr>
          <w:rFonts w:cs="Times New Roman"/>
          <w:lang w:val="en-GB"/>
        </w:rPr>
        <w:t xml:space="preserve">contribute to the </w:t>
      </w:r>
      <w:r w:rsidR="00A94006" w:rsidRPr="00771E6E">
        <w:rPr>
          <w:rFonts w:cs="Times New Roman"/>
          <w:lang w:val="en-GB"/>
        </w:rPr>
        <w:t xml:space="preserve">current </w:t>
      </w:r>
      <w:r w:rsidR="00C1183B" w:rsidRPr="00771E6E">
        <w:rPr>
          <w:rFonts w:cs="Times New Roman"/>
          <w:lang w:val="en-GB"/>
        </w:rPr>
        <w:t xml:space="preserve">body of </w:t>
      </w:r>
      <w:r w:rsidR="00A94006" w:rsidRPr="00771E6E">
        <w:rPr>
          <w:rFonts w:cs="Times New Roman"/>
          <w:lang w:val="en-GB"/>
        </w:rPr>
        <w:t>research</w:t>
      </w:r>
      <w:r w:rsidR="00DF3BA3" w:rsidRPr="00771E6E">
        <w:rPr>
          <w:rFonts w:cs="Times New Roman"/>
          <w:lang w:val="en-GB"/>
        </w:rPr>
        <w:t xml:space="preserve"> by </w:t>
      </w:r>
      <w:r w:rsidR="0060194A" w:rsidRPr="00771E6E">
        <w:rPr>
          <w:rFonts w:cs="Times New Roman"/>
          <w:lang w:val="en-GB"/>
        </w:rPr>
        <w:t xml:space="preserve">undertaking an interdisciplinary investigation into </w:t>
      </w:r>
      <w:r w:rsidR="00DF3BA3" w:rsidRPr="00771E6E">
        <w:rPr>
          <w:rFonts w:cs="Times New Roman"/>
          <w:lang w:val="en-GB"/>
        </w:rPr>
        <w:t xml:space="preserve">the </w:t>
      </w:r>
      <w:r w:rsidR="00A94006" w:rsidRPr="00771E6E">
        <w:rPr>
          <w:rFonts w:cs="Times New Roman"/>
          <w:lang w:val="en-GB"/>
        </w:rPr>
        <w:t xml:space="preserve">role played in a child’s education by these </w:t>
      </w:r>
      <w:r w:rsidR="00C1183B" w:rsidRPr="00771E6E">
        <w:rPr>
          <w:rFonts w:cs="Times New Roman"/>
          <w:lang w:val="en-GB"/>
        </w:rPr>
        <w:t xml:space="preserve">musical </w:t>
      </w:r>
      <w:r w:rsidR="00A94006" w:rsidRPr="00771E6E">
        <w:rPr>
          <w:rFonts w:cs="Times New Roman"/>
          <w:lang w:val="en-GB"/>
        </w:rPr>
        <w:t xml:space="preserve">companions within the </w:t>
      </w:r>
      <w:r w:rsidR="00193840" w:rsidRPr="00771E6E">
        <w:rPr>
          <w:rFonts w:cs="Times New Roman"/>
          <w:lang w:val="en-GB"/>
        </w:rPr>
        <w:t xml:space="preserve">Florentine </w:t>
      </w:r>
      <w:r w:rsidR="00A94006" w:rsidRPr="00771E6E">
        <w:rPr>
          <w:rFonts w:cs="Times New Roman"/>
          <w:lang w:val="en-GB"/>
        </w:rPr>
        <w:t>Rena</w:t>
      </w:r>
      <w:r w:rsidR="00DF3BA3" w:rsidRPr="00771E6E">
        <w:rPr>
          <w:rFonts w:cs="Times New Roman"/>
          <w:lang w:val="en-GB"/>
        </w:rPr>
        <w:t>i</w:t>
      </w:r>
      <w:r w:rsidR="00A94006" w:rsidRPr="00771E6E">
        <w:rPr>
          <w:rFonts w:cs="Times New Roman"/>
          <w:lang w:val="en-GB"/>
        </w:rPr>
        <w:t>ssan</w:t>
      </w:r>
      <w:r w:rsidR="00DF3BA3" w:rsidRPr="00771E6E">
        <w:rPr>
          <w:rFonts w:cs="Times New Roman"/>
          <w:lang w:val="en-GB"/>
        </w:rPr>
        <w:t>ce</w:t>
      </w:r>
      <w:r w:rsidR="00A94006" w:rsidRPr="00771E6E">
        <w:rPr>
          <w:rFonts w:cs="Times New Roman"/>
          <w:lang w:val="en-GB"/>
        </w:rPr>
        <w:t xml:space="preserve"> home</w:t>
      </w:r>
      <w:r w:rsidR="00DF3BA3" w:rsidRPr="00771E6E">
        <w:rPr>
          <w:rFonts w:cs="Times New Roman"/>
          <w:lang w:val="en-GB"/>
        </w:rPr>
        <w:t xml:space="preserve">. </w:t>
      </w:r>
    </w:p>
    <w:p w14:paraId="6DDCB33B" w14:textId="217C0AAA" w:rsidR="00F01DAC" w:rsidRPr="00771E6E" w:rsidRDefault="005E2225">
      <w:pPr>
        <w:ind w:firstLine="720"/>
        <w:rPr>
          <w:rFonts w:cs="Times New Roman"/>
          <w:lang w:val="en-GB"/>
        </w:rPr>
      </w:pPr>
      <w:r w:rsidRPr="00771E6E">
        <w:rPr>
          <w:rFonts w:cs="Times New Roman"/>
          <w:lang w:val="en-GB"/>
        </w:rPr>
        <w:t>Little, if any, direct</w:t>
      </w:r>
      <w:r w:rsidR="00F01DAC" w:rsidRPr="00771E6E">
        <w:rPr>
          <w:rFonts w:cs="Times New Roman"/>
          <w:lang w:val="en-GB"/>
        </w:rPr>
        <w:t xml:space="preserve"> written evidence </w:t>
      </w:r>
      <w:r w:rsidR="00921EA7" w:rsidRPr="00771E6E">
        <w:rPr>
          <w:rFonts w:cs="Times New Roman"/>
          <w:lang w:val="en-GB"/>
        </w:rPr>
        <w:t xml:space="preserve">upon this topic </w:t>
      </w:r>
      <w:r w:rsidR="00F01DAC" w:rsidRPr="00771E6E">
        <w:rPr>
          <w:rFonts w:cs="Times New Roman"/>
          <w:lang w:val="en-GB"/>
        </w:rPr>
        <w:t xml:space="preserve">survives, and </w:t>
      </w:r>
      <w:r w:rsidR="00921EA7" w:rsidRPr="00771E6E">
        <w:rPr>
          <w:rFonts w:cs="Times New Roman"/>
          <w:lang w:val="en-GB"/>
        </w:rPr>
        <w:t xml:space="preserve">therefore establishing a comprehensive understanding of the context </w:t>
      </w:r>
      <w:r w:rsidR="00F01DAC" w:rsidRPr="00771E6E">
        <w:rPr>
          <w:rFonts w:cs="Times New Roman"/>
          <w:lang w:val="en-GB"/>
        </w:rPr>
        <w:t xml:space="preserve">is crucial. The validity of the </w:t>
      </w:r>
      <w:r w:rsidR="00F01DAC" w:rsidRPr="00771E6E">
        <w:rPr>
          <w:rFonts w:cs="Times New Roman"/>
          <w:lang w:val="en-GB"/>
        </w:rPr>
        <w:lastRenderedPageBreak/>
        <w:t>broad argument presented in this thesis is estab</w:t>
      </w:r>
      <w:r w:rsidR="000172B9" w:rsidRPr="00771E6E">
        <w:rPr>
          <w:rFonts w:cs="Times New Roman"/>
          <w:lang w:val="en-GB"/>
        </w:rPr>
        <w:t>li</w:t>
      </w:r>
      <w:r w:rsidR="00F01DAC" w:rsidRPr="00771E6E">
        <w:rPr>
          <w:rFonts w:cs="Times New Roman"/>
          <w:lang w:val="en-GB"/>
        </w:rPr>
        <w:t xml:space="preserve">shed in Chapters 1 and 2 </w:t>
      </w:r>
      <w:r w:rsidR="009F6711" w:rsidRPr="00771E6E">
        <w:rPr>
          <w:rFonts w:cs="Times New Roman"/>
          <w:lang w:val="en-GB"/>
        </w:rPr>
        <w:t>b</w:t>
      </w:r>
      <w:r w:rsidR="00921EA7" w:rsidRPr="00771E6E">
        <w:rPr>
          <w:rFonts w:cs="Times New Roman"/>
          <w:lang w:val="en-GB"/>
        </w:rPr>
        <w:t>y combining</w:t>
      </w:r>
      <w:r w:rsidR="00F01DAC" w:rsidRPr="00771E6E">
        <w:rPr>
          <w:rFonts w:cs="Times New Roman"/>
          <w:lang w:val="en-GB"/>
        </w:rPr>
        <w:t xml:space="preserve"> several contemporary perspectives which individually are very well attested, and which together strongly imply that young viewers en</w:t>
      </w:r>
      <w:r w:rsidR="00EB48E6" w:rsidRPr="00771E6E">
        <w:rPr>
          <w:rFonts w:cs="Times New Roman"/>
          <w:lang w:val="en-GB"/>
        </w:rPr>
        <w:t>c</w:t>
      </w:r>
      <w:r w:rsidR="00F01DAC" w:rsidRPr="00771E6E">
        <w:rPr>
          <w:rFonts w:cs="Times New Roman"/>
          <w:lang w:val="en-GB"/>
        </w:rPr>
        <w:t xml:space="preserve">ountering </w:t>
      </w:r>
      <w:r w:rsidR="00710E1C" w:rsidRPr="00771E6E">
        <w:rPr>
          <w:rFonts w:cs="Times New Roman"/>
          <w:lang w:val="en-GB"/>
        </w:rPr>
        <w:t xml:space="preserve">youthful </w:t>
      </w:r>
      <w:r w:rsidR="00F01DAC" w:rsidRPr="00771E6E">
        <w:rPr>
          <w:rFonts w:cs="Times New Roman"/>
          <w:lang w:val="en-GB"/>
        </w:rPr>
        <w:t xml:space="preserve">musical angels in their domestic environment </w:t>
      </w:r>
      <w:r w:rsidR="00921EA7" w:rsidRPr="00771E6E">
        <w:rPr>
          <w:rFonts w:cs="Times New Roman"/>
          <w:lang w:val="en-GB"/>
        </w:rPr>
        <w:t>would</w:t>
      </w:r>
      <w:r w:rsidR="00F01DAC" w:rsidRPr="00771E6E">
        <w:rPr>
          <w:rFonts w:cs="Times New Roman"/>
          <w:lang w:val="en-GB"/>
        </w:rPr>
        <w:t xml:space="preserve"> see them as an invitation to emulate their behaviour, in its musical as well as its devotional and ethical dimensions. </w:t>
      </w:r>
      <w:r w:rsidR="00B455A1" w:rsidRPr="00771E6E">
        <w:rPr>
          <w:rFonts w:cs="Times New Roman"/>
          <w:lang w:val="en-GB"/>
        </w:rPr>
        <w:t xml:space="preserve">Chapter 1 considers educative practices in the domestic sphere from childbirth, especially as they pertain to the acquisition of the skill of moral judgement. The importance of the imitation of </w:t>
      </w:r>
      <w:r w:rsidR="00B455A1" w:rsidRPr="00771E6E">
        <w:rPr>
          <w:rFonts w:cs="Times New Roman"/>
          <w:i/>
          <w:lang w:val="en-GB"/>
        </w:rPr>
        <w:t>exempla</w:t>
      </w:r>
      <w:r w:rsidR="00B455A1" w:rsidRPr="00771E6E">
        <w:rPr>
          <w:rFonts w:cs="Times New Roman"/>
          <w:lang w:val="en-GB"/>
        </w:rPr>
        <w:t xml:space="preserve"> in contemporary theories of education is highlighted. T</w:t>
      </w:r>
      <w:r w:rsidR="00193840" w:rsidRPr="00771E6E">
        <w:rPr>
          <w:rFonts w:cs="Times New Roman"/>
          <w:lang w:val="en-GB"/>
        </w:rPr>
        <w:t>wo</w:t>
      </w:r>
      <w:r w:rsidR="00B455A1" w:rsidRPr="00771E6E">
        <w:rPr>
          <w:rFonts w:cs="Times New Roman"/>
          <w:lang w:val="en-GB"/>
        </w:rPr>
        <w:t xml:space="preserve"> sections of the chapter run in parallel, showing that Italians considered both images and music to be morally </w:t>
      </w:r>
      <w:r w:rsidR="004B02AD" w:rsidRPr="00771E6E">
        <w:rPr>
          <w:rFonts w:cs="Times New Roman"/>
          <w:lang w:val="en-GB"/>
        </w:rPr>
        <w:t>e</w:t>
      </w:r>
      <w:r w:rsidR="00B455A1" w:rsidRPr="00771E6E">
        <w:rPr>
          <w:rFonts w:cs="Times New Roman"/>
          <w:lang w:val="en-GB"/>
        </w:rPr>
        <w:t xml:space="preserve">ffective, and indeed that childhood instruction in music was commonly advised as a means of cultivating moral judgement. </w:t>
      </w:r>
      <w:r w:rsidR="00193840" w:rsidRPr="00771E6E">
        <w:rPr>
          <w:rFonts w:cs="Times New Roman"/>
          <w:lang w:val="en-GB"/>
        </w:rPr>
        <w:t xml:space="preserve">A final section serves to establish the kinds of musical instruments found in the home, their disposition </w:t>
      </w:r>
      <w:r w:rsidR="00143AB7" w:rsidRPr="00771E6E">
        <w:t>throughout the house</w:t>
      </w:r>
      <w:r w:rsidR="00143AB7" w:rsidRPr="00771E6E">
        <w:rPr>
          <w:rStyle w:val="CommentReference"/>
        </w:rPr>
        <w:t xml:space="preserve"> </w:t>
      </w:r>
      <w:r w:rsidR="00193840" w:rsidRPr="00771E6E">
        <w:rPr>
          <w:rFonts w:cs="Times New Roman"/>
          <w:lang w:val="en-GB"/>
        </w:rPr>
        <w:t xml:space="preserve">and their relation to younger members of the family. </w:t>
      </w:r>
      <w:r w:rsidR="00ED541F" w:rsidRPr="00771E6E">
        <w:rPr>
          <w:rFonts w:cs="Times New Roman"/>
          <w:lang w:val="en-GB"/>
        </w:rPr>
        <w:t xml:space="preserve">Chapter 2 presents contemporary perspectives on angels, focussing especially on the wide acceptance of </w:t>
      </w:r>
      <w:r w:rsidR="00545D1B" w:rsidRPr="00771E6E">
        <w:rPr>
          <w:rFonts w:cs="Times New Roman"/>
          <w:lang w:val="en-GB"/>
        </w:rPr>
        <w:t>these figures</w:t>
      </w:r>
      <w:r w:rsidR="00ED541F" w:rsidRPr="00771E6E">
        <w:rPr>
          <w:rFonts w:cs="Times New Roman"/>
          <w:lang w:val="en-GB"/>
        </w:rPr>
        <w:t xml:space="preserve"> as exemplary beings, and as guides and teachers. The common association of angels with children is noted, for example in the casting of theatrical performances.</w:t>
      </w:r>
      <w:r w:rsidR="001836EE" w:rsidRPr="00771E6E">
        <w:rPr>
          <w:rFonts w:cs="Times New Roman"/>
          <w:lang w:val="en-GB"/>
        </w:rPr>
        <w:t xml:space="preserve"> This combination of contextual perspectives, built upon an extremely large portfolio of primary sources, </w:t>
      </w:r>
      <w:r w:rsidR="00921EA7" w:rsidRPr="00771E6E">
        <w:rPr>
          <w:rFonts w:cs="Times New Roman"/>
          <w:lang w:val="en-GB"/>
        </w:rPr>
        <w:t xml:space="preserve">establishes a frame of reference </w:t>
      </w:r>
      <w:r w:rsidR="001836EE" w:rsidRPr="00771E6E">
        <w:rPr>
          <w:rFonts w:cs="Times New Roman"/>
          <w:lang w:val="en-GB"/>
        </w:rPr>
        <w:t>in which the interpretations of individual artworks put forward in the following two chapters appear legitimate and plausible.</w:t>
      </w:r>
    </w:p>
    <w:p w14:paraId="46D4BE0B" w14:textId="77F8D13F" w:rsidR="003B0A3F" w:rsidRPr="00771E6E" w:rsidRDefault="003B0A3F" w:rsidP="004B02AD">
      <w:pPr>
        <w:ind w:firstLine="720"/>
        <w:rPr>
          <w:rFonts w:cs="Times New Roman"/>
          <w:lang w:val="en-GB"/>
        </w:rPr>
      </w:pPr>
      <w:r w:rsidRPr="00771E6E">
        <w:rPr>
          <w:rFonts w:cs="Times New Roman"/>
          <w:lang w:val="en-GB"/>
        </w:rPr>
        <w:t>Chapters 3 and 4 take different approaches to overcoming the challenge of locating individual artworks within a domestic</w:t>
      </w:r>
      <w:r w:rsidR="004B02AD" w:rsidRPr="00771E6E">
        <w:rPr>
          <w:rFonts w:cs="Times New Roman"/>
          <w:lang w:val="en-GB"/>
        </w:rPr>
        <w:t xml:space="preserve"> – </w:t>
      </w:r>
      <w:r w:rsidRPr="00771E6E">
        <w:rPr>
          <w:rFonts w:cs="Times New Roman"/>
          <w:lang w:val="en-GB"/>
        </w:rPr>
        <w:t>as opposed to ecclesiastical or institutional</w:t>
      </w:r>
      <w:r w:rsidR="004B02AD" w:rsidRPr="00771E6E">
        <w:rPr>
          <w:rFonts w:cs="Times New Roman"/>
          <w:lang w:val="en-GB"/>
        </w:rPr>
        <w:t xml:space="preserve"> – </w:t>
      </w:r>
      <w:r w:rsidRPr="00771E6E">
        <w:rPr>
          <w:rFonts w:cs="Times New Roman"/>
          <w:lang w:val="en-GB"/>
        </w:rPr>
        <w:t xml:space="preserve">context. </w:t>
      </w:r>
      <w:r w:rsidR="00292865" w:rsidRPr="00771E6E">
        <w:rPr>
          <w:rFonts w:cs="Times New Roman"/>
          <w:lang w:val="en-GB"/>
        </w:rPr>
        <w:t xml:space="preserve">Chapter 3 takes inspiration from Roberta Olson’s study of the </w:t>
      </w:r>
      <w:r w:rsidR="00292865" w:rsidRPr="00771E6E">
        <w:rPr>
          <w:rFonts w:cs="Times New Roman"/>
          <w:i/>
          <w:lang w:val="en-GB"/>
        </w:rPr>
        <w:t>tondo</w:t>
      </w:r>
      <w:r w:rsidR="00292865" w:rsidRPr="00771E6E">
        <w:rPr>
          <w:rFonts w:cs="Times New Roman"/>
          <w:lang w:val="en-GB"/>
        </w:rPr>
        <w:t xml:space="preserve"> as an art format associated particularly with domestic devotion</w:t>
      </w:r>
      <w:r w:rsidR="00B14EEF" w:rsidRPr="00771E6E">
        <w:rPr>
          <w:rFonts w:cs="Times New Roman"/>
          <w:lang w:val="en-GB"/>
        </w:rPr>
        <w:t xml:space="preserve">, </w:t>
      </w:r>
      <w:r w:rsidR="00B14EEF" w:rsidRPr="00771E6E">
        <w:rPr>
          <w:rFonts w:cs="Times New Roman"/>
          <w:i/>
          <w:lang w:val="en-GB"/>
        </w:rPr>
        <w:t>The Florentine Tondo</w:t>
      </w:r>
      <w:r w:rsidR="00B14EEF" w:rsidRPr="00771E6E">
        <w:rPr>
          <w:rFonts w:cs="Times New Roman"/>
          <w:iCs/>
          <w:lang w:val="en-GB"/>
        </w:rPr>
        <w:t xml:space="preserve"> (2000)</w:t>
      </w:r>
      <w:r w:rsidR="00292865" w:rsidRPr="00771E6E">
        <w:rPr>
          <w:rFonts w:cs="Times New Roman"/>
          <w:lang w:val="en-GB"/>
        </w:rPr>
        <w:t xml:space="preserve">. Following a review of the evidence placing </w:t>
      </w:r>
      <w:r w:rsidR="00292865" w:rsidRPr="00771E6E">
        <w:rPr>
          <w:rFonts w:cs="Times New Roman"/>
          <w:i/>
          <w:iCs/>
          <w:lang w:val="en-GB"/>
        </w:rPr>
        <w:t>tondi</w:t>
      </w:r>
      <w:r w:rsidR="00292865" w:rsidRPr="00771E6E">
        <w:rPr>
          <w:rFonts w:cs="Times New Roman"/>
          <w:lang w:val="en-GB"/>
        </w:rPr>
        <w:t xml:space="preserve"> in the home, th</w:t>
      </w:r>
      <w:r w:rsidR="00286200" w:rsidRPr="00771E6E">
        <w:rPr>
          <w:rFonts w:cs="Times New Roman"/>
          <w:lang w:val="en-GB"/>
        </w:rPr>
        <w:t>is</w:t>
      </w:r>
      <w:r w:rsidR="00292865" w:rsidRPr="00771E6E">
        <w:rPr>
          <w:rFonts w:cs="Times New Roman"/>
          <w:lang w:val="en-GB"/>
        </w:rPr>
        <w:t xml:space="preserve"> chapter develops Olson’s suggestion that the morphological relationship between </w:t>
      </w:r>
      <w:r w:rsidR="00292865" w:rsidRPr="00771E6E">
        <w:rPr>
          <w:rFonts w:cs="Times New Roman"/>
          <w:i/>
          <w:lang w:val="en-GB"/>
        </w:rPr>
        <w:t>tondi</w:t>
      </w:r>
      <w:r w:rsidR="00292865" w:rsidRPr="00771E6E">
        <w:rPr>
          <w:rFonts w:cs="Times New Roman"/>
          <w:lang w:val="en-GB"/>
        </w:rPr>
        <w:t xml:space="preserve"> and circular mirrors offers a powerful metaphor for artworks that were intended to function as moral “mirrors” for their viewers. The chapter then presents detailed interpretations of several Florentine </w:t>
      </w:r>
      <w:r w:rsidR="00292865" w:rsidRPr="00771E6E">
        <w:rPr>
          <w:rFonts w:cs="Times New Roman"/>
          <w:i/>
          <w:iCs/>
          <w:lang w:val="en-GB"/>
        </w:rPr>
        <w:t>tondi</w:t>
      </w:r>
      <w:r w:rsidR="00292865" w:rsidRPr="00771E6E">
        <w:rPr>
          <w:rFonts w:cs="Times New Roman"/>
          <w:lang w:val="en-GB"/>
        </w:rPr>
        <w:t xml:space="preserve"> that feature musical angels</w:t>
      </w:r>
      <w:r w:rsidR="00B14EEF" w:rsidRPr="00771E6E">
        <w:rPr>
          <w:rFonts w:cs="Times New Roman"/>
          <w:lang w:val="en-GB"/>
        </w:rPr>
        <w:t>, including examples by Sandro Botticelli, Filippino Lippi and Raffaellino del Garbo</w:t>
      </w:r>
      <w:r w:rsidR="00292865" w:rsidRPr="00771E6E">
        <w:rPr>
          <w:rFonts w:cs="Times New Roman"/>
          <w:lang w:val="en-GB"/>
        </w:rPr>
        <w:t>.</w:t>
      </w:r>
      <w:r w:rsidR="0090546B" w:rsidRPr="00771E6E">
        <w:rPr>
          <w:rFonts w:cs="Times New Roman"/>
          <w:lang w:val="en-GB"/>
        </w:rPr>
        <w:t xml:space="preserve"> Chapter 4 considers other kinds of artwork for which a domestic setting can be presumed, including domestic furniture, architectural mouldings, mural painting, and mass-produced images, in order to </w:t>
      </w:r>
      <w:r w:rsidR="00921EA7" w:rsidRPr="00771E6E">
        <w:rPr>
          <w:rFonts w:cs="Times New Roman"/>
          <w:lang w:val="en-GB"/>
        </w:rPr>
        <w:t xml:space="preserve">provide </w:t>
      </w:r>
      <w:r w:rsidR="0090546B" w:rsidRPr="00771E6E">
        <w:rPr>
          <w:rFonts w:cs="Times New Roman"/>
          <w:lang w:val="en-GB"/>
        </w:rPr>
        <w:t>a</w:t>
      </w:r>
      <w:r w:rsidR="00921EA7" w:rsidRPr="00771E6E">
        <w:rPr>
          <w:rFonts w:cs="Times New Roman"/>
          <w:lang w:val="en-GB"/>
        </w:rPr>
        <w:t xml:space="preserve"> </w:t>
      </w:r>
      <w:r w:rsidR="0090546B" w:rsidRPr="00771E6E">
        <w:rPr>
          <w:rFonts w:cs="Times New Roman"/>
          <w:lang w:val="en-GB"/>
        </w:rPr>
        <w:t>sense of the ubiquity of musical angels in Florentine interiors.</w:t>
      </w:r>
    </w:p>
    <w:p w14:paraId="6A8B7D24" w14:textId="17C14E27" w:rsidR="00B14EEF" w:rsidRPr="00771E6E" w:rsidRDefault="009E49CD">
      <w:pPr>
        <w:ind w:firstLine="720"/>
        <w:rPr>
          <w:rFonts w:cs="Times New Roman"/>
          <w:lang w:val="en-GB"/>
        </w:rPr>
      </w:pPr>
      <w:r w:rsidRPr="00771E6E">
        <w:rPr>
          <w:rFonts w:cs="Times New Roman"/>
          <w:lang w:val="en-GB"/>
        </w:rPr>
        <w:t>In sum, this thesis build</w:t>
      </w:r>
      <w:r w:rsidR="00D528B3" w:rsidRPr="00771E6E">
        <w:rPr>
          <w:rFonts w:cs="Times New Roman"/>
          <w:lang w:val="en-GB"/>
        </w:rPr>
        <w:t>s</w:t>
      </w:r>
      <w:r w:rsidRPr="00771E6E">
        <w:rPr>
          <w:rFonts w:cs="Times New Roman"/>
          <w:lang w:val="en-GB"/>
        </w:rPr>
        <w:t xml:space="preserve"> upon</w:t>
      </w:r>
      <w:r w:rsidR="00D528B3" w:rsidRPr="00771E6E">
        <w:rPr>
          <w:rFonts w:cs="Times New Roman"/>
          <w:lang w:val="en-GB"/>
        </w:rPr>
        <w:t>,</w:t>
      </w:r>
      <w:r w:rsidRPr="00771E6E">
        <w:rPr>
          <w:rFonts w:cs="Times New Roman"/>
          <w:lang w:val="en-GB"/>
        </w:rPr>
        <w:t xml:space="preserve"> and </w:t>
      </w:r>
      <w:r w:rsidR="00D528B3" w:rsidRPr="00771E6E">
        <w:rPr>
          <w:rFonts w:cs="Times New Roman"/>
          <w:lang w:val="en-GB"/>
        </w:rPr>
        <w:t xml:space="preserve">attempts to </w:t>
      </w:r>
      <w:r w:rsidRPr="00771E6E">
        <w:rPr>
          <w:rFonts w:cs="Times New Roman"/>
          <w:lang w:val="en-GB"/>
        </w:rPr>
        <w:t>reach beyond</w:t>
      </w:r>
      <w:r w:rsidR="00921EA7" w:rsidRPr="00771E6E">
        <w:rPr>
          <w:rFonts w:cs="Times New Roman"/>
          <w:lang w:val="en-GB"/>
        </w:rPr>
        <w:t>,</w:t>
      </w:r>
      <w:r w:rsidRPr="00771E6E">
        <w:rPr>
          <w:rFonts w:cs="Times New Roman"/>
          <w:lang w:val="en-GB"/>
        </w:rPr>
        <w:t xml:space="preserve"> existing studies of musical angels, to present </w:t>
      </w:r>
      <w:r w:rsidR="00D90F36" w:rsidRPr="00771E6E">
        <w:rPr>
          <w:rFonts w:cs="Times New Roman"/>
          <w:lang w:val="en-GB"/>
        </w:rPr>
        <w:t xml:space="preserve">the first </w:t>
      </w:r>
      <w:r w:rsidRPr="00771E6E">
        <w:rPr>
          <w:rFonts w:cs="Times New Roman"/>
          <w:lang w:val="en-GB"/>
        </w:rPr>
        <w:t xml:space="preserve">account of the musical angel as a subject in domestic </w:t>
      </w:r>
      <w:r w:rsidRPr="00771E6E">
        <w:rPr>
          <w:rFonts w:cs="Times New Roman"/>
          <w:lang w:val="en-GB"/>
        </w:rPr>
        <w:lastRenderedPageBreak/>
        <w:t xml:space="preserve">art, </w:t>
      </w:r>
      <w:r w:rsidR="00921EA7" w:rsidRPr="00771E6E">
        <w:rPr>
          <w:rFonts w:cs="Times New Roman"/>
          <w:lang w:val="en-GB"/>
        </w:rPr>
        <w:t xml:space="preserve">extensively </w:t>
      </w:r>
      <w:r w:rsidRPr="00771E6E">
        <w:rPr>
          <w:rFonts w:cs="Times New Roman"/>
          <w:lang w:val="en-GB"/>
        </w:rPr>
        <w:t xml:space="preserve">informed by art-historical scholarship on the ethical and devotional role of images in the domestic sphere. </w:t>
      </w:r>
      <w:r w:rsidR="0050450C" w:rsidRPr="00771E6E">
        <w:rPr>
          <w:rFonts w:cs="Times New Roman"/>
          <w:lang w:val="en-GB"/>
        </w:rPr>
        <w:t>The thesis argues that</w:t>
      </w:r>
      <w:r w:rsidR="00D90F36" w:rsidRPr="00771E6E">
        <w:rPr>
          <w:rFonts w:cs="Times New Roman"/>
          <w:lang w:val="en-GB"/>
        </w:rPr>
        <w:t xml:space="preserve"> </w:t>
      </w:r>
      <w:r w:rsidR="0050450C" w:rsidRPr="00771E6E">
        <w:rPr>
          <w:rFonts w:cs="Times New Roman"/>
          <w:lang w:val="en-GB"/>
        </w:rPr>
        <w:t>musical angels, almost always youthful in appearance and presented at</w:t>
      </w:r>
      <w:r w:rsidR="00404D40" w:rsidRPr="00771E6E">
        <w:rPr>
          <w:rFonts w:cs="Times New Roman"/>
          <w:lang w:val="en-GB"/>
        </w:rPr>
        <w:t xml:space="preserve"> </w:t>
      </w:r>
      <w:r w:rsidR="00404D40" w:rsidRPr="00771E6E">
        <w:t>presented at heights that would have been clearly visible to children,</w:t>
      </w:r>
      <w:r w:rsidR="0050450C" w:rsidRPr="00771E6E">
        <w:rPr>
          <w:rFonts w:cs="Times New Roman"/>
          <w:lang w:val="en-GB"/>
        </w:rPr>
        <w:t xml:space="preserve"> were intended to engage young viewers in the home, precisely as </w:t>
      </w:r>
      <w:proofErr w:type="spellStart"/>
      <w:r w:rsidR="0050450C" w:rsidRPr="00771E6E">
        <w:rPr>
          <w:rFonts w:cs="Times New Roman"/>
          <w:lang w:val="en-GB"/>
        </w:rPr>
        <w:t>Dominici</w:t>
      </w:r>
      <w:proofErr w:type="spellEnd"/>
      <w:r w:rsidR="0050450C" w:rsidRPr="00771E6E">
        <w:rPr>
          <w:rFonts w:cs="Times New Roman"/>
          <w:lang w:val="en-GB"/>
        </w:rPr>
        <w:t xml:space="preserve"> indicated</w:t>
      </w:r>
      <w:r w:rsidR="005C6AA4" w:rsidRPr="00771E6E">
        <w:rPr>
          <w:rFonts w:cs="Times New Roman"/>
          <w:lang w:val="en-GB"/>
        </w:rPr>
        <w:t>;</w:t>
      </w:r>
      <w:r w:rsidR="0050450C" w:rsidRPr="00771E6E">
        <w:rPr>
          <w:rFonts w:cs="Times New Roman"/>
          <w:lang w:val="en-GB"/>
        </w:rPr>
        <w:t xml:space="preserve"> and that their musical activities were not simply generic or ancillary to this </w:t>
      </w:r>
      <w:r w:rsidR="006D7B54" w:rsidRPr="00771E6E">
        <w:rPr>
          <w:rFonts w:cs="Times New Roman"/>
          <w:lang w:val="en-GB"/>
        </w:rPr>
        <w:t>function</w:t>
      </w:r>
      <w:r w:rsidR="00255DC5" w:rsidRPr="00771E6E">
        <w:rPr>
          <w:rFonts w:cs="Times New Roman"/>
          <w:lang w:val="en-GB"/>
        </w:rPr>
        <w:t>,</w:t>
      </w:r>
      <w:r w:rsidR="0050450C" w:rsidRPr="00771E6E">
        <w:rPr>
          <w:rFonts w:cs="Times New Roman"/>
          <w:lang w:val="en-GB"/>
        </w:rPr>
        <w:t xml:space="preserve"> but intended to build</w:t>
      </w:r>
      <w:r w:rsidR="00742944" w:rsidRPr="00771E6E">
        <w:rPr>
          <w:rFonts w:cs="Times New Roman"/>
          <w:lang w:val="en-GB"/>
        </w:rPr>
        <w:t xml:space="preserve"> specific</w:t>
      </w:r>
      <w:r w:rsidR="0050450C" w:rsidRPr="00771E6E">
        <w:rPr>
          <w:rFonts w:cs="Times New Roman"/>
          <w:lang w:val="en-GB"/>
        </w:rPr>
        <w:t xml:space="preserve"> link</w:t>
      </w:r>
      <w:r w:rsidR="00742944" w:rsidRPr="00771E6E">
        <w:rPr>
          <w:rFonts w:cs="Times New Roman"/>
          <w:lang w:val="en-GB"/>
        </w:rPr>
        <w:t>s</w:t>
      </w:r>
      <w:r w:rsidR="0050450C" w:rsidRPr="00771E6E">
        <w:rPr>
          <w:rFonts w:cs="Times New Roman"/>
          <w:lang w:val="en-GB"/>
        </w:rPr>
        <w:t xml:space="preserve"> with the broader role of musical training in elite education</w:t>
      </w:r>
      <w:r w:rsidR="00742944" w:rsidRPr="00771E6E">
        <w:rPr>
          <w:rFonts w:cs="Times New Roman"/>
          <w:lang w:val="en-GB"/>
        </w:rPr>
        <w:t xml:space="preserve">, including moral and religious </w:t>
      </w:r>
      <w:r w:rsidR="006D7B54" w:rsidRPr="00771E6E">
        <w:rPr>
          <w:rFonts w:cs="Times New Roman"/>
          <w:lang w:val="en-GB"/>
        </w:rPr>
        <w:t>instruction</w:t>
      </w:r>
      <w:r w:rsidR="0050450C" w:rsidRPr="00771E6E">
        <w:rPr>
          <w:rFonts w:cs="Times New Roman"/>
          <w:lang w:val="en-GB"/>
        </w:rPr>
        <w:t xml:space="preserve">. </w:t>
      </w:r>
    </w:p>
    <w:p w14:paraId="044CC36B" w14:textId="77777777" w:rsidR="00AF799D" w:rsidRPr="00771E6E" w:rsidRDefault="00255DC5" w:rsidP="00AF799D">
      <w:pPr>
        <w:rPr>
          <w:rFonts w:cs="Times New Roman"/>
          <w:lang w:val="en-GB"/>
        </w:rPr>
      </w:pPr>
      <w:r w:rsidRPr="00771E6E">
        <w:rPr>
          <w:rFonts w:cs="Times New Roman"/>
          <w:lang w:val="en-GB"/>
        </w:rPr>
        <w:tab/>
      </w:r>
      <w:r w:rsidR="00064E15" w:rsidRPr="00771E6E">
        <w:rPr>
          <w:rFonts w:cs="Times New Roman"/>
          <w:lang w:val="en-GB"/>
        </w:rPr>
        <w:t>The images referred to in the text will be presented in a separate volume. The translations in the text are mine unless otherwise state</w:t>
      </w:r>
      <w:r w:rsidR="001840E8" w:rsidRPr="00771E6E">
        <w:rPr>
          <w:rFonts w:cs="Times New Roman"/>
          <w:lang w:val="en-GB"/>
        </w:rPr>
        <w:t>d.</w:t>
      </w:r>
      <w:bookmarkStart w:id="2" w:name="_Toc4329141"/>
      <w:bookmarkStart w:id="3" w:name="_Toc507939117"/>
    </w:p>
    <w:p w14:paraId="12DABEAC" w14:textId="77777777" w:rsidR="00D11CF6" w:rsidRPr="00771E6E" w:rsidRDefault="00D11CF6">
      <w:pPr>
        <w:spacing w:line="240" w:lineRule="auto"/>
        <w:rPr>
          <w:b/>
        </w:rPr>
        <w:sectPr w:rsidR="00D11CF6" w:rsidRPr="00771E6E" w:rsidSect="001840E8">
          <w:footerReference w:type="even" r:id="rId11"/>
          <w:footerReference w:type="default" r:id="rId12"/>
          <w:footnotePr>
            <w:numRestart w:val="eachSect"/>
          </w:footnotePr>
          <w:pgSz w:w="11900" w:h="16840"/>
          <w:pgMar w:top="1440" w:right="1418" w:bottom="1440" w:left="1701" w:header="709" w:footer="709" w:gutter="0"/>
          <w:pgNumType w:start="1"/>
          <w:cols w:space="708"/>
          <w:docGrid w:linePitch="360"/>
        </w:sectPr>
      </w:pPr>
    </w:p>
    <w:p w14:paraId="13CD9B3F" w14:textId="122E3CAF" w:rsidR="00D11CF6" w:rsidRPr="00771E6E" w:rsidRDefault="00D11CF6">
      <w:pPr>
        <w:spacing w:line="240" w:lineRule="auto"/>
        <w:rPr>
          <w:b/>
        </w:rPr>
        <w:sectPr w:rsidR="00D11CF6" w:rsidRPr="00771E6E" w:rsidSect="00182EED">
          <w:footnotePr>
            <w:numRestart w:val="eachSect"/>
          </w:footnotePr>
          <w:pgSz w:w="11900" w:h="16840"/>
          <w:pgMar w:top="1440" w:right="1418" w:bottom="1440" w:left="1701" w:header="709" w:footer="709" w:gutter="0"/>
          <w:cols w:space="708"/>
          <w:docGrid w:linePitch="360"/>
        </w:sectPr>
      </w:pPr>
    </w:p>
    <w:p w14:paraId="4443B142" w14:textId="77777777" w:rsidR="001840E8" w:rsidRPr="00771E6E" w:rsidRDefault="001840E8" w:rsidP="001141E6">
      <w:pPr>
        <w:pStyle w:val="Heading1"/>
      </w:pPr>
      <w:bookmarkStart w:id="4" w:name="_Toc20167592"/>
      <w:r w:rsidRPr="00771E6E">
        <w:t xml:space="preserve">1. Moral </w:t>
      </w:r>
      <w:proofErr w:type="spellStart"/>
      <w:r w:rsidRPr="00771E6E">
        <w:t>Education</w:t>
      </w:r>
      <w:proofErr w:type="spellEnd"/>
      <w:r w:rsidRPr="00771E6E">
        <w:t xml:space="preserve"> in the </w:t>
      </w:r>
      <w:proofErr w:type="spellStart"/>
      <w:r w:rsidRPr="00771E6E">
        <w:t>Domestic</w:t>
      </w:r>
      <w:proofErr w:type="spellEnd"/>
      <w:r w:rsidRPr="00771E6E">
        <w:t xml:space="preserve"> Space</w:t>
      </w:r>
      <w:bookmarkEnd w:id="2"/>
      <w:bookmarkEnd w:id="4"/>
    </w:p>
    <w:p w14:paraId="73F4159A" w14:textId="77777777" w:rsidR="008A116C" w:rsidRPr="00771E6E" w:rsidRDefault="008A116C" w:rsidP="001840E8"/>
    <w:p w14:paraId="75EDB2F9" w14:textId="77777777" w:rsidR="001840E8" w:rsidRPr="00771E6E" w:rsidRDefault="001840E8" w:rsidP="001840E8">
      <w:r w:rsidRPr="00771E6E">
        <w:t>For fifteenth and sixteenth-century Italians, moral education was considered extremely important, and the domestic environment would have been a child’s first classroom, forming the location of many of their earliest lessons. This formative period would have been highly significant in a child’s life, and was considered a hugely important part of their upbringing.</w:t>
      </w:r>
      <w:bookmarkStart w:id="5" w:name="_Hlk4256027"/>
    </w:p>
    <w:p w14:paraId="3AF7E861" w14:textId="77777777" w:rsidR="001840E8" w:rsidRPr="00771E6E" w:rsidRDefault="001840E8" w:rsidP="001840E8">
      <w:pPr>
        <w:ind w:firstLine="720"/>
      </w:pPr>
      <w:r w:rsidRPr="00771E6E">
        <w:t>This chapter will introduce the attitudes, theories and historical context which underpinned moral education, and will consider in particular the importance of domestic settings as part of this. This will provide the foundations for the subsequent discussion on the role that depictions of musical angels within the domestic environment would have played, and their intended effect on the moral education of children.</w:t>
      </w:r>
    </w:p>
    <w:p w14:paraId="539A96B2" w14:textId="77777777" w:rsidR="001840E8" w:rsidRPr="00771E6E" w:rsidRDefault="001840E8" w:rsidP="001840E8">
      <w:pPr>
        <w:ind w:firstLine="720"/>
      </w:pPr>
      <w:r w:rsidRPr="00771E6E">
        <w:t>The first section will cover the earliest phase of a child’s life, and how breastfeeding was considered to be fundamental in influencing a newborn’s moral development. The second section will cover teaching in the home, and domestic educational practices which would have formed the next phase in a child’s education. The following two sections, on imitative learning and how images could be used as exempla for learning, will introduce a number of humanist educational theories that were used as a basis for this, and the widespread impact they had on Italian society at this time. Finally, the last two sections will explore the use of music as a tool for teaching morality, and the effect that the presence of music, musical instruments and musicians within the domestic environment would have had on the children who lived within it.</w:t>
      </w:r>
    </w:p>
    <w:bookmarkEnd w:id="5"/>
    <w:p w14:paraId="6C94131D" w14:textId="77777777" w:rsidR="001840E8" w:rsidRPr="00771E6E" w:rsidRDefault="001840E8" w:rsidP="001840E8"/>
    <w:p w14:paraId="07AE2152" w14:textId="77777777" w:rsidR="008A116C" w:rsidRPr="00771E6E" w:rsidRDefault="008A116C" w:rsidP="001840E8"/>
    <w:p w14:paraId="3E40FBEA" w14:textId="77777777" w:rsidR="001840E8" w:rsidRPr="00771E6E" w:rsidRDefault="001840E8" w:rsidP="001840E8">
      <w:pPr>
        <w:pStyle w:val="Subchapter"/>
      </w:pPr>
      <w:bookmarkStart w:id="6" w:name="_Toc4329142"/>
      <w:bookmarkStart w:id="7" w:name="_Toc20167593"/>
      <w:r w:rsidRPr="00771E6E">
        <w:t>1.1 Beginning the Process: Moral Milk</w:t>
      </w:r>
      <w:bookmarkEnd w:id="6"/>
      <w:bookmarkEnd w:id="7"/>
    </w:p>
    <w:bookmarkEnd w:id="3"/>
    <w:p w14:paraId="5E0D1187" w14:textId="77777777" w:rsidR="001840E8" w:rsidRPr="00771E6E" w:rsidRDefault="001840E8" w:rsidP="001840E8">
      <w:pPr>
        <w:pStyle w:val="ListParagraph"/>
        <w:ind w:left="360" w:firstLine="720"/>
        <w:rPr>
          <w:b/>
        </w:rPr>
      </w:pPr>
    </w:p>
    <w:p w14:paraId="366659DC" w14:textId="4FB2405D" w:rsidR="001840E8" w:rsidRPr="00771E6E" w:rsidRDefault="001840E8" w:rsidP="001840E8">
      <w:r w:rsidRPr="00771E6E">
        <w:t xml:space="preserve">According to Renaissance Italian sources, the development of virtue began during the earliest stages of life, just after childbirth, and breastfeeding was the very first means used to </w:t>
      </w:r>
      <w:r w:rsidRPr="00771E6E">
        <w:rPr>
          <w:lang w:val="en-GB"/>
        </w:rPr>
        <w:t>instil</w:t>
      </w:r>
      <w:r w:rsidRPr="00771E6E">
        <w:t xml:space="preserve"> morality in children. Contemporary writers derived this notion from ancient authors, including the philosopher Aristotle (ca. </w:t>
      </w:r>
      <w:r w:rsidR="00FB0CF9" w:rsidRPr="00771E6E">
        <w:t>3</w:t>
      </w:r>
      <w:r w:rsidRPr="00771E6E">
        <w:t>84-322 BC) and the physician Galen (ca. AD 130-ca. 200).</w:t>
      </w:r>
      <w:r w:rsidRPr="00771E6E">
        <w:rPr>
          <w:rStyle w:val="FootnoteReference"/>
        </w:rPr>
        <w:footnoteReference w:id="2"/>
      </w:r>
      <w:r w:rsidRPr="00771E6E">
        <w:t xml:space="preserve"> From the surviving literature, it can be understood that the practice of </w:t>
      </w:r>
      <w:r w:rsidRPr="00771E6E">
        <w:lastRenderedPageBreak/>
        <w:t xml:space="preserve">breastfeeding was widely encouraged, and it was considered to be a very important factor in a child’s upbringing, as the milk produced by a mother was reputed to be identical to the blood that sustained the </w:t>
      </w:r>
      <w:r w:rsidRPr="00771E6E">
        <w:rPr>
          <w:lang w:val="en-GB"/>
        </w:rPr>
        <w:t>foetus</w:t>
      </w:r>
      <w:r w:rsidRPr="00771E6E">
        <w:t xml:space="preserve"> in the womb. The milk produced by women was thought to carry not only physiological nourishment, but also to have the power to shape the mind of the new-born.</w:t>
      </w:r>
      <w:r w:rsidRPr="00771E6E">
        <w:rPr>
          <w:rStyle w:val="FootnoteReference"/>
        </w:rPr>
        <w:footnoteReference w:id="3"/>
      </w:r>
      <w:r w:rsidRPr="00771E6E">
        <w:t xml:space="preserve"> For this reason, fifteenth-century authors advocated that children should be breastfed by their own mothers rather than by nurses, so that, through this practice, the family’s dignity and nobility would be passed on to her offspring.</w:t>
      </w:r>
      <w:r w:rsidRPr="00771E6E">
        <w:rPr>
          <w:rStyle w:val="FootnoteReference"/>
        </w:rPr>
        <w:footnoteReference w:id="4"/>
      </w:r>
      <w:r w:rsidRPr="00771E6E">
        <w:t xml:space="preserve"> </w:t>
      </w:r>
    </w:p>
    <w:p w14:paraId="0F922364" w14:textId="77777777" w:rsidR="001840E8" w:rsidRPr="00771E6E" w:rsidRDefault="001840E8" w:rsidP="001840E8">
      <w:pPr>
        <w:ind w:firstLine="720"/>
      </w:pPr>
      <w:r w:rsidRPr="00771E6E">
        <w:t xml:space="preserve">Among the ancient texts to which Renaissance writers referred in support of maternal breastfeeding was the treatise </w:t>
      </w:r>
      <w:r w:rsidRPr="00771E6E">
        <w:rPr>
          <w:i/>
        </w:rPr>
        <w:t xml:space="preserve">De </w:t>
      </w:r>
      <w:proofErr w:type="spellStart"/>
      <w:r w:rsidRPr="00771E6E">
        <w:rPr>
          <w:i/>
        </w:rPr>
        <w:t>liberis</w:t>
      </w:r>
      <w:proofErr w:type="spellEnd"/>
      <w:r w:rsidRPr="00771E6E">
        <w:rPr>
          <w:i/>
        </w:rPr>
        <w:t xml:space="preserve"> </w:t>
      </w:r>
      <w:proofErr w:type="spellStart"/>
      <w:r w:rsidRPr="00771E6E">
        <w:rPr>
          <w:i/>
        </w:rPr>
        <w:t>educandis</w:t>
      </w:r>
      <w:proofErr w:type="spellEnd"/>
      <w:r w:rsidRPr="00771E6E">
        <w:t xml:space="preserve"> (On the Education of Children), attributed to the Greek author Plutarch (ca. AD 46-120). Here, the author states that,</w:t>
      </w:r>
    </w:p>
    <w:p w14:paraId="74647E54" w14:textId="77777777" w:rsidR="001840E8" w:rsidRPr="00771E6E" w:rsidRDefault="001840E8" w:rsidP="001840E8">
      <w:pPr>
        <w:ind w:left="720"/>
      </w:pPr>
    </w:p>
    <w:p w14:paraId="4E4F55E6" w14:textId="77777777" w:rsidR="001840E8" w:rsidRPr="00771E6E" w:rsidRDefault="001840E8" w:rsidP="001840E8">
      <w:pPr>
        <w:pStyle w:val="IntenseQuote"/>
      </w:pPr>
      <w:r w:rsidRPr="00771E6E">
        <w:t>Mothers ought … themselves to feed their infants and nurse them themselves. For they will feed them with a livelier affection and greater care, as loving them inwardly, and, according to the proverb, to the finger-tips … Nature too makes clear the fact that mothers should themselves nurse and feed what they have brought into the world, since it is for this purpose that she has provided for every animal which gives birth to young a source of food in its milk … Mothers would come to be more kindly disposed towards their children, and more inclined to show them affection. Not unnaturally either, I swear; for this fellowship in feeding is a bond that knits kindliness together.</w:t>
      </w:r>
      <w:r w:rsidRPr="00771E6E">
        <w:rPr>
          <w:rStyle w:val="FootnoteReference"/>
        </w:rPr>
        <w:footnoteReference w:id="5"/>
      </w:r>
    </w:p>
    <w:p w14:paraId="549F3C49" w14:textId="77777777" w:rsidR="001840E8" w:rsidRPr="00771E6E" w:rsidRDefault="001840E8" w:rsidP="001840E8">
      <w:pPr>
        <w:ind w:firstLine="720"/>
      </w:pPr>
    </w:p>
    <w:p w14:paraId="7BD88D4A" w14:textId="77777777" w:rsidR="001840E8" w:rsidRPr="00771E6E" w:rsidRDefault="001840E8" w:rsidP="001840E8">
      <w:r w:rsidRPr="00771E6E">
        <w:t>According to Plutarch, breastfeeding was not only a way to provide nourishment to new-</w:t>
      </w:r>
      <w:proofErr w:type="spellStart"/>
      <w:r w:rsidRPr="00771E6E">
        <w:t>borns</w:t>
      </w:r>
      <w:proofErr w:type="spellEnd"/>
      <w:r w:rsidRPr="00771E6E">
        <w:t xml:space="preserve">, but also a strategy through which mothers would develop feelings of care and fondness towards their offspring. Plutarch’s ideas were certainly known by the majority of fifteenth-century scholars, as this treatise was circulated widely, and was printed at least seven times in Italy between 1471 and 1501. For instance, this advocacy of lactation is repeated by the Venetian diplomat Francesco </w:t>
      </w:r>
      <w:proofErr w:type="spellStart"/>
      <w:r w:rsidRPr="00771E6E">
        <w:t>Barbaro</w:t>
      </w:r>
      <w:proofErr w:type="spellEnd"/>
      <w:r w:rsidRPr="00771E6E">
        <w:t xml:space="preserve"> </w:t>
      </w:r>
      <w:r w:rsidRPr="00771E6E">
        <w:rPr>
          <w:iCs/>
        </w:rPr>
        <w:t>(1390-1454)</w:t>
      </w:r>
      <w:r w:rsidRPr="00771E6E">
        <w:t>, in his 1415 Latin treatise on marriage and wifely duties</w:t>
      </w:r>
      <w:r w:rsidRPr="00771E6E">
        <w:rPr>
          <w:i/>
        </w:rPr>
        <w:t xml:space="preserve"> De re </w:t>
      </w:r>
      <w:proofErr w:type="spellStart"/>
      <w:r w:rsidRPr="00771E6E">
        <w:rPr>
          <w:i/>
        </w:rPr>
        <w:t>uxoria</w:t>
      </w:r>
      <w:proofErr w:type="spellEnd"/>
      <w:r w:rsidRPr="00771E6E">
        <w:t xml:space="preserve"> (On Wifely Duties), compiled as a </w:t>
      </w:r>
      <w:r w:rsidRPr="00771E6E">
        <w:lastRenderedPageBreak/>
        <w:t>wedding gift for Lorenzo de’ Medici the Elder and Ginevra Cavalcanti. In providing advice on the qualities that a suitable wife should possess, the author gives the greatest importance to her virtue, as this would be a source of inspiration for both her offspring and for all the members of the household.</w:t>
      </w:r>
      <w:r w:rsidRPr="00771E6E">
        <w:rPr>
          <w:rStyle w:val="FootnoteReference"/>
        </w:rPr>
        <w:footnoteReference w:id="6"/>
      </w:r>
      <w:r w:rsidRPr="00771E6E">
        <w:t xml:space="preserve"> </w:t>
      </w:r>
    </w:p>
    <w:p w14:paraId="3DB148BE" w14:textId="77777777" w:rsidR="001840E8" w:rsidRPr="00771E6E" w:rsidRDefault="001840E8" w:rsidP="001840E8">
      <w:pPr>
        <w:ind w:firstLine="720"/>
      </w:pPr>
      <w:r w:rsidRPr="00771E6E">
        <w:t>As highlighted by Margaret King, wives fulfilled a key role in the Renaissance family: they were expected not simply to bear children, but to produce “noble” progeny.</w:t>
      </w:r>
      <w:r w:rsidRPr="00771E6E">
        <w:rPr>
          <w:rStyle w:val="FootnoteReference"/>
        </w:rPr>
        <w:footnoteReference w:id="7"/>
      </w:r>
      <w:r w:rsidRPr="00771E6E">
        <w:t xml:space="preserve"> The first step towards this was, therefore, that their progeny be breastfed. In </w:t>
      </w:r>
      <w:proofErr w:type="spellStart"/>
      <w:r w:rsidRPr="00771E6E">
        <w:t>Barbaro’s</w:t>
      </w:r>
      <w:proofErr w:type="spellEnd"/>
      <w:r w:rsidRPr="00771E6E">
        <w:t xml:space="preserve"> words, “the power of the mother’s food most effectively lends itself to shaping the properties of [a child’s] body and mind </w:t>
      </w:r>
      <w:r w:rsidRPr="00771E6E">
        <w:rPr>
          <w:iCs/>
        </w:rPr>
        <w:t>to the character of the seed</w:t>
      </w:r>
      <w:r w:rsidRPr="00771E6E">
        <w:t>.”</w:t>
      </w:r>
      <w:r w:rsidRPr="00771E6E">
        <w:rPr>
          <w:rStyle w:val="FootnoteReference"/>
        </w:rPr>
        <w:footnoteReference w:id="8"/>
      </w:r>
      <w:r w:rsidRPr="00771E6E">
        <w:t xml:space="preserve"> Maternal milk was seen as an instrument through which virtue could be transferred from mother to child, “for just as the limbs of an infant can be properly and precisely formed and strengthened, so can his manners be exactly and properly shaped from birth.”</w:t>
      </w:r>
      <w:r w:rsidRPr="00771E6E">
        <w:rPr>
          <w:rStyle w:val="FootnoteReference"/>
        </w:rPr>
        <w:footnoteReference w:id="9"/>
      </w:r>
      <w:r w:rsidRPr="00771E6E">
        <w:t xml:space="preserve"> Although </w:t>
      </w:r>
      <w:proofErr w:type="spellStart"/>
      <w:r w:rsidRPr="00771E6E">
        <w:t>Barbaro’s</w:t>
      </w:r>
      <w:proofErr w:type="spellEnd"/>
      <w:r w:rsidRPr="00771E6E">
        <w:t xml:space="preserve"> treatise was not printed prior to the mid-sixteenth century, it circulated in numerous manuscript copies in Italy, and </w:t>
      </w:r>
      <w:proofErr w:type="spellStart"/>
      <w:r w:rsidRPr="00771E6E">
        <w:t>Barbaro</w:t>
      </w:r>
      <w:proofErr w:type="spellEnd"/>
      <w:r w:rsidRPr="00771E6E">
        <w:t xml:space="preserve"> himself declared how pleased he was by its popularity in a letter to Luigi </w:t>
      </w:r>
      <w:proofErr w:type="spellStart"/>
      <w:r w:rsidRPr="00771E6E">
        <w:t>Barozzo</w:t>
      </w:r>
      <w:proofErr w:type="spellEnd"/>
      <w:r w:rsidRPr="00771E6E">
        <w:t xml:space="preserve"> dated 10 December 1447, fulfilling a desire he had specifically expressed in the last section of his treatise.</w:t>
      </w:r>
      <w:r w:rsidRPr="00771E6E">
        <w:rPr>
          <w:rStyle w:val="FootnoteReference"/>
        </w:rPr>
        <w:footnoteReference w:id="10"/>
      </w:r>
      <w:r w:rsidRPr="00771E6E">
        <w:t xml:space="preserve"> The historian and public official Matteo Palmieri (1406-1475), in his </w:t>
      </w:r>
      <w:r w:rsidRPr="00771E6E">
        <w:rPr>
          <w:i/>
        </w:rPr>
        <w:t xml:space="preserve">Vita </w:t>
      </w:r>
      <w:proofErr w:type="spellStart"/>
      <w:r w:rsidRPr="00771E6E">
        <w:rPr>
          <w:i/>
        </w:rPr>
        <w:t>Civile</w:t>
      </w:r>
      <w:proofErr w:type="spellEnd"/>
      <w:r w:rsidRPr="00771E6E">
        <w:t xml:space="preserve"> (Civil Life, ca. 1432-1436), goes even further, stating that “noble mothers who refuse to breastfeed their own children deserve to be hated by them.”</w:t>
      </w:r>
      <w:r w:rsidRPr="00771E6E">
        <w:rPr>
          <w:rStyle w:val="FootnoteReference"/>
        </w:rPr>
        <w:footnoteReference w:id="11"/>
      </w:r>
      <w:r w:rsidRPr="00771E6E">
        <w:t xml:space="preserve"> This </w:t>
      </w:r>
      <w:r w:rsidRPr="00771E6E">
        <w:lastRenderedPageBreak/>
        <w:t>treatise survives in at least eighteen manuscript copies, kept in Italian and European libraries, and was printed twice around the mid-sixteenth century.</w:t>
      </w:r>
      <w:r w:rsidRPr="00771E6E">
        <w:rPr>
          <w:rStyle w:val="FootnoteReference"/>
        </w:rPr>
        <w:footnoteReference w:id="12"/>
      </w:r>
      <w:r w:rsidRPr="00771E6E">
        <w:t xml:space="preserve"> </w:t>
      </w:r>
    </w:p>
    <w:p w14:paraId="55407A69" w14:textId="77777777" w:rsidR="001840E8" w:rsidRPr="00771E6E" w:rsidRDefault="001840E8" w:rsidP="001840E8">
      <w:pPr>
        <w:ind w:firstLine="720"/>
        <w:rPr>
          <w:iCs/>
          <w:vertAlign w:val="superscript"/>
        </w:rPr>
      </w:pPr>
      <w:r w:rsidRPr="00771E6E">
        <w:t xml:space="preserve">Maternal breastfeeding, if the mother was healthy, was also recommended by the physician and professor at the Universities of Padua and Ferrara Michele Savonarola </w:t>
      </w:r>
      <w:r w:rsidRPr="00771E6E">
        <w:rPr>
          <w:iCs/>
        </w:rPr>
        <w:t xml:space="preserve">(ca. 1385-1466) in his treatise </w:t>
      </w:r>
      <w:r w:rsidRPr="00771E6E">
        <w:rPr>
          <w:rFonts w:hint="eastAsia"/>
          <w:bCs/>
          <w:i/>
          <w:iCs/>
        </w:rPr>
        <w:t xml:space="preserve">Ad </w:t>
      </w:r>
      <w:proofErr w:type="spellStart"/>
      <w:r w:rsidRPr="00771E6E">
        <w:rPr>
          <w:rFonts w:hint="eastAsia"/>
          <w:bCs/>
          <w:i/>
          <w:iCs/>
        </w:rPr>
        <w:t>mulieres</w:t>
      </w:r>
      <w:proofErr w:type="spellEnd"/>
      <w:r w:rsidRPr="00771E6E">
        <w:rPr>
          <w:rFonts w:hint="eastAsia"/>
          <w:bCs/>
          <w:i/>
          <w:iCs/>
        </w:rPr>
        <w:t xml:space="preserve"> </w:t>
      </w:r>
      <w:proofErr w:type="spellStart"/>
      <w:r w:rsidRPr="00771E6E">
        <w:rPr>
          <w:rFonts w:hint="eastAsia"/>
          <w:bCs/>
          <w:i/>
          <w:iCs/>
        </w:rPr>
        <w:t>Ferrarienses</w:t>
      </w:r>
      <w:proofErr w:type="spellEnd"/>
      <w:r w:rsidRPr="00771E6E">
        <w:rPr>
          <w:rFonts w:hint="eastAsia"/>
          <w:bCs/>
          <w:i/>
          <w:iCs/>
        </w:rPr>
        <w:t xml:space="preserve"> de </w:t>
      </w:r>
      <w:proofErr w:type="spellStart"/>
      <w:r w:rsidRPr="00771E6E">
        <w:rPr>
          <w:rFonts w:hint="eastAsia"/>
          <w:bCs/>
          <w:i/>
          <w:iCs/>
        </w:rPr>
        <w:t>regimine</w:t>
      </w:r>
      <w:proofErr w:type="spellEnd"/>
      <w:r w:rsidRPr="00771E6E">
        <w:rPr>
          <w:rFonts w:hint="eastAsia"/>
          <w:bCs/>
          <w:i/>
          <w:iCs/>
        </w:rPr>
        <w:t xml:space="preserve"> </w:t>
      </w:r>
      <w:proofErr w:type="spellStart"/>
      <w:r w:rsidRPr="00771E6E">
        <w:rPr>
          <w:rFonts w:hint="eastAsia"/>
          <w:bCs/>
          <w:i/>
          <w:iCs/>
        </w:rPr>
        <w:t>pregnantium</w:t>
      </w:r>
      <w:proofErr w:type="spellEnd"/>
      <w:r w:rsidRPr="00771E6E">
        <w:rPr>
          <w:rFonts w:hint="eastAsia"/>
          <w:bCs/>
          <w:i/>
          <w:iCs/>
        </w:rPr>
        <w:t xml:space="preserve"> et </w:t>
      </w:r>
      <w:proofErr w:type="spellStart"/>
      <w:r w:rsidRPr="00771E6E">
        <w:rPr>
          <w:rFonts w:hint="eastAsia"/>
          <w:bCs/>
          <w:i/>
          <w:iCs/>
        </w:rPr>
        <w:t>noviter</w:t>
      </w:r>
      <w:proofErr w:type="spellEnd"/>
      <w:r w:rsidRPr="00771E6E">
        <w:rPr>
          <w:rFonts w:hint="eastAsia"/>
          <w:bCs/>
          <w:i/>
          <w:iCs/>
        </w:rPr>
        <w:t xml:space="preserve"> </w:t>
      </w:r>
      <w:proofErr w:type="spellStart"/>
      <w:r w:rsidRPr="00771E6E">
        <w:rPr>
          <w:rFonts w:hint="eastAsia"/>
          <w:bCs/>
          <w:i/>
          <w:iCs/>
        </w:rPr>
        <w:t>natorum</w:t>
      </w:r>
      <w:proofErr w:type="spellEnd"/>
      <w:r w:rsidRPr="00771E6E">
        <w:rPr>
          <w:rFonts w:hint="eastAsia"/>
          <w:bCs/>
          <w:i/>
          <w:iCs/>
        </w:rPr>
        <w:t xml:space="preserve"> </w:t>
      </w:r>
      <w:proofErr w:type="spellStart"/>
      <w:r w:rsidRPr="00771E6E">
        <w:rPr>
          <w:rFonts w:hint="eastAsia"/>
          <w:bCs/>
          <w:i/>
          <w:iCs/>
        </w:rPr>
        <w:t>usque</w:t>
      </w:r>
      <w:proofErr w:type="spellEnd"/>
      <w:r w:rsidRPr="00771E6E">
        <w:rPr>
          <w:rFonts w:hint="eastAsia"/>
          <w:bCs/>
          <w:i/>
          <w:iCs/>
        </w:rPr>
        <w:t xml:space="preserve"> ad septennium</w:t>
      </w:r>
      <w:r w:rsidRPr="00771E6E">
        <w:rPr>
          <w:bCs/>
          <w:iCs/>
        </w:rPr>
        <w:t xml:space="preserve"> (To the Women of Ferrara on the Regimen of Pregnant Women and of the New Born up to the Age of Seven Years)</w:t>
      </w:r>
      <w:r w:rsidRPr="00771E6E">
        <w:rPr>
          <w:iCs/>
        </w:rPr>
        <w:t>.</w:t>
      </w:r>
      <w:r w:rsidRPr="00771E6E">
        <w:rPr>
          <w:rStyle w:val="FootnoteReference"/>
        </w:rPr>
        <w:t xml:space="preserve"> </w:t>
      </w:r>
      <w:r w:rsidRPr="00771E6E">
        <w:rPr>
          <w:rStyle w:val="FootnoteReference"/>
        </w:rPr>
        <w:footnoteReference w:id="13"/>
      </w:r>
      <w:r w:rsidRPr="00771E6E">
        <w:rPr>
          <w:iCs/>
        </w:rPr>
        <w:t xml:space="preserve"> This treatise on </w:t>
      </w:r>
      <w:proofErr w:type="spellStart"/>
      <w:r w:rsidRPr="00771E6E">
        <w:rPr>
          <w:iCs/>
        </w:rPr>
        <w:t>gynaecological</w:t>
      </w:r>
      <w:proofErr w:type="spellEnd"/>
      <w:r w:rsidRPr="00771E6E">
        <w:rPr>
          <w:iCs/>
        </w:rPr>
        <w:t xml:space="preserve"> and </w:t>
      </w:r>
      <w:proofErr w:type="spellStart"/>
      <w:r w:rsidRPr="00771E6E">
        <w:rPr>
          <w:iCs/>
        </w:rPr>
        <w:t>paediatric</w:t>
      </w:r>
      <w:proofErr w:type="spellEnd"/>
      <w:r w:rsidRPr="00771E6E">
        <w:rPr>
          <w:iCs/>
        </w:rPr>
        <w:t xml:space="preserve"> matters dedicated to the women of Ferrara, of which two codices survive in Italian libraries, was written in the vernacular between 1450 and 1460.</w:t>
      </w:r>
      <w:r w:rsidRPr="00771E6E">
        <w:rPr>
          <w:rStyle w:val="FootnoteReference"/>
        </w:rPr>
        <w:footnoteReference w:id="14"/>
      </w:r>
      <w:r w:rsidRPr="00771E6E">
        <w:rPr>
          <w:iCs/>
        </w:rPr>
        <w:t xml:space="preserve"> In it, Savonarola reminds mothers that God has given them breasts (</w:t>
      </w:r>
      <w:proofErr w:type="spellStart"/>
      <w:r w:rsidRPr="00771E6E">
        <w:rPr>
          <w:i/>
          <w:iCs/>
        </w:rPr>
        <w:t>i</w:t>
      </w:r>
      <w:proofErr w:type="spellEnd"/>
      <w:r w:rsidRPr="00771E6E">
        <w:rPr>
          <w:i/>
          <w:iCs/>
        </w:rPr>
        <w:t xml:space="preserve"> </w:t>
      </w:r>
      <w:proofErr w:type="spellStart"/>
      <w:r w:rsidRPr="00771E6E">
        <w:rPr>
          <w:i/>
          <w:iCs/>
        </w:rPr>
        <w:t>pecti</w:t>
      </w:r>
      <w:proofErr w:type="spellEnd"/>
      <w:r w:rsidRPr="00771E6E">
        <w:rPr>
          <w:iCs/>
        </w:rPr>
        <w:t>) so that they may nourish their children (</w:t>
      </w:r>
      <w:r w:rsidRPr="00771E6E">
        <w:rPr>
          <w:i/>
          <w:iCs/>
        </w:rPr>
        <w:t xml:space="preserve">a </w:t>
      </w:r>
      <w:proofErr w:type="spellStart"/>
      <w:r w:rsidRPr="00771E6E">
        <w:rPr>
          <w:i/>
          <w:iCs/>
        </w:rPr>
        <w:t>ziò</w:t>
      </w:r>
      <w:proofErr w:type="spellEnd"/>
      <w:r w:rsidRPr="00771E6E">
        <w:rPr>
          <w:i/>
          <w:iCs/>
        </w:rPr>
        <w:t xml:space="preserve"> </w:t>
      </w:r>
      <w:proofErr w:type="spellStart"/>
      <w:r w:rsidRPr="00771E6E">
        <w:rPr>
          <w:i/>
          <w:iCs/>
        </w:rPr>
        <w:t>i</w:t>
      </w:r>
      <w:proofErr w:type="spellEnd"/>
      <w:r w:rsidRPr="00771E6E">
        <w:rPr>
          <w:i/>
          <w:iCs/>
        </w:rPr>
        <w:t xml:space="preserve"> </w:t>
      </w:r>
      <w:proofErr w:type="spellStart"/>
      <w:r w:rsidRPr="00771E6E">
        <w:rPr>
          <w:i/>
          <w:iCs/>
        </w:rPr>
        <w:t>fioli</w:t>
      </w:r>
      <w:proofErr w:type="spellEnd"/>
      <w:r w:rsidRPr="00771E6E">
        <w:rPr>
          <w:i/>
          <w:iCs/>
        </w:rPr>
        <w:t xml:space="preserve"> </w:t>
      </w:r>
      <w:proofErr w:type="spellStart"/>
      <w:r w:rsidRPr="00771E6E">
        <w:rPr>
          <w:i/>
          <w:iCs/>
        </w:rPr>
        <w:t>tuoi</w:t>
      </w:r>
      <w:proofErr w:type="spellEnd"/>
      <w:r w:rsidRPr="00771E6E">
        <w:rPr>
          <w:i/>
          <w:iCs/>
        </w:rPr>
        <w:t xml:space="preserve"> </w:t>
      </w:r>
      <w:proofErr w:type="spellStart"/>
      <w:r w:rsidRPr="00771E6E">
        <w:rPr>
          <w:i/>
          <w:iCs/>
        </w:rPr>
        <w:t>nutrichi</w:t>
      </w:r>
      <w:proofErr w:type="spellEnd"/>
      <w:r w:rsidRPr="00771E6E">
        <w:rPr>
          <w:iCs/>
        </w:rPr>
        <w:t>).</w:t>
      </w:r>
      <w:r w:rsidRPr="00771E6E">
        <w:rPr>
          <w:rStyle w:val="FootnoteReference"/>
        </w:rPr>
        <w:footnoteReference w:id="15"/>
      </w:r>
      <w:r w:rsidRPr="00771E6E">
        <w:rPr>
          <w:iCs/>
        </w:rPr>
        <w:t xml:space="preserve"> Similar ideas are expressed by </w:t>
      </w:r>
      <w:r w:rsidRPr="00771E6E">
        <w:t xml:space="preserve">the poet and canon in the Papal Curia </w:t>
      </w:r>
      <w:proofErr w:type="spellStart"/>
      <w:r w:rsidRPr="00771E6E">
        <w:rPr>
          <w:iCs/>
        </w:rPr>
        <w:t>Maffeo</w:t>
      </w:r>
      <w:proofErr w:type="spellEnd"/>
      <w:r w:rsidRPr="00771E6E">
        <w:rPr>
          <w:iCs/>
        </w:rPr>
        <w:t xml:space="preserve"> </w:t>
      </w:r>
      <w:proofErr w:type="spellStart"/>
      <w:r w:rsidRPr="00771E6E">
        <w:rPr>
          <w:iCs/>
        </w:rPr>
        <w:t>Vegio</w:t>
      </w:r>
      <w:proofErr w:type="spellEnd"/>
      <w:r w:rsidRPr="00771E6E">
        <w:rPr>
          <w:iCs/>
        </w:rPr>
        <w:t xml:space="preserve"> (1407-1458),</w:t>
      </w:r>
      <w:r w:rsidRPr="00771E6E">
        <w:t xml:space="preserve"> in his treatise </w:t>
      </w:r>
      <w:r w:rsidRPr="00771E6E">
        <w:rPr>
          <w:i/>
        </w:rPr>
        <w:t xml:space="preserve">De </w:t>
      </w:r>
      <w:proofErr w:type="spellStart"/>
      <w:r w:rsidRPr="00771E6E">
        <w:rPr>
          <w:i/>
        </w:rPr>
        <w:t>educatione</w:t>
      </w:r>
      <w:proofErr w:type="spellEnd"/>
      <w:r w:rsidRPr="00771E6E">
        <w:rPr>
          <w:i/>
        </w:rPr>
        <w:t xml:space="preserve"> </w:t>
      </w:r>
      <w:proofErr w:type="spellStart"/>
      <w:r w:rsidRPr="00771E6E">
        <w:rPr>
          <w:i/>
        </w:rPr>
        <w:t>liberorum</w:t>
      </w:r>
      <w:proofErr w:type="spellEnd"/>
      <w:r w:rsidRPr="00771E6E">
        <w:t xml:space="preserve"> (On the Education of Children)</w:t>
      </w:r>
      <w:r w:rsidRPr="00771E6E">
        <w:rPr>
          <w:iCs/>
        </w:rPr>
        <w:t>,</w:t>
      </w:r>
      <w:r w:rsidRPr="00771E6E">
        <w:t xml:space="preserve"> written between 1445 and 1448, and printed in Milan in 1491</w:t>
      </w:r>
      <w:r w:rsidRPr="00771E6E">
        <w:rPr>
          <w:iCs/>
        </w:rPr>
        <w:t>.</w:t>
      </w:r>
      <w:r w:rsidRPr="00771E6E">
        <w:rPr>
          <w:rStyle w:val="FootnoteReference"/>
        </w:rPr>
        <w:footnoteReference w:id="16"/>
      </w:r>
      <w:r w:rsidRPr="00771E6E">
        <w:rPr>
          <w:iCs/>
        </w:rPr>
        <w:t xml:space="preserve"> </w:t>
      </w:r>
      <w:proofErr w:type="spellStart"/>
      <w:r w:rsidRPr="00771E6E">
        <w:rPr>
          <w:iCs/>
        </w:rPr>
        <w:t>Vegio</w:t>
      </w:r>
      <w:proofErr w:type="spellEnd"/>
      <w:r w:rsidRPr="00771E6E">
        <w:rPr>
          <w:iCs/>
        </w:rPr>
        <w:t xml:space="preserve"> highlights that maternal milk is the most appropriate nourishment to feed a mother’s children, as it would not only make them stronger and more resistant to disease, but would also create a bond between them and their mothers.</w:t>
      </w:r>
      <w:r w:rsidRPr="00771E6E">
        <w:rPr>
          <w:rStyle w:val="FootnoteReference"/>
        </w:rPr>
        <w:footnoteReference w:id="17"/>
      </w:r>
      <w:r w:rsidRPr="00771E6E">
        <w:rPr>
          <w:iCs/>
        </w:rPr>
        <w:t xml:space="preserve"> </w:t>
      </w:r>
    </w:p>
    <w:p w14:paraId="25A502BC" w14:textId="77777777" w:rsidR="001840E8" w:rsidRPr="00771E6E" w:rsidRDefault="001840E8" w:rsidP="001840E8">
      <w:pPr>
        <w:ind w:firstLine="720"/>
      </w:pPr>
      <w:r w:rsidRPr="00771E6E">
        <w:t xml:space="preserve">In promoting maternal breastfeeding, Renaissance writers also generally advised against wet-nursing, which was seen as a hazardous practice for the education of a new-born. Plutarch had already established the basis for this, describing the dangers of having children raised by poorly-educated servants who might act as a bad influence upon them: </w:t>
      </w:r>
    </w:p>
    <w:p w14:paraId="4666B20D" w14:textId="77777777" w:rsidR="001840E8" w:rsidRPr="00771E6E" w:rsidRDefault="001840E8" w:rsidP="001840E8">
      <w:pPr>
        <w:ind w:firstLine="720"/>
      </w:pPr>
    </w:p>
    <w:p w14:paraId="6CC968B3" w14:textId="77777777" w:rsidR="001840E8" w:rsidRPr="00771E6E" w:rsidRDefault="001840E8" w:rsidP="001840E8">
      <w:pPr>
        <w:pStyle w:val="IntenseQuote"/>
      </w:pPr>
      <w:r w:rsidRPr="00771E6E">
        <w:t xml:space="preserve">The good will of foster-mothers and nursemaids is insincere and forced, since they love for pay … Mothers must </w:t>
      </w:r>
      <w:proofErr w:type="spellStart"/>
      <w:r w:rsidRPr="00771E6E">
        <w:t>endeavour</w:t>
      </w:r>
      <w:proofErr w:type="spellEnd"/>
      <w:r w:rsidRPr="00771E6E">
        <w:t xml:space="preserve">, if possible, to nurse their children themselves; but if they are unable to do this, either because of bodily weakness … or because they are in haste to bear more children, yet foster-mothers and </w:t>
      </w:r>
      <w:r w:rsidRPr="00771E6E">
        <w:lastRenderedPageBreak/>
        <w:t>nursemaids are not to be selected at random, but as good ones as possible must be chosen … For youth is impressionable and plastic, and while such minds are still tender lessons are infused deeply into them; but anything which has become hard is with difficulty softened.</w:t>
      </w:r>
      <w:r w:rsidRPr="00771E6E">
        <w:rPr>
          <w:rStyle w:val="FootnoteReference"/>
        </w:rPr>
        <w:footnoteReference w:id="18"/>
      </w:r>
      <w:r w:rsidRPr="00771E6E">
        <w:t xml:space="preserve"> </w:t>
      </w:r>
    </w:p>
    <w:p w14:paraId="05C27BEA" w14:textId="77777777" w:rsidR="001840E8" w:rsidRPr="00771E6E" w:rsidRDefault="001840E8" w:rsidP="001840E8"/>
    <w:p w14:paraId="11186E3E" w14:textId="77777777" w:rsidR="001840E8" w:rsidRPr="00771E6E" w:rsidRDefault="001840E8" w:rsidP="001840E8">
      <w:r w:rsidRPr="00771E6E">
        <w:t xml:space="preserve">It was probably for these reasons that fifteenth-century authors stressed the great care that was to be taken in the choice of an appropriate wet nurse for a child. Leon Battista Alberti (1404-1472), in his treatise in the form of a dialogue </w:t>
      </w:r>
      <w:r w:rsidRPr="00771E6E">
        <w:rPr>
          <w:i/>
        </w:rPr>
        <w:t xml:space="preserve">Della </w:t>
      </w:r>
      <w:proofErr w:type="spellStart"/>
      <w:r w:rsidRPr="00771E6E">
        <w:rPr>
          <w:i/>
        </w:rPr>
        <w:t>famiglia</w:t>
      </w:r>
      <w:proofErr w:type="spellEnd"/>
      <w:r w:rsidRPr="00771E6E">
        <w:t xml:space="preserve"> (On Family), has one of the characters (</w:t>
      </w:r>
      <w:proofErr w:type="spellStart"/>
      <w:r w:rsidRPr="00771E6E">
        <w:t>Aldovardo</w:t>
      </w:r>
      <w:proofErr w:type="spellEnd"/>
      <w:r w:rsidRPr="00771E6E">
        <w:t>) comment upon the qualities to be sought in a wet nurse: she should not be “of immoral character”, and it was advisable to find a woman who was “free, clear and clean</w:t>
      </w:r>
      <w:r w:rsidRPr="00771E6E">
        <w:rPr>
          <w:i/>
        </w:rPr>
        <w:t xml:space="preserve"> </w:t>
      </w:r>
      <w:r w:rsidRPr="00771E6E">
        <w:t>of those vices and defects which infect and corrupt the milk and the blood”.</w:t>
      </w:r>
      <w:r w:rsidRPr="00771E6E">
        <w:rPr>
          <w:rStyle w:val="FootnoteReference"/>
        </w:rPr>
        <w:footnoteReference w:id="19"/>
      </w:r>
      <w:r w:rsidRPr="00771E6E">
        <w:t xml:space="preserve"> In response to this suggestion, </w:t>
      </w:r>
      <w:proofErr w:type="spellStart"/>
      <w:r w:rsidRPr="00771E6E">
        <w:t>Aldovardo’s</w:t>
      </w:r>
      <w:proofErr w:type="spellEnd"/>
      <w:r w:rsidRPr="00771E6E">
        <w:t xml:space="preserve"> cousin </w:t>
      </w:r>
      <w:proofErr w:type="spellStart"/>
      <w:r w:rsidRPr="00771E6E">
        <w:t>Lionardo</w:t>
      </w:r>
      <w:proofErr w:type="spellEnd"/>
      <w:r w:rsidRPr="00771E6E">
        <w:t xml:space="preserve"> replies that a father should not worry about finding a wet nurse, as the best choice would always be the child’s mother, whose milk was praised “above any others” by ancient authors.</w:t>
      </w:r>
      <w:r w:rsidRPr="00771E6E">
        <w:rPr>
          <w:rStyle w:val="FootnoteReference"/>
        </w:rPr>
        <w:footnoteReference w:id="20"/>
      </w:r>
      <w:r w:rsidRPr="00771E6E">
        <w:t xml:space="preserve"> This treatise was written between 1433 and 1434, in the vernacular and therefore more easily accessible to less educated readers.</w:t>
      </w:r>
      <w:r w:rsidRPr="00771E6E">
        <w:rPr>
          <w:rStyle w:val="FootnoteReference"/>
        </w:rPr>
        <w:footnoteReference w:id="21"/>
      </w:r>
      <w:r w:rsidRPr="00771E6E">
        <w:t xml:space="preserve"> This testifies to the popularity of these beliefs, and although the text was never printed in the fifteenth or sixteenth centuries, it survives in at least ten manuscript copies in Italian libraries.</w:t>
      </w:r>
      <w:r w:rsidRPr="00771E6E">
        <w:rPr>
          <w:rStyle w:val="FootnoteReference"/>
        </w:rPr>
        <w:footnoteReference w:id="22"/>
      </w:r>
    </w:p>
    <w:p w14:paraId="7149F6C5" w14:textId="77777777" w:rsidR="001840E8" w:rsidRPr="00771E6E" w:rsidRDefault="001840E8" w:rsidP="001840E8">
      <w:pPr>
        <w:ind w:firstLine="720"/>
        <w:rPr>
          <w:iCs/>
        </w:rPr>
      </w:pPr>
      <w:r w:rsidRPr="00771E6E">
        <w:t xml:space="preserve">Other authors also wrote about this topic: for example, </w:t>
      </w:r>
      <w:proofErr w:type="spellStart"/>
      <w:r w:rsidRPr="00771E6E">
        <w:t>Barbaro</w:t>
      </w:r>
      <w:proofErr w:type="spellEnd"/>
      <w:r w:rsidRPr="00771E6E">
        <w:t xml:space="preserve"> </w:t>
      </w:r>
      <w:proofErr w:type="spellStart"/>
      <w:r w:rsidRPr="00771E6E">
        <w:t>emphasised</w:t>
      </w:r>
      <w:proofErr w:type="spellEnd"/>
      <w:r w:rsidRPr="00771E6E">
        <w:t xml:space="preserve"> the importance of choosing a well-mannered wet nurse in order to avoid the transmission of detrimental </w:t>
      </w:r>
      <w:proofErr w:type="spellStart"/>
      <w:r w:rsidRPr="00771E6E">
        <w:t>behaviours</w:t>
      </w:r>
      <w:proofErr w:type="spellEnd"/>
      <w:r w:rsidRPr="00771E6E">
        <w:t xml:space="preserve"> to the child.</w:t>
      </w:r>
      <w:r w:rsidRPr="00771E6E">
        <w:rPr>
          <w:rStyle w:val="FootnoteReference"/>
        </w:rPr>
        <w:footnoteReference w:id="23"/>
      </w:r>
      <w:r w:rsidRPr="00771E6E">
        <w:t xml:space="preserve"> The same idea is expressed by Bishop Aeneas Sylvius </w:t>
      </w:r>
      <w:proofErr w:type="spellStart"/>
      <w:r w:rsidRPr="00771E6E">
        <w:t>Piccolomini</w:t>
      </w:r>
      <w:proofErr w:type="spellEnd"/>
      <w:r w:rsidRPr="00771E6E">
        <w:t xml:space="preserve"> (1405-1464; Pope Pius II from 1458), </w:t>
      </w:r>
      <w:r w:rsidRPr="00771E6E">
        <w:rPr>
          <w:iCs/>
        </w:rPr>
        <w:t xml:space="preserve">in his </w:t>
      </w:r>
      <w:r w:rsidRPr="00771E6E">
        <w:rPr>
          <w:i/>
          <w:iCs/>
        </w:rPr>
        <w:t xml:space="preserve">De </w:t>
      </w:r>
      <w:proofErr w:type="spellStart"/>
      <w:r w:rsidRPr="00771E6E">
        <w:rPr>
          <w:i/>
          <w:iCs/>
        </w:rPr>
        <w:t>liberorum</w:t>
      </w:r>
      <w:proofErr w:type="spellEnd"/>
      <w:r w:rsidRPr="00771E6E">
        <w:rPr>
          <w:i/>
          <w:iCs/>
        </w:rPr>
        <w:t xml:space="preserve"> </w:t>
      </w:r>
      <w:proofErr w:type="spellStart"/>
      <w:r w:rsidRPr="00771E6E">
        <w:rPr>
          <w:i/>
          <w:iCs/>
        </w:rPr>
        <w:t>educatione</w:t>
      </w:r>
      <w:proofErr w:type="spellEnd"/>
      <w:r w:rsidRPr="00771E6E">
        <w:rPr>
          <w:i/>
          <w:iCs/>
        </w:rPr>
        <w:t xml:space="preserve"> </w:t>
      </w:r>
      <w:r w:rsidRPr="00771E6E">
        <w:rPr>
          <w:iCs/>
        </w:rPr>
        <w:t xml:space="preserve">(On the Education of Children), written in 1444 and dedicated to the ten-year-old King of Bohemia, </w:t>
      </w:r>
      <w:proofErr w:type="spellStart"/>
      <w:r w:rsidRPr="00771E6E">
        <w:rPr>
          <w:iCs/>
        </w:rPr>
        <w:t>Ladislas</w:t>
      </w:r>
      <w:proofErr w:type="spellEnd"/>
      <w:r w:rsidRPr="00771E6E">
        <w:rPr>
          <w:iCs/>
        </w:rPr>
        <w:t xml:space="preserve">, in which he noted that “training should begin in the very cradle,” and nurses should “have sound judgement, if possible, so that no contagion could be contracted from them, for bad habits stick to you more tenaciously and good ones easily take a turn </w:t>
      </w:r>
      <w:r w:rsidRPr="00771E6E">
        <w:rPr>
          <w:iCs/>
        </w:rPr>
        <w:lastRenderedPageBreak/>
        <w:t>for the worse.”</w:t>
      </w:r>
      <w:r w:rsidRPr="00771E6E">
        <w:rPr>
          <w:rStyle w:val="FootnoteReference"/>
        </w:rPr>
        <w:footnoteReference w:id="24"/>
      </w:r>
      <w:r w:rsidRPr="00771E6E">
        <w:rPr>
          <w:iCs/>
        </w:rPr>
        <w:t xml:space="preserve"> Even though it was not printed in the fifteenth and sixteenth centuries in Italy, this letter of pedagogical advice is further evidence of the common currency of this belief.</w:t>
      </w:r>
      <w:r w:rsidRPr="00771E6E">
        <w:rPr>
          <w:rStyle w:val="FootnoteReference"/>
        </w:rPr>
        <w:footnoteReference w:id="25"/>
      </w:r>
      <w:r w:rsidRPr="00771E6E">
        <w:rPr>
          <w:iCs/>
        </w:rPr>
        <w:t xml:space="preserve"> </w:t>
      </w:r>
    </w:p>
    <w:p w14:paraId="3D8CD0E3" w14:textId="77777777" w:rsidR="001840E8" w:rsidRPr="00771E6E" w:rsidRDefault="001840E8" w:rsidP="001840E8">
      <w:pPr>
        <w:tabs>
          <w:tab w:val="left" w:pos="993"/>
        </w:tabs>
        <w:ind w:firstLine="720"/>
        <w:rPr>
          <w:iCs/>
        </w:rPr>
      </w:pPr>
      <w:r w:rsidRPr="00771E6E">
        <w:t xml:space="preserve">Furthermore, </w:t>
      </w:r>
      <w:proofErr w:type="spellStart"/>
      <w:r w:rsidRPr="00771E6E">
        <w:rPr>
          <w:iCs/>
        </w:rPr>
        <w:t>Vegio</w:t>
      </w:r>
      <w:proofErr w:type="spellEnd"/>
      <w:r w:rsidRPr="00771E6E">
        <w:rPr>
          <w:iCs/>
        </w:rPr>
        <w:t xml:space="preserve"> suggests that</w:t>
      </w:r>
      <w:r w:rsidRPr="00771E6E">
        <w:t xml:space="preserve"> a wet nurse should be aged between twenty-five and thirty-five years, should be healthy, should not be </w:t>
      </w:r>
      <w:r w:rsidRPr="00771E6E">
        <w:rPr>
          <w:iCs/>
        </w:rPr>
        <w:t>irascible or melancholic</w:t>
      </w:r>
      <w:r w:rsidRPr="00771E6E">
        <w:t xml:space="preserve">, and should be honest and chaste. To support his argument, </w:t>
      </w:r>
      <w:proofErr w:type="spellStart"/>
      <w:r w:rsidRPr="00771E6E">
        <w:t>Vegio</w:t>
      </w:r>
      <w:proofErr w:type="spellEnd"/>
      <w:r w:rsidRPr="00771E6E">
        <w:t xml:space="preserve"> reports his own experience of being breastfed by a nurse who was modest and shy, whose attitude was passed to him as if he had suckled “her heart and soul” (</w:t>
      </w:r>
      <w:proofErr w:type="spellStart"/>
      <w:r w:rsidRPr="00771E6E">
        <w:rPr>
          <w:i/>
        </w:rPr>
        <w:t>cor</w:t>
      </w:r>
      <w:proofErr w:type="spellEnd"/>
      <w:r w:rsidRPr="00771E6E">
        <w:rPr>
          <w:i/>
        </w:rPr>
        <w:t xml:space="preserve"> </w:t>
      </w:r>
      <w:proofErr w:type="spellStart"/>
      <w:r w:rsidRPr="00771E6E">
        <w:rPr>
          <w:i/>
        </w:rPr>
        <w:t>eius</w:t>
      </w:r>
      <w:proofErr w:type="spellEnd"/>
      <w:r w:rsidRPr="00771E6E">
        <w:rPr>
          <w:i/>
        </w:rPr>
        <w:t xml:space="preserve"> </w:t>
      </w:r>
      <w:proofErr w:type="spellStart"/>
      <w:r w:rsidRPr="00771E6E">
        <w:rPr>
          <w:i/>
        </w:rPr>
        <w:t>atque</w:t>
      </w:r>
      <w:proofErr w:type="spellEnd"/>
      <w:r w:rsidRPr="00771E6E">
        <w:rPr>
          <w:i/>
        </w:rPr>
        <w:t xml:space="preserve"> </w:t>
      </w:r>
      <w:proofErr w:type="spellStart"/>
      <w:r w:rsidRPr="00771E6E">
        <w:rPr>
          <w:i/>
        </w:rPr>
        <w:t>animam</w:t>
      </w:r>
      <w:proofErr w:type="spellEnd"/>
      <w:r w:rsidRPr="00771E6E">
        <w:t>) together with her milk.</w:t>
      </w:r>
      <w:r w:rsidRPr="00771E6E">
        <w:rPr>
          <w:rStyle w:val="FootnoteReference"/>
        </w:rPr>
        <w:footnoteReference w:id="26"/>
      </w:r>
      <w:r w:rsidRPr="00771E6E">
        <w:t xml:space="preserve"> </w:t>
      </w:r>
      <w:r w:rsidRPr="00771E6E">
        <w:rPr>
          <w:iCs/>
        </w:rPr>
        <w:t xml:space="preserve">In a similar vein, Michele Savonarola lists ten desirable qualities in a nurse, including advice similar to that given by </w:t>
      </w:r>
      <w:proofErr w:type="spellStart"/>
      <w:r w:rsidRPr="00771E6E">
        <w:rPr>
          <w:iCs/>
        </w:rPr>
        <w:t>Vegio</w:t>
      </w:r>
      <w:proofErr w:type="spellEnd"/>
      <w:r w:rsidRPr="00771E6E">
        <w:rPr>
          <w:iCs/>
        </w:rPr>
        <w:t xml:space="preserve"> regarding the nurse’s age and health, with the addition of some specific physical characteristics (such as a strong neck, wide chest and adequate-sized breasts, and that she should be muscular but not fat), and that she should have recently given birth but not be pregnant, and ideally mother to a son, which would be a sign of purer and better blood.</w:t>
      </w:r>
      <w:r w:rsidRPr="00771E6E">
        <w:rPr>
          <w:rStyle w:val="FootnoteReference"/>
        </w:rPr>
        <w:footnoteReference w:id="27"/>
      </w:r>
      <w:r w:rsidRPr="00771E6E">
        <w:rPr>
          <w:iCs/>
        </w:rPr>
        <w:t xml:space="preserve"> In addition, Francesco Patrizi, in his </w:t>
      </w:r>
      <w:r w:rsidRPr="00771E6E">
        <w:rPr>
          <w:i/>
          <w:iCs/>
        </w:rPr>
        <w:t xml:space="preserve">De regno et </w:t>
      </w:r>
      <w:proofErr w:type="spellStart"/>
      <w:r w:rsidRPr="00771E6E">
        <w:rPr>
          <w:i/>
          <w:iCs/>
        </w:rPr>
        <w:t>regis</w:t>
      </w:r>
      <w:proofErr w:type="spellEnd"/>
      <w:r w:rsidRPr="00771E6E">
        <w:rPr>
          <w:i/>
          <w:iCs/>
        </w:rPr>
        <w:t xml:space="preserve"> </w:t>
      </w:r>
      <w:proofErr w:type="spellStart"/>
      <w:r w:rsidRPr="00771E6E">
        <w:rPr>
          <w:i/>
          <w:iCs/>
        </w:rPr>
        <w:t>institutione</w:t>
      </w:r>
      <w:proofErr w:type="spellEnd"/>
      <w:r w:rsidRPr="00771E6E">
        <w:rPr>
          <w:iCs/>
        </w:rPr>
        <w:t xml:space="preserve"> (On Ruling and the Institution of Rulers, 1481-1484) dedicated to Alfonso of Aragon, advised on the education of a prince. The author states the importance (even more so than in the case of a common citizen) of finding a nurse who is well-spoken, and fit in both body and soul, “because together with the milk, a man suckles drunkenness, irascibility, laziness, numbness and other similar things.”</w:t>
      </w:r>
      <w:r w:rsidRPr="00771E6E">
        <w:rPr>
          <w:rStyle w:val="FootnoteReference"/>
        </w:rPr>
        <w:footnoteReference w:id="28"/>
      </w:r>
      <w:r w:rsidRPr="00771E6E">
        <w:rPr>
          <w:iCs/>
        </w:rPr>
        <w:t xml:space="preserve"> </w:t>
      </w:r>
      <w:r w:rsidR="00B82F99" w:rsidRPr="00771E6E">
        <w:rPr>
          <w:iCs/>
        </w:rPr>
        <w:t>Together, these treatises provide a comprehensive picture of the link between education and lactation in fifteenth-century Italy.</w:t>
      </w:r>
    </w:p>
    <w:p w14:paraId="5E366EE7" w14:textId="2920547B" w:rsidR="00B82F99" w:rsidRPr="00771E6E" w:rsidRDefault="008B285A" w:rsidP="001840E8">
      <w:pPr>
        <w:tabs>
          <w:tab w:val="left" w:pos="993"/>
        </w:tabs>
        <w:ind w:firstLine="720"/>
        <w:rPr>
          <w:iCs/>
        </w:rPr>
      </w:pPr>
      <w:r w:rsidRPr="00771E6E">
        <w:rPr>
          <w:iCs/>
        </w:rPr>
        <w:t>Although it is difficult to establish the</w:t>
      </w:r>
      <w:r w:rsidR="0076521D" w:rsidRPr="00771E6E">
        <w:rPr>
          <w:iCs/>
        </w:rPr>
        <w:t xml:space="preserve"> </w:t>
      </w:r>
      <w:r w:rsidR="0076521D" w:rsidRPr="00771E6E">
        <w:t>prevalence of maternal breastfeeding versus wet nursing</w:t>
      </w:r>
      <w:r w:rsidRPr="00771E6E">
        <w:rPr>
          <w:iCs/>
        </w:rPr>
        <w:t xml:space="preserve">, </w:t>
      </w:r>
      <w:r w:rsidR="001C3958" w:rsidRPr="00771E6E">
        <w:rPr>
          <w:iCs/>
        </w:rPr>
        <w:t xml:space="preserve">these treatises testify to the existence of both practices. It could be said that the </w:t>
      </w:r>
      <w:r w:rsidR="00C045ED" w:rsidRPr="00771E6E">
        <w:rPr>
          <w:iCs/>
        </w:rPr>
        <w:t xml:space="preserve">mere </w:t>
      </w:r>
      <w:r w:rsidR="001C3958" w:rsidRPr="00771E6E">
        <w:rPr>
          <w:iCs/>
        </w:rPr>
        <w:t xml:space="preserve">presence of advice on maternal lactation in prescriptive texts was </w:t>
      </w:r>
      <w:r w:rsidR="00C045ED" w:rsidRPr="00771E6E">
        <w:rPr>
          <w:iCs/>
        </w:rPr>
        <w:t>indicative of the widespread practice of hiring wet-nurses</w:t>
      </w:r>
      <w:r w:rsidR="003552AF" w:rsidRPr="00771E6E">
        <w:rPr>
          <w:iCs/>
        </w:rPr>
        <w:t xml:space="preserve">, which seems to be confirmed by </w:t>
      </w:r>
      <w:proofErr w:type="spellStart"/>
      <w:r w:rsidR="003552AF" w:rsidRPr="00771E6E">
        <w:rPr>
          <w:i/>
        </w:rPr>
        <w:t>ricordanze</w:t>
      </w:r>
      <w:proofErr w:type="spellEnd"/>
      <w:r w:rsidR="003552AF" w:rsidRPr="00771E6E">
        <w:rPr>
          <w:i/>
        </w:rPr>
        <w:t xml:space="preserve"> </w:t>
      </w:r>
      <w:r w:rsidR="003552AF" w:rsidRPr="00771E6E">
        <w:rPr>
          <w:iCs/>
        </w:rPr>
        <w:lastRenderedPageBreak/>
        <w:t>records of children being sent out to the countryside</w:t>
      </w:r>
      <w:r w:rsidR="00B82F99" w:rsidRPr="00771E6E">
        <w:rPr>
          <w:iCs/>
        </w:rPr>
        <w:t xml:space="preserve"> to be nursed</w:t>
      </w:r>
      <w:r w:rsidR="003552AF" w:rsidRPr="00771E6E">
        <w:rPr>
          <w:iCs/>
        </w:rPr>
        <w:t>.</w:t>
      </w:r>
      <w:r w:rsidR="003552AF" w:rsidRPr="00771E6E">
        <w:rPr>
          <w:rStyle w:val="FootnoteReference"/>
          <w:iCs/>
        </w:rPr>
        <w:footnoteReference w:id="29"/>
      </w:r>
      <w:r w:rsidR="003552AF" w:rsidRPr="00771E6E">
        <w:rPr>
          <w:iCs/>
        </w:rPr>
        <w:t xml:space="preserve"> </w:t>
      </w:r>
      <w:r w:rsidR="00C045ED" w:rsidRPr="00771E6E">
        <w:rPr>
          <w:iCs/>
        </w:rPr>
        <w:t xml:space="preserve">However, as Rudolph </w:t>
      </w:r>
      <w:r w:rsidR="003552AF" w:rsidRPr="00771E6E">
        <w:rPr>
          <w:iCs/>
        </w:rPr>
        <w:t>M. Bell has suggested, it is more likely that this practice was actually not very popular, as prescriptive manuals do not</w:t>
      </w:r>
      <w:r w:rsidR="0076521D" w:rsidRPr="00771E6E">
        <w:rPr>
          <w:iCs/>
        </w:rPr>
        <w:t xml:space="preserve"> provide advice regarding </w:t>
      </w:r>
      <w:r w:rsidR="003552AF" w:rsidRPr="00771E6E">
        <w:rPr>
          <w:iCs/>
        </w:rPr>
        <w:t>visiting children who were put out to nurse</w:t>
      </w:r>
      <w:r w:rsidR="00B82F99" w:rsidRPr="00771E6E">
        <w:rPr>
          <w:iCs/>
        </w:rPr>
        <w:t xml:space="preserve">, but rather provide advice </w:t>
      </w:r>
      <w:r w:rsidR="001E5309" w:rsidRPr="00771E6E">
        <w:rPr>
          <w:iCs/>
        </w:rPr>
        <w:t>for</w:t>
      </w:r>
      <w:r w:rsidR="00B82F99" w:rsidRPr="00771E6E">
        <w:rPr>
          <w:iCs/>
        </w:rPr>
        <w:t xml:space="preserve"> infant</w:t>
      </w:r>
      <w:r w:rsidR="001E5309" w:rsidRPr="00771E6E">
        <w:rPr>
          <w:iCs/>
        </w:rPr>
        <w:t>s</w:t>
      </w:r>
      <w:r w:rsidR="00B82F99" w:rsidRPr="00771E6E">
        <w:rPr>
          <w:iCs/>
        </w:rPr>
        <w:t xml:space="preserve"> </w:t>
      </w:r>
      <w:r w:rsidR="001E5309" w:rsidRPr="00771E6E">
        <w:rPr>
          <w:iCs/>
        </w:rPr>
        <w:t xml:space="preserve">cared for </w:t>
      </w:r>
      <w:r w:rsidR="00B82F99" w:rsidRPr="00771E6E">
        <w:rPr>
          <w:iCs/>
        </w:rPr>
        <w:t>by their own birth mother or by a wet-nurse living in the same house.</w:t>
      </w:r>
      <w:r w:rsidR="00C045ED" w:rsidRPr="00771E6E">
        <w:rPr>
          <w:rStyle w:val="FootnoteReference"/>
          <w:iCs/>
        </w:rPr>
        <w:footnoteReference w:id="30"/>
      </w:r>
      <w:r w:rsidR="00B82F99" w:rsidRPr="00771E6E">
        <w:rPr>
          <w:iCs/>
        </w:rPr>
        <w:t xml:space="preserve"> </w:t>
      </w:r>
      <w:r w:rsidR="001840E8" w:rsidRPr="00771E6E">
        <w:rPr>
          <w:iCs/>
        </w:rPr>
        <w:t xml:space="preserve"> </w:t>
      </w:r>
    </w:p>
    <w:p w14:paraId="694976F9" w14:textId="3CB775A8" w:rsidR="001840E8" w:rsidRPr="00771E6E" w:rsidRDefault="00B82F99" w:rsidP="001840E8">
      <w:pPr>
        <w:tabs>
          <w:tab w:val="left" w:pos="993"/>
        </w:tabs>
        <w:ind w:firstLine="720"/>
        <w:rPr>
          <w:iCs/>
        </w:rPr>
      </w:pPr>
      <w:r w:rsidRPr="00771E6E">
        <w:rPr>
          <w:iCs/>
        </w:rPr>
        <w:t>A</w:t>
      </w:r>
      <w:r w:rsidR="001840E8" w:rsidRPr="00771E6E">
        <w:rPr>
          <w:iCs/>
        </w:rPr>
        <w:t xml:space="preserve">s well as moral qualities, it was also believed that </w:t>
      </w:r>
      <w:proofErr w:type="spellStart"/>
      <w:r w:rsidRPr="00771E6E">
        <w:rPr>
          <w:iCs/>
        </w:rPr>
        <w:t>brestfeeding</w:t>
      </w:r>
      <w:proofErr w:type="spellEnd"/>
      <w:r w:rsidR="001840E8" w:rsidRPr="00771E6E">
        <w:rPr>
          <w:iCs/>
        </w:rPr>
        <w:t xml:space="preserve"> could even transmit practical skills. The artist Michelangelo Buonarroti (1475-1564), in a conversation with the artist and biographer Giorgio Vasari (1511-1574), declared that, having been wet-nursed by a woman who was a </w:t>
      </w:r>
      <w:r w:rsidR="001840E8" w:rsidRPr="00771E6E">
        <w:rPr>
          <w:color w:val="000000"/>
        </w:rPr>
        <w:t>daughter of one stonemason and wife of another, “I suckled, with the nurse’s milk, the chisels and the mallet with which I make figures,” thus crediting her with the fact that he had become a sculptor.</w:t>
      </w:r>
      <w:r w:rsidR="001840E8" w:rsidRPr="00771E6E">
        <w:rPr>
          <w:rStyle w:val="FootnoteReference"/>
        </w:rPr>
        <w:footnoteReference w:id="31"/>
      </w:r>
      <w:r w:rsidR="001840E8" w:rsidRPr="00771E6E">
        <w:rPr>
          <w:color w:val="000000"/>
        </w:rPr>
        <w:t xml:space="preserve"> Similarly, in his biography of Raphael, Vasari recounts that the artist gained his qualities and exceptional virtues of character through being breastfed by his own mother, in accordance with his father’s will.</w:t>
      </w:r>
      <w:r w:rsidR="001840E8" w:rsidRPr="00771E6E">
        <w:rPr>
          <w:rStyle w:val="FootnoteReference"/>
        </w:rPr>
        <w:footnoteReference w:id="32"/>
      </w:r>
    </w:p>
    <w:p w14:paraId="42660D3E" w14:textId="77777777" w:rsidR="001840E8" w:rsidRPr="00771E6E" w:rsidRDefault="001840E8" w:rsidP="001840E8">
      <w:pPr>
        <w:ind w:firstLine="720"/>
      </w:pPr>
      <w:r w:rsidRPr="00771E6E">
        <w:t xml:space="preserve">Vasari’s observations provide an indication of the popularity that this concept still maintained in the second half of the sixteenth century; and while he only mentions in passing the anecdote about Raphael in the first edition of his </w:t>
      </w:r>
      <w:r w:rsidRPr="00771E6E">
        <w:rPr>
          <w:i/>
        </w:rPr>
        <w:t>Lives</w:t>
      </w:r>
      <w:r w:rsidRPr="00771E6E">
        <w:t xml:space="preserve"> in 1550, the second edition of 1568 expands upon it further, adding that Raphael’s father knew about the importance of being breastfed by one’s own mother rather than by a wet nurse, and of being raised in the paternal home, rather than in the home of commoners through which his child might have learned coarse manners.</w:t>
      </w:r>
      <w:r w:rsidRPr="00771E6E">
        <w:rPr>
          <w:rStyle w:val="FootnoteReference"/>
        </w:rPr>
        <w:footnoteReference w:id="33"/>
      </w:r>
      <w:r w:rsidRPr="00771E6E">
        <w:t xml:space="preserve"> It is interesting to note that during this period the verbs “to feed” (</w:t>
      </w:r>
      <w:proofErr w:type="spellStart"/>
      <w:r w:rsidRPr="00771E6E">
        <w:rPr>
          <w:i/>
        </w:rPr>
        <w:t>nutrire</w:t>
      </w:r>
      <w:proofErr w:type="spellEnd"/>
      <w:r w:rsidRPr="00771E6E">
        <w:t>) and “to educate” (</w:t>
      </w:r>
      <w:proofErr w:type="spellStart"/>
      <w:r w:rsidRPr="00771E6E">
        <w:rPr>
          <w:i/>
        </w:rPr>
        <w:t>educare</w:t>
      </w:r>
      <w:proofErr w:type="spellEnd"/>
      <w:r w:rsidRPr="00771E6E">
        <w:t xml:space="preserve">) were used almost interchangeably </w:t>
      </w:r>
      <w:r w:rsidRPr="00771E6E">
        <w:lastRenderedPageBreak/>
        <w:t>to mean both suckle and educate.</w:t>
      </w:r>
      <w:r w:rsidRPr="00771E6E">
        <w:rPr>
          <w:rStyle w:val="FootnoteReference"/>
        </w:rPr>
        <w:footnoteReference w:id="34"/>
      </w:r>
      <w:r w:rsidRPr="00771E6E">
        <w:t xml:space="preserve"> This blurring of meanings suggests that nursing, with all the implications of the transmission of virtues or vices, was viewed as an educative practice and was seen to be part of the moral upbringing of children. </w:t>
      </w:r>
    </w:p>
    <w:p w14:paraId="6016D4BE" w14:textId="77777777" w:rsidR="001840E8" w:rsidRPr="00771E6E" w:rsidRDefault="001840E8" w:rsidP="001840E8">
      <w:pPr>
        <w:ind w:firstLine="720"/>
      </w:pPr>
      <w:r w:rsidRPr="00771E6E">
        <w:t xml:space="preserve">The advocacy of maternal nursing is also closely linked with its religious and spiritual connotations. Saint Elizabeth, mother of Saint John the Baptist, and the Virgin Mary, were described in the act of nursing their sons in many writings and were frequently depicted in this attitude in works of art. In one of her sacred tales, probably written during the late 1470s, Lucrezia Tornabuoni, the mother of Lorenzo </w:t>
      </w:r>
      <w:proofErr w:type="spellStart"/>
      <w:r w:rsidRPr="00771E6E">
        <w:t>il</w:t>
      </w:r>
      <w:proofErr w:type="spellEnd"/>
      <w:r w:rsidRPr="00771E6E">
        <w:t xml:space="preserve"> Magnifico, envisioned Saint Elizabeth, who held her son and “gave him her breast” while waiting for him to be named.</w:t>
      </w:r>
      <w:r w:rsidRPr="00771E6E">
        <w:rPr>
          <w:rStyle w:val="FootnoteReference"/>
        </w:rPr>
        <w:footnoteReference w:id="35"/>
      </w:r>
      <w:r w:rsidRPr="00771E6E">
        <w:t xml:space="preserve"> </w:t>
      </w:r>
    </w:p>
    <w:p w14:paraId="66EC7954" w14:textId="77777777" w:rsidR="001840E8" w:rsidRPr="00771E6E" w:rsidRDefault="001840E8" w:rsidP="001840E8">
      <w:pPr>
        <w:ind w:firstLine="720"/>
      </w:pPr>
      <w:r w:rsidRPr="00771E6E">
        <w:t xml:space="preserve">At the same time, images of the nursing Virgin Mary proliferated across Italy. In a number of depictions, the Virgin Mary is shown appearing to Saints in holy visions, in which her milk acts as a metaphor for her intercession on behalf of humankind. Far more frequently, however, the Virgin is depicted in the act of breastfeeding her son as </w:t>
      </w:r>
      <w:r w:rsidRPr="00771E6E">
        <w:rPr>
          <w:i/>
        </w:rPr>
        <w:t xml:space="preserve">Madonna </w:t>
      </w:r>
      <w:proofErr w:type="spellStart"/>
      <w:r w:rsidRPr="00771E6E">
        <w:rPr>
          <w:i/>
        </w:rPr>
        <w:t>lactans</w:t>
      </w:r>
      <w:proofErr w:type="spellEnd"/>
      <w:r w:rsidRPr="00771E6E">
        <w:t xml:space="preserve"> (fig. 1.1), </w:t>
      </w:r>
      <w:r w:rsidRPr="00771E6E">
        <w:rPr>
          <w:iCs/>
        </w:rPr>
        <w:t>w</w:t>
      </w:r>
      <w:r w:rsidRPr="00771E6E">
        <w:t xml:space="preserve">hich, as Megan Holmes suggests, could be interpreted as an </w:t>
      </w:r>
      <w:proofErr w:type="spellStart"/>
      <w:r w:rsidRPr="00771E6E">
        <w:t>idealised</w:t>
      </w:r>
      <w:proofErr w:type="spellEnd"/>
      <w:r w:rsidRPr="00771E6E">
        <w:t xml:space="preserve"> model for mothers and wet nurses to follow.</w:t>
      </w:r>
      <w:r w:rsidRPr="00771E6E">
        <w:rPr>
          <w:rStyle w:val="FootnoteReference"/>
        </w:rPr>
        <w:footnoteReference w:id="36"/>
      </w:r>
      <w:r w:rsidRPr="00771E6E">
        <w:t xml:space="preserve"> This use of images of the Virgin Mary was, for example, advocated by the physician Michele Savonarola</w:t>
      </w:r>
      <w:r w:rsidRPr="00771E6E">
        <w:rPr>
          <w:iCs/>
        </w:rPr>
        <w:t>,</w:t>
      </w:r>
      <w:r w:rsidRPr="00771E6E">
        <w:t xml:space="preserve"> who states, “woman, you should always want to place before your eyes the humble Virgin, mother of the son of God, who breastfed her own child and took good care of him”.</w:t>
      </w:r>
      <w:r w:rsidRPr="00771E6E">
        <w:rPr>
          <w:rStyle w:val="FootnoteReference"/>
        </w:rPr>
        <w:footnoteReference w:id="37"/>
      </w:r>
    </w:p>
    <w:p w14:paraId="18F77278" w14:textId="6012CADB" w:rsidR="001840E8" w:rsidRPr="00771E6E" w:rsidRDefault="00CA4A46" w:rsidP="000F53FC">
      <w:r w:rsidRPr="00771E6E">
        <w:t>Although prescriptive literature does not necessarily present a</w:t>
      </w:r>
      <w:r w:rsidR="00150825" w:rsidRPr="00771E6E">
        <w:t>n accurate</w:t>
      </w:r>
      <w:r w:rsidRPr="00771E6E">
        <w:t xml:space="preserve"> picture of contemporary practice, it still </w:t>
      </w:r>
      <w:r w:rsidR="001E5309" w:rsidRPr="00771E6E">
        <w:t>exemplifies contemporary</w:t>
      </w:r>
      <w:r w:rsidRPr="00771E6E">
        <w:t xml:space="preserve"> advice </w:t>
      </w:r>
      <w:r w:rsidR="00181FF9" w:rsidRPr="00771E6E">
        <w:t xml:space="preserve">and recommendations </w:t>
      </w:r>
      <w:r w:rsidRPr="00771E6E">
        <w:t>on what was thought best on the topics of marriage and child-rearing</w:t>
      </w:r>
      <w:r w:rsidR="00181FF9" w:rsidRPr="00771E6E">
        <w:t>, at least from the perspective of their male writers</w:t>
      </w:r>
      <w:r w:rsidR="00926F0D" w:rsidRPr="00771E6E">
        <w:t xml:space="preserve">. This </w:t>
      </w:r>
      <w:r w:rsidR="00C642AC" w:rsidRPr="00771E6E">
        <w:t>contribut</w:t>
      </w:r>
      <w:r w:rsidR="00926F0D" w:rsidRPr="00771E6E">
        <w:t>ed</w:t>
      </w:r>
      <w:r w:rsidR="00C642AC" w:rsidRPr="00771E6E">
        <w:t xml:space="preserve"> to the dissemination of ideas on domestic life and education and testif</w:t>
      </w:r>
      <w:r w:rsidR="00926F0D" w:rsidRPr="00771E6E">
        <w:t>ied</w:t>
      </w:r>
      <w:r w:rsidR="00C642AC" w:rsidRPr="00771E6E">
        <w:t xml:space="preserve"> to the increased attention to household </w:t>
      </w:r>
      <w:r w:rsidR="00C642AC" w:rsidRPr="00771E6E">
        <w:lastRenderedPageBreak/>
        <w:t>management.</w:t>
      </w:r>
      <w:r w:rsidR="00F20467" w:rsidRPr="00771E6E">
        <w:rPr>
          <w:rStyle w:val="FootnoteReference"/>
        </w:rPr>
        <w:footnoteReference w:id="38"/>
      </w:r>
      <w:r w:rsidR="00C642AC" w:rsidRPr="00771E6E">
        <w:t xml:space="preserve"> </w:t>
      </w:r>
      <w:r w:rsidR="001840E8" w:rsidRPr="00771E6E">
        <w:t>With all its moral and spiritual connotations, lactation was the very first method used by parents to instil</w:t>
      </w:r>
      <w:r w:rsidR="00150825" w:rsidRPr="00771E6E">
        <w:t>l</w:t>
      </w:r>
      <w:r w:rsidR="001840E8" w:rsidRPr="00771E6E">
        <w:t xml:space="preserve"> morality in their offspring, initiating a commitment that would see them involved in their children’s education for many years to come. As a domestic practice, maternal breastfeeding was the most intimate way through which positive values could be passed on in order to encourage the development of virtue.</w:t>
      </w:r>
      <w:bookmarkStart w:id="8" w:name="_Toc507939118"/>
    </w:p>
    <w:p w14:paraId="5DEEB330" w14:textId="24DAA310" w:rsidR="001840E8" w:rsidRPr="00771E6E" w:rsidRDefault="001840E8" w:rsidP="000F53FC">
      <w:pPr>
        <w:rPr>
          <w:iCs/>
        </w:rPr>
      </w:pPr>
    </w:p>
    <w:p w14:paraId="72AE5E4C" w14:textId="77777777" w:rsidR="000F53FC" w:rsidRPr="00771E6E" w:rsidRDefault="000F53FC" w:rsidP="000F53FC">
      <w:pPr>
        <w:rPr>
          <w:iCs/>
        </w:rPr>
      </w:pPr>
    </w:p>
    <w:p w14:paraId="295D21DD" w14:textId="77777777" w:rsidR="001840E8" w:rsidRPr="00771E6E" w:rsidRDefault="001840E8" w:rsidP="001840E8">
      <w:pPr>
        <w:pStyle w:val="Subchapter"/>
      </w:pPr>
      <w:bookmarkStart w:id="9" w:name="_Toc4329143"/>
      <w:bookmarkStart w:id="10" w:name="_Toc20167594"/>
      <w:r w:rsidRPr="00771E6E">
        <w:t xml:space="preserve">1.2 Domestic Teaching: Learning the </w:t>
      </w:r>
      <w:bookmarkEnd w:id="8"/>
      <w:r w:rsidRPr="00771E6E">
        <w:t>Basics</w:t>
      </w:r>
      <w:bookmarkEnd w:id="9"/>
      <w:bookmarkEnd w:id="10"/>
      <w:r w:rsidRPr="00771E6E">
        <w:t xml:space="preserve"> </w:t>
      </w:r>
    </w:p>
    <w:p w14:paraId="74E8E490" w14:textId="77777777" w:rsidR="001840E8" w:rsidRPr="00771E6E" w:rsidRDefault="001840E8" w:rsidP="001840E8">
      <w:pPr>
        <w:tabs>
          <w:tab w:val="left" w:pos="1311"/>
        </w:tabs>
        <w:ind w:firstLine="720"/>
      </w:pPr>
    </w:p>
    <w:p w14:paraId="25955AE1" w14:textId="77777777" w:rsidR="001840E8" w:rsidRPr="00771E6E" w:rsidRDefault="001840E8" w:rsidP="001840E8">
      <w:pPr>
        <w:tabs>
          <w:tab w:val="left" w:pos="1311"/>
        </w:tabs>
        <w:rPr>
          <w:iCs/>
        </w:rPr>
      </w:pPr>
      <w:r w:rsidRPr="00771E6E">
        <w:t>Having initially absorbed moral values through the natural process of breastfeeding, the next stage of a child’s development required parents to be involved in the teaching process. Scholars and members of the clergy encouraged parents to educate their children at home while they were still of pre-school age</w:t>
      </w:r>
      <w:r w:rsidRPr="00771E6E">
        <w:rPr>
          <w:iCs/>
        </w:rPr>
        <w:t>.</w:t>
      </w:r>
      <w:r w:rsidRPr="00771E6E">
        <w:rPr>
          <w:rStyle w:val="FootnoteReference"/>
        </w:rPr>
        <w:footnoteReference w:id="39"/>
      </w:r>
      <w:r w:rsidRPr="00771E6E">
        <w:rPr>
          <w:iCs/>
        </w:rPr>
        <w:t xml:space="preserve"> According to </w:t>
      </w:r>
      <w:proofErr w:type="spellStart"/>
      <w:r w:rsidRPr="00771E6E">
        <w:rPr>
          <w:iCs/>
        </w:rPr>
        <w:t>Vegio</w:t>
      </w:r>
      <w:proofErr w:type="spellEnd"/>
      <w:r w:rsidRPr="00771E6E">
        <w:rPr>
          <w:iCs/>
        </w:rPr>
        <w:t>, parents should focus all their effort on “the education of their children” (</w:t>
      </w:r>
      <w:r w:rsidRPr="00771E6E">
        <w:rPr>
          <w:i/>
          <w:iCs/>
        </w:rPr>
        <w:t xml:space="preserve">in </w:t>
      </w:r>
      <w:proofErr w:type="spellStart"/>
      <w:r w:rsidRPr="00771E6E">
        <w:rPr>
          <w:i/>
          <w:iCs/>
        </w:rPr>
        <w:t>erudiendis</w:t>
      </w:r>
      <w:proofErr w:type="spellEnd"/>
      <w:r w:rsidRPr="00771E6E">
        <w:rPr>
          <w:i/>
          <w:iCs/>
        </w:rPr>
        <w:t xml:space="preserve"> </w:t>
      </w:r>
      <w:proofErr w:type="spellStart"/>
      <w:r w:rsidRPr="00771E6E">
        <w:rPr>
          <w:i/>
          <w:iCs/>
        </w:rPr>
        <w:t>filiis</w:t>
      </w:r>
      <w:proofErr w:type="spellEnd"/>
      <w:r w:rsidRPr="00771E6E">
        <w:rPr>
          <w:iCs/>
        </w:rPr>
        <w:t>), in order to provide them with the treasures (</w:t>
      </w:r>
      <w:proofErr w:type="spellStart"/>
      <w:r w:rsidRPr="00771E6E">
        <w:rPr>
          <w:i/>
          <w:iCs/>
        </w:rPr>
        <w:t>thesauros</w:t>
      </w:r>
      <w:proofErr w:type="spellEnd"/>
      <w:r w:rsidRPr="00771E6E">
        <w:rPr>
          <w:iCs/>
        </w:rPr>
        <w:t>) of letters and liberal arts (</w:t>
      </w:r>
      <w:proofErr w:type="spellStart"/>
      <w:r w:rsidRPr="00771E6E">
        <w:rPr>
          <w:i/>
          <w:iCs/>
        </w:rPr>
        <w:t>litterarum</w:t>
      </w:r>
      <w:proofErr w:type="spellEnd"/>
      <w:r w:rsidRPr="00771E6E">
        <w:rPr>
          <w:i/>
          <w:iCs/>
        </w:rPr>
        <w:t xml:space="preserve"> ac </w:t>
      </w:r>
      <w:proofErr w:type="spellStart"/>
      <w:r w:rsidRPr="00771E6E">
        <w:rPr>
          <w:i/>
          <w:iCs/>
        </w:rPr>
        <w:t>bonarum</w:t>
      </w:r>
      <w:proofErr w:type="spellEnd"/>
      <w:r w:rsidRPr="00771E6E">
        <w:rPr>
          <w:i/>
          <w:iCs/>
        </w:rPr>
        <w:t xml:space="preserve"> </w:t>
      </w:r>
      <w:proofErr w:type="spellStart"/>
      <w:r w:rsidRPr="00771E6E">
        <w:rPr>
          <w:i/>
          <w:iCs/>
        </w:rPr>
        <w:t>artium</w:t>
      </w:r>
      <w:proofErr w:type="spellEnd"/>
      <w:r w:rsidRPr="00771E6E">
        <w:rPr>
          <w:iCs/>
        </w:rPr>
        <w:t>), until they reached the age of seven.</w:t>
      </w:r>
      <w:r w:rsidRPr="00771E6E">
        <w:rPr>
          <w:rStyle w:val="FootnoteReference"/>
        </w:rPr>
        <w:footnoteReference w:id="40"/>
      </w:r>
    </w:p>
    <w:p w14:paraId="6DCC393C" w14:textId="77777777" w:rsidR="001840E8" w:rsidRPr="00771E6E" w:rsidRDefault="001840E8" w:rsidP="001840E8">
      <w:pPr>
        <w:tabs>
          <w:tab w:val="left" w:pos="1311"/>
        </w:tabs>
        <w:ind w:firstLine="720"/>
        <w:rPr>
          <w:iCs/>
        </w:rPr>
      </w:pPr>
      <w:r w:rsidRPr="00771E6E">
        <w:t>The children of the household were cared for mainly by women, a tendency which was supported by Alberti in his book on family care, who declared that, “this whole tender age is more properly assigned to women’s quiet care than to the active attention of men … so let the earliest period be spent entirely outside the father’s arms. Let the child rest, let him sleep in his mother’s lap.”</w:t>
      </w:r>
      <w:r w:rsidRPr="00771E6E">
        <w:rPr>
          <w:rStyle w:val="FootnoteReference"/>
        </w:rPr>
        <w:footnoteReference w:id="41"/>
      </w:r>
      <w:r w:rsidRPr="00771E6E">
        <w:t xml:space="preserve"> As they would care for children in their first years of life, mothers were largely considered to be responsible for the initial education and development of their children. In </w:t>
      </w:r>
      <w:proofErr w:type="spellStart"/>
      <w:r w:rsidRPr="00771E6E">
        <w:t>Barbaro’s</w:t>
      </w:r>
      <w:proofErr w:type="spellEnd"/>
      <w:r w:rsidRPr="00771E6E">
        <w:t xml:space="preserve"> words,</w:t>
      </w:r>
      <w:r w:rsidRPr="00771E6E">
        <w:rPr>
          <w:iCs/>
        </w:rPr>
        <w:t xml:space="preserve"> “after their offspring have passed their infancy, mothers should use all their skill, care and effort to ensure that their children are endowed with excellent qualities of mind and body”.</w:t>
      </w:r>
      <w:r w:rsidRPr="00771E6E">
        <w:rPr>
          <w:rStyle w:val="FootnoteReference"/>
        </w:rPr>
        <w:footnoteReference w:id="42"/>
      </w:r>
      <w:r w:rsidRPr="00771E6E">
        <w:rPr>
          <w:iCs/>
        </w:rPr>
        <w:t xml:space="preserve"> </w:t>
      </w:r>
    </w:p>
    <w:p w14:paraId="4EBCA849" w14:textId="77777777" w:rsidR="001840E8" w:rsidRPr="00771E6E" w:rsidRDefault="001840E8" w:rsidP="001840E8">
      <w:pPr>
        <w:ind w:firstLine="720"/>
      </w:pPr>
      <w:r w:rsidRPr="00771E6E">
        <w:lastRenderedPageBreak/>
        <w:t xml:space="preserve">It was of great importance that the woman nursing the child was able to speak in a dignified manner, because the child would learn how to speak by imitating her. </w:t>
      </w:r>
      <w:r w:rsidRPr="00771E6E">
        <w:rPr>
          <w:iCs/>
        </w:rPr>
        <w:t>Fifteenth-century scholars and pedagogues, basing their advice on ancient sources, were very concerned about the acquisition of proper speech by children.</w:t>
      </w:r>
      <w:r w:rsidRPr="00771E6E">
        <w:rPr>
          <w:rStyle w:val="FootnoteReference"/>
        </w:rPr>
        <w:footnoteReference w:id="43"/>
      </w:r>
      <w:r w:rsidRPr="00771E6E">
        <w:rPr>
          <w:iCs/>
        </w:rPr>
        <w:t xml:space="preserve"> For example, </w:t>
      </w:r>
      <w:proofErr w:type="spellStart"/>
      <w:r w:rsidRPr="00771E6E">
        <w:rPr>
          <w:iCs/>
        </w:rPr>
        <w:t>Piccolomini</w:t>
      </w:r>
      <w:proofErr w:type="spellEnd"/>
      <w:r w:rsidRPr="00771E6E">
        <w:rPr>
          <w:iCs/>
        </w:rPr>
        <w:t xml:space="preserve"> declares that, “the words of a mother seasoned with patience and elegance have often been profitable to sons; many have written of Cornelia, the mother of the Gracchi, the fragrance of whose eloquence could be scented in her sons.”</w:t>
      </w:r>
      <w:r w:rsidRPr="00771E6E">
        <w:rPr>
          <w:rStyle w:val="FootnoteReference"/>
        </w:rPr>
        <w:footnoteReference w:id="44"/>
      </w:r>
      <w:r w:rsidRPr="00771E6E">
        <w:rPr>
          <w:iCs/>
        </w:rPr>
        <w:t xml:space="preserve"> Other authors stressed the importance of the way in which a child’s mother taught them language and advised avoiding wet nurses or servants from whom they might learn improper speech. Regarding this,</w:t>
      </w:r>
      <w:r w:rsidRPr="00771E6E">
        <w:t xml:space="preserve"> </w:t>
      </w:r>
      <w:r w:rsidRPr="00771E6E">
        <w:rPr>
          <w:iCs/>
        </w:rPr>
        <w:t xml:space="preserve">Francesco </w:t>
      </w:r>
      <w:proofErr w:type="spellStart"/>
      <w:r w:rsidRPr="00771E6E">
        <w:rPr>
          <w:iCs/>
        </w:rPr>
        <w:t>Barbaro</w:t>
      </w:r>
      <w:proofErr w:type="spellEnd"/>
      <w:r w:rsidRPr="00771E6E">
        <w:rPr>
          <w:iCs/>
        </w:rPr>
        <w:t xml:space="preserve"> notes that, if the employment of a wet nurse was absolutely necessary, mothers should choose one who was “endowed with dignified speech” (</w:t>
      </w:r>
      <w:proofErr w:type="spellStart"/>
      <w:r w:rsidRPr="00771E6E">
        <w:rPr>
          <w:i/>
          <w:iCs/>
        </w:rPr>
        <w:t>exquisitio</w:t>
      </w:r>
      <w:proofErr w:type="spellEnd"/>
      <w:r w:rsidRPr="00771E6E">
        <w:rPr>
          <w:i/>
          <w:iCs/>
        </w:rPr>
        <w:t xml:space="preserve"> </w:t>
      </w:r>
      <w:proofErr w:type="spellStart"/>
      <w:r w:rsidRPr="00771E6E">
        <w:rPr>
          <w:i/>
          <w:iCs/>
        </w:rPr>
        <w:t>sermone</w:t>
      </w:r>
      <w:proofErr w:type="spellEnd"/>
      <w:r w:rsidRPr="00771E6E">
        <w:rPr>
          <w:i/>
          <w:iCs/>
        </w:rPr>
        <w:t xml:space="preserve"> </w:t>
      </w:r>
      <w:proofErr w:type="spellStart"/>
      <w:r w:rsidRPr="00771E6E">
        <w:rPr>
          <w:i/>
          <w:iCs/>
        </w:rPr>
        <w:t>praeditas</w:t>
      </w:r>
      <w:proofErr w:type="spellEnd"/>
      <w:r w:rsidRPr="00771E6E">
        <w:rPr>
          <w:iCs/>
        </w:rPr>
        <w:t>).</w:t>
      </w:r>
      <w:r w:rsidRPr="00771E6E">
        <w:rPr>
          <w:rStyle w:val="FootnoteReference"/>
          <w:iCs/>
        </w:rPr>
        <w:t xml:space="preserve"> </w:t>
      </w:r>
      <w:r w:rsidRPr="00771E6E">
        <w:rPr>
          <w:rStyle w:val="FootnoteReference"/>
        </w:rPr>
        <w:footnoteReference w:id="45"/>
      </w:r>
      <w:r w:rsidRPr="00771E6E">
        <w:rPr>
          <w:iCs/>
        </w:rPr>
        <w:t xml:space="preserve"> Similarly, Matteo Palmieri recommends that a nurse should “neither stammer nor mumble” (</w:t>
      </w:r>
      <w:r w:rsidRPr="00771E6E">
        <w:rPr>
          <w:i/>
        </w:rPr>
        <w:t xml:space="preserve">none </w:t>
      </w:r>
      <w:proofErr w:type="spellStart"/>
      <w:r w:rsidRPr="00771E6E">
        <w:rPr>
          <w:i/>
        </w:rPr>
        <w:t>scilingui</w:t>
      </w:r>
      <w:proofErr w:type="spellEnd"/>
      <w:r w:rsidRPr="00771E6E">
        <w:rPr>
          <w:i/>
        </w:rPr>
        <w:t xml:space="preserve"> né </w:t>
      </w:r>
      <w:proofErr w:type="spellStart"/>
      <w:r w:rsidRPr="00771E6E">
        <w:rPr>
          <w:i/>
        </w:rPr>
        <w:t>parli</w:t>
      </w:r>
      <w:proofErr w:type="spellEnd"/>
      <w:r w:rsidRPr="00771E6E">
        <w:rPr>
          <w:i/>
        </w:rPr>
        <w:t xml:space="preserve"> </w:t>
      </w:r>
      <w:proofErr w:type="spellStart"/>
      <w:r w:rsidRPr="00771E6E">
        <w:rPr>
          <w:i/>
        </w:rPr>
        <w:t>mozo</w:t>
      </w:r>
      <w:proofErr w:type="spellEnd"/>
      <w:r w:rsidRPr="00771E6E">
        <w:t>)</w:t>
      </w:r>
      <w:r w:rsidRPr="00771E6E">
        <w:rPr>
          <w:iCs/>
        </w:rPr>
        <w:t xml:space="preserve"> so that her child would not acquire such habits, which would be difficult to correct in later years</w:t>
      </w:r>
      <w:r w:rsidRPr="00771E6E">
        <w:t>.</w:t>
      </w:r>
      <w:r w:rsidRPr="00771E6E">
        <w:rPr>
          <w:rStyle w:val="FootnoteReference"/>
        </w:rPr>
        <w:footnoteReference w:id="46"/>
      </w:r>
      <w:r w:rsidRPr="00771E6E">
        <w:t xml:space="preserve"> A warning against the employment of a wet nurse who could not speak properly was also given by Jacopo di </w:t>
      </w:r>
      <w:proofErr w:type="spellStart"/>
      <w:r w:rsidRPr="00771E6E">
        <w:t>Porcia</w:t>
      </w:r>
      <w:proofErr w:type="spellEnd"/>
      <w:r w:rsidRPr="00771E6E">
        <w:t xml:space="preserve"> (Jacobi </w:t>
      </w:r>
      <w:proofErr w:type="spellStart"/>
      <w:r w:rsidRPr="00771E6E">
        <w:t>Comitis</w:t>
      </w:r>
      <w:proofErr w:type="spellEnd"/>
      <w:r w:rsidRPr="00771E6E">
        <w:t xml:space="preserve"> </w:t>
      </w:r>
      <w:proofErr w:type="spellStart"/>
      <w:r w:rsidRPr="00771E6E">
        <w:t>Purliliarum</w:t>
      </w:r>
      <w:proofErr w:type="spellEnd"/>
      <w:r w:rsidRPr="00771E6E">
        <w:t xml:space="preserve">), in his </w:t>
      </w:r>
      <w:r w:rsidRPr="00771E6E">
        <w:rPr>
          <w:i/>
        </w:rPr>
        <w:t xml:space="preserve">De </w:t>
      </w:r>
      <w:proofErr w:type="spellStart"/>
      <w:r w:rsidRPr="00771E6E">
        <w:rPr>
          <w:i/>
        </w:rPr>
        <w:t>generosa</w:t>
      </w:r>
      <w:proofErr w:type="spellEnd"/>
      <w:r w:rsidRPr="00771E6E">
        <w:rPr>
          <w:i/>
        </w:rPr>
        <w:t xml:space="preserve"> </w:t>
      </w:r>
      <w:proofErr w:type="spellStart"/>
      <w:r w:rsidRPr="00771E6E">
        <w:rPr>
          <w:i/>
        </w:rPr>
        <w:t>liberorum</w:t>
      </w:r>
      <w:proofErr w:type="spellEnd"/>
      <w:r w:rsidRPr="00771E6E">
        <w:rPr>
          <w:i/>
        </w:rPr>
        <w:t xml:space="preserve"> </w:t>
      </w:r>
      <w:proofErr w:type="spellStart"/>
      <w:r w:rsidRPr="00771E6E">
        <w:rPr>
          <w:i/>
        </w:rPr>
        <w:t>educatione</w:t>
      </w:r>
      <w:proofErr w:type="spellEnd"/>
      <w:r w:rsidRPr="00771E6E">
        <w:t xml:space="preserve"> (On the Noble Education of Children), written around 1470, and by </w:t>
      </w:r>
      <w:proofErr w:type="spellStart"/>
      <w:r w:rsidRPr="00771E6E">
        <w:t>Vegio</w:t>
      </w:r>
      <w:proofErr w:type="spellEnd"/>
      <w:r w:rsidRPr="00771E6E">
        <w:t xml:space="preserve"> in his </w:t>
      </w:r>
      <w:r w:rsidRPr="00771E6E">
        <w:rPr>
          <w:i/>
        </w:rPr>
        <w:t xml:space="preserve">De </w:t>
      </w:r>
      <w:proofErr w:type="spellStart"/>
      <w:r w:rsidRPr="00771E6E">
        <w:rPr>
          <w:i/>
        </w:rPr>
        <w:t>educatione</w:t>
      </w:r>
      <w:proofErr w:type="spellEnd"/>
      <w:r w:rsidRPr="00771E6E">
        <w:rPr>
          <w:i/>
        </w:rPr>
        <w:t xml:space="preserve"> </w:t>
      </w:r>
      <w:proofErr w:type="spellStart"/>
      <w:r w:rsidRPr="00771E6E">
        <w:rPr>
          <w:i/>
        </w:rPr>
        <w:t>liberorum</w:t>
      </w:r>
      <w:proofErr w:type="spellEnd"/>
      <w:r w:rsidRPr="00771E6E">
        <w:t>.</w:t>
      </w:r>
      <w:r w:rsidRPr="00771E6E">
        <w:rPr>
          <w:rStyle w:val="FootnoteReference"/>
        </w:rPr>
        <w:footnoteReference w:id="47"/>
      </w:r>
      <w:r w:rsidRPr="00771E6E">
        <w:t xml:space="preserve"> </w:t>
      </w:r>
    </w:p>
    <w:p w14:paraId="3690CB2B" w14:textId="77777777" w:rsidR="001840E8" w:rsidRPr="00771E6E" w:rsidRDefault="001840E8" w:rsidP="001840E8">
      <w:pPr>
        <w:ind w:firstLine="720"/>
      </w:pPr>
      <w:r w:rsidRPr="00771E6E">
        <w:t xml:space="preserve">Aside from contemporary writings, many ancient sources, in which great importance was given to proper speech and the mastery of language, were also reprinted several times during the fifteenth and sixteenth centuries, suggesting that they were widely read and had become extremely popular. For example, Quintilian’s </w:t>
      </w:r>
      <w:proofErr w:type="spellStart"/>
      <w:r w:rsidRPr="00771E6E">
        <w:rPr>
          <w:i/>
        </w:rPr>
        <w:t>Institutio</w:t>
      </w:r>
      <w:proofErr w:type="spellEnd"/>
      <w:r w:rsidRPr="00771E6E">
        <w:rPr>
          <w:i/>
        </w:rPr>
        <w:t xml:space="preserve"> </w:t>
      </w:r>
      <w:proofErr w:type="spellStart"/>
      <w:r w:rsidRPr="00771E6E">
        <w:rPr>
          <w:i/>
        </w:rPr>
        <w:t>Oratoria</w:t>
      </w:r>
      <w:proofErr w:type="spellEnd"/>
      <w:r w:rsidRPr="00771E6E">
        <w:t xml:space="preserve"> (Institutes of Oratory, first century AD) was widely available in printed form, with several editions starting from 1470 as well as a vernacular translation printed in 1536. In this treatise, the Roman rhetorician recommends choosing a nurse who could speak in a clear </w:t>
      </w:r>
      <w:r w:rsidRPr="00771E6E">
        <w:lastRenderedPageBreak/>
        <w:t>and accurate way.</w:t>
      </w:r>
      <w:r w:rsidRPr="00771E6E">
        <w:rPr>
          <w:rStyle w:val="FootnoteReference"/>
        </w:rPr>
        <w:footnoteReference w:id="48"/>
      </w:r>
      <w:r w:rsidRPr="00771E6E">
        <w:t xml:space="preserve"> Similarly, around thirty Latin editions of Cicero’s </w:t>
      </w:r>
      <w:r w:rsidRPr="00771E6E">
        <w:rPr>
          <w:i/>
        </w:rPr>
        <w:t xml:space="preserve">De </w:t>
      </w:r>
      <w:proofErr w:type="spellStart"/>
      <w:r w:rsidRPr="00771E6E">
        <w:rPr>
          <w:i/>
        </w:rPr>
        <w:t>Oratore</w:t>
      </w:r>
      <w:proofErr w:type="spellEnd"/>
      <w:r w:rsidRPr="00771E6E">
        <w:t xml:space="preserve"> (On the Orator, first century BC) survive from 1465 onwards, while the first vernacular edition of the text appeared in the mid-sixteenth century. It is clear from the recommendations given by fifteenth-century authors that acquiring accurate speech was considered to be a significant part of a broader moral educational process and the evidence of the impressive print circulation of ancient texts on oratory certainly attests to the popularity of this belief.</w:t>
      </w:r>
    </w:p>
    <w:p w14:paraId="6BCEF182" w14:textId="77777777" w:rsidR="001840E8" w:rsidRPr="00771E6E" w:rsidRDefault="001840E8" w:rsidP="001840E8">
      <w:pPr>
        <w:ind w:firstLine="720"/>
      </w:pPr>
      <w:r w:rsidRPr="00771E6E">
        <w:t xml:space="preserve">Having learned how to speak properly, a child was considered to be ready to start learning how to read. Matteo Palmieri was an advocate of early learning, and in his </w:t>
      </w:r>
      <w:r w:rsidRPr="00771E6E">
        <w:rPr>
          <w:i/>
        </w:rPr>
        <w:t xml:space="preserve">Vita </w:t>
      </w:r>
      <w:proofErr w:type="spellStart"/>
      <w:r w:rsidRPr="00771E6E">
        <w:rPr>
          <w:i/>
        </w:rPr>
        <w:t>Civile</w:t>
      </w:r>
      <w:proofErr w:type="spellEnd"/>
      <w:r w:rsidRPr="00771E6E">
        <w:t xml:space="preserve"> advised that it was better to introduce some (even if only a little) “likeness of teaching” (</w:t>
      </w:r>
      <w:proofErr w:type="spellStart"/>
      <w:r w:rsidRPr="00771E6E">
        <w:rPr>
          <w:i/>
        </w:rPr>
        <w:t>similitudine</w:t>
      </w:r>
      <w:proofErr w:type="spellEnd"/>
      <w:r w:rsidRPr="00771E6E">
        <w:rPr>
          <w:i/>
        </w:rPr>
        <w:t xml:space="preserve"> di </w:t>
      </w:r>
      <w:proofErr w:type="spellStart"/>
      <w:r w:rsidRPr="00771E6E">
        <w:rPr>
          <w:i/>
        </w:rPr>
        <w:t>doctrina</w:t>
      </w:r>
      <w:proofErr w:type="spellEnd"/>
      <w:r w:rsidRPr="00771E6E">
        <w:t>) as early as possible in the life of a child, although contemporary pedagogues generally recommended that formal schooling only started when a child reached seven years of age.</w:t>
      </w:r>
      <w:r w:rsidRPr="00771E6E">
        <w:rPr>
          <w:rStyle w:val="FootnoteReference"/>
        </w:rPr>
        <w:footnoteReference w:id="49"/>
      </w:r>
      <w:r w:rsidRPr="00771E6E">
        <w:t xml:space="preserve"> Palmieri even advised that “in the first years [of a child’s life], which are the dominion of the nurse, it is useful to provide some teaching on reading and writing to the little ones.”</w:t>
      </w:r>
      <w:r w:rsidRPr="00771E6E">
        <w:rPr>
          <w:rStyle w:val="FootnoteReference"/>
        </w:rPr>
        <w:footnoteReference w:id="50"/>
      </w:r>
      <w:r w:rsidRPr="00771E6E">
        <w:t xml:space="preserve"> Thus, it was advisable for children to begin basic learning when they were still being nursed. For this purpose, Palmieri adds that it would prove useful to employ the type of games that children would enjoy, to avoid them turning against the lessons, and he suggests following the example of:</w:t>
      </w:r>
    </w:p>
    <w:p w14:paraId="7D13ED9A" w14:textId="77777777" w:rsidR="001840E8" w:rsidRPr="00771E6E" w:rsidRDefault="001840E8" w:rsidP="001840E8">
      <w:pPr>
        <w:ind w:firstLine="720"/>
      </w:pPr>
    </w:p>
    <w:p w14:paraId="008F2403" w14:textId="77777777" w:rsidR="001840E8" w:rsidRPr="00771E6E" w:rsidRDefault="001840E8" w:rsidP="001840E8">
      <w:pPr>
        <w:pStyle w:val="IntenseQuote"/>
      </w:pPr>
      <w:r w:rsidRPr="00771E6E">
        <w:t xml:space="preserve">He who shaped fruit, sweets and other types of food for infants into the form of letters; then, encouraging his young boy, would promise to give them to him if he </w:t>
      </w:r>
      <w:proofErr w:type="spellStart"/>
      <w:r w:rsidRPr="00771E6E">
        <w:t>recognised</w:t>
      </w:r>
      <w:proofErr w:type="spellEnd"/>
      <w:r w:rsidRPr="00771E6E">
        <w:t xml:space="preserve"> them, saying: “This curved one is an S, this circle an O, the half circle is a C” and similarly for the other letters.</w:t>
      </w:r>
      <w:r w:rsidRPr="00771E6E">
        <w:rPr>
          <w:rStyle w:val="FootnoteReference"/>
        </w:rPr>
        <w:footnoteReference w:id="51"/>
      </w:r>
    </w:p>
    <w:p w14:paraId="0E652C55" w14:textId="77777777" w:rsidR="001840E8" w:rsidRPr="00771E6E" w:rsidRDefault="001840E8" w:rsidP="001840E8">
      <w:pPr>
        <w:ind w:firstLine="720"/>
      </w:pPr>
    </w:p>
    <w:p w14:paraId="5A6276EB" w14:textId="77777777" w:rsidR="001840E8" w:rsidRPr="00771E6E" w:rsidRDefault="001840E8" w:rsidP="001840E8">
      <w:pPr>
        <w:tabs>
          <w:tab w:val="left" w:pos="709"/>
        </w:tabs>
      </w:pPr>
      <w:r w:rsidRPr="00771E6E">
        <w:t xml:space="preserve">Identical instructions are given by Giovanni </w:t>
      </w:r>
      <w:proofErr w:type="spellStart"/>
      <w:r w:rsidRPr="00771E6E">
        <w:t>Rucellai</w:t>
      </w:r>
      <w:proofErr w:type="spellEnd"/>
      <w:r w:rsidRPr="00771E6E">
        <w:t xml:space="preserve"> in his </w:t>
      </w:r>
      <w:proofErr w:type="spellStart"/>
      <w:r w:rsidRPr="00771E6E">
        <w:rPr>
          <w:i/>
        </w:rPr>
        <w:t>Zibaldone</w:t>
      </w:r>
      <w:proofErr w:type="spellEnd"/>
      <w:r w:rsidRPr="00771E6E">
        <w:t>, a notebook of miscellaneous content compiled between 1457 and 1481, in which the author advises his reader:</w:t>
      </w:r>
    </w:p>
    <w:p w14:paraId="0E790A00" w14:textId="77777777" w:rsidR="001840E8" w:rsidRPr="00771E6E" w:rsidRDefault="001840E8" w:rsidP="001840E8">
      <w:pPr>
        <w:tabs>
          <w:tab w:val="left" w:pos="709"/>
        </w:tabs>
        <w:ind w:firstLine="720"/>
      </w:pPr>
    </w:p>
    <w:p w14:paraId="54815E17" w14:textId="77777777" w:rsidR="001840E8" w:rsidRPr="00771E6E" w:rsidRDefault="001840E8" w:rsidP="001840E8">
      <w:pPr>
        <w:pStyle w:val="IntenseQuote"/>
      </w:pPr>
      <w:r w:rsidRPr="00771E6E">
        <w:t xml:space="preserve">As soon as [the child] is taken from the nurse, shape some letters with fruits, sweets, sugary treats and other types of food for infants; [then] encourage the young boy with them, promising to give them to him if he </w:t>
      </w:r>
      <w:proofErr w:type="spellStart"/>
      <w:r w:rsidRPr="00771E6E">
        <w:t>recognises</w:t>
      </w:r>
      <w:proofErr w:type="spellEnd"/>
      <w:r w:rsidRPr="00771E6E">
        <w:t xml:space="preserve"> them, saying: </w:t>
      </w:r>
      <w:r w:rsidRPr="00771E6E">
        <w:lastRenderedPageBreak/>
        <w:t>“This curved one is an S, this circle an O, the half circle is a C” and similarly for the other letters.</w:t>
      </w:r>
      <w:r w:rsidRPr="00771E6E">
        <w:rPr>
          <w:rStyle w:val="FootnoteReference"/>
        </w:rPr>
        <w:footnoteReference w:id="52"/>
      </w:r>
      <w:r w:rsidRPr="00771E6E">
        <w:t xml:space="preserve"> </w:t>
      </w:r>
    </w:p>
    <w:p w14:paraId="02038C20" w14:textId="77777777" w:rsidR="001840E8" w:rsidRPr="00771E6E" w:rsidRDefault="001840E8" w:rsidP="001840E8">
      <w:pPr>
        <w:tabs>
          <w:tab w:val="left" w:pos="709"/>
        </w:tabs>
        <w:ind w:left="709" w:right="645"/>
        <w:jc w:val="both"/>
      </w:pPr>
    </w:p>
    <w:p w14:paraId="5D234D16" w14:textId="77777777" w:rsidR="001840E8" w:rsidRPr="00771E6E" w:rsidRDefault="001840E8" w:rsidP="001840E8">
      <w:pPr>
        <w:tabs>
          <w:tab w:val="left" w:pos="0"/>
        </w:tabs>
        <w:ind w:right="-8" w:firstLine="709"/>
      </w:pPr>
      <w:r w:rsidRPr="00771E6E">
        <w:t xml:space="preserve">Food was not the only culinary product used to teach the alphabet to children. In another example, taken from a book of </w:t>
      </w:r>
      <w:proofErr w:type="spellStart"/>
      <w:r w:rsidRPr="00771E6E">
        <w:rPr>
          <w:i/>
        </w:rPr>
        <w:t>Ricordanze</w:t>
      </w:r>
      <w:proofErr w:type="spellEnd"/>
      <w:r w:rsidRPr="00771E6E">
        <w:t xml:space="preserve"> (family memoir), </w:t>
      </w:r>
      <w:proofErr w:type="spellStart"/>
      <w:r w:rsidRPr="00771E6E">
        <w:t>Tribaldo</w:t>
      </w:r>
      <w:proofErr w:type="spellEnd"/>
      <w:r w:rsidRPr="00771E6E">
        <w:t xml:space="preserve"> de’ Rossi notes the expense he incurred in buying a fork made of steel, to be given to his son Amerigo most likely as a reward or as an incentive for learning, but in particular to be used by the child “when he was learning the alphabet by tapping on the table.”</w:t>
      </w:r>
      <w:r w:rsidRPr="00771E6E">
        <w:rPr>
          <w:rStyle w:val="FootnoteReference"/>
        </w:rPr>
        <w:footnoteReference w:id="53"/>
      </w:r>
      <w:r w:rsidRPr="00771E6E">
        <w:t xml:space="preserve"> Unfortunately, the author of the memoir does not explain the details of this technique, although a suggestion is made by </w:t>
      </w:r>
      <w:proofErr w:type="spellStart"/>
      <w:r w:rsidRPr="00771E6E">
        <w:t>Danièlle</w:t>
      </w:r>
      <w:proofErr w:type="spellEnd"/>
      <w:r w:rsidRPr="00771E6E">
        <w:t xml:space="preserve"> Alexandre-Bidon, who proposes that the child might have tapped with the fork on the table to chant the interval between each letter, in the same way as punctuation was used to isolate each letter in medieval spelling books.</w:t>
      </w:r>
      <w:r w:rsidRPr="00771E6E">
        <w:rPr>
          <w:rStyle w:val="FootnoteReference"/>
        </w:rPr>
        <w:footnoteReference w:id="54"/>
      </w:r>
      <w:r w:rsidRPr="00771E6E">
        <w:t xml:space="preserve"> In March 1468, the noblewoman Alessandra </w:t>
      </w:r>
      <w:proofErr w:type="spellStart"/>
      <w:r w:rsidRPr="00771E6E">
        <w:t>Macinghi</w:t>
      </w:r>
      <w:proofErr w:type="spellEnd"/>
      <w:r w:rsidRPr="00771E6E">
        <w:t xml:space="preserve"> </w:t>
      </w:r>
      <w:proofErr w:type="spellStart"/>
      <w:r w:rsidRPr="00771E6E">
        <w:t>Strozzi</w:t>
      </w:r>
      <w:proofErr w:type="spellEnd"/>
      <w:r w:rsidRPr="00771E6E">
        <w:t>, in one of her letters to her son Filippo, reports that she was teaching her fifteenth-month-old grandson (Filippo’s son) to read.</w:t>
      </w:r>
      <w:r w:rsidRPr="00771E6E">
        <w:rPr>
          <w:rStyle w:val="FootnoteReference"/>
        </w:rPr>
        <w:footnoteReference w:id="55"/>
      </w:r>
      <w:r w:rsidRPr="00771E6E">
        <w:t xml:space="preserve"> Although it is impossible to guess what technique she chose to use to accomplish this task, this example and the ones mentioned above represent evidence of the importance given to early learning in Italian Renaissance society and the primary role played by women as part of the learning process. </w:t>
      </w:r>
    </w:p>
    <w:p w14:paraId="2E513E4E" w14:textId="77777777" w:rsidR="001840E8" w:rsidRPr="00771E6E" w:rsidRDefault="001840E8" w:rsidP="001840E8">
      <w:pPr>
        <w:widowControl w:val="0"/>
        <w:autoSpaceDE w:val="0"/>
        <w:autoSpaceDN w:val="0"/>
        <w:adjustRightInd w:val="0"/>
        <w:ind w:firstLine="720"/>
      </w:pPr>
      <w:r w:rsidRPr="00771E6E">
        <w:t>As well as gastronomic tactics, parents could also follow more formal procedures, by making use of introductory textbooks, such as the board (</w:t>
      </w:r>
      <w:r w:rsidRPr="00771E6E">
        <w:rPr>
          <w:i/>
        </w:rPr>
        <w:t>tavola</w:t>
      </w:r>
      <w:r w:rsidRPr="00771E6E">
        <w:t>), which was a single sheet, or the psalter (</w:t>
      </w:r>
      <w:proofErr w:type="spellStart"/>
      <w:r w:rsidRPr="00771E6E">
        <w:rPr>
          <w:i/>
        </w:rPr>
        <w:t>salterio</w:t>
      </w:r>
      <w:proofErr w:type="spellEnd"/>
      <w:r w:rsidRPr="00771E6E">
        <w:t>), which had several pages. These were used for teaching the alphabet, the syllables, and also devotional texts such as prayers and psalms.</w:t>
      </w:r>
      <w:r w:rsidRPr="00771E6E">
        <w:rPr>
          <w:rStyle w:val="FootnoteReference"/>
        </w:rPr>
        <w:footnoteReference w:id="56"/>
      </w:r>
      <w:r w:rsidRPr="00771E6E">
        <w:t xml:space="preserve"> Once reading was mastered, children could begin to read the </w:t>
      </w:r>
      <w:proofErr w:type="spellStart"/>
      <w:r w:rsidRPr="00771E6E">
        <w:rPr>
          <w:i/>
        </w:rPr>
        <w:t>Fior</w:t>
      </w:r>
      <w:proofErr w:type="spellEnd"/>
      <w:r w:rsidRPr="00771E6E">
        <w:rPr>
          <w:i/>
        </w:rPr>
        <w:t xml:space="preserve"> di </w:t>
      </w:r>
      <w:proofErr w:type="spellStart"/>
      <w:r w:rsidRPr="00771E6E">
        <w:rPr>
          <w:i/>
        </w:rPr>
        <w:t>Virtù</w:t>
      </w:r>
      <w:proofErr w:type="spellEnd"/>
      <w:r w:rsidRPr="00771E6E">
        <w:rPr>
          <w:i/>
        </w:rPr>
        <w:t xml:space="preserve"> </w:t>
      </w:r>
      <w:r w:rsidRPr="00771E6E">
        <w:t xml:space="preserve">(Flower of Virtue), a </w:t>
      </w:r>
      <w:proofErr w:type="spellStart"/>
      <w:r w:rsidRPr="00771E6E">
        <w:t>moralising</w:t>
      </w:r>
      <w:proofErr w:type="spellEnd"/>
      <w:r w:rsidRPr="00771E6E">
        <w:t xml:space="preserve"> vernacular religious text written between 1300 and 1323, by an author whose </w:t>
      </w:r>
      <w:r w:rsidRPr="00771E6E">
        <w:lastRenderedPageBreak/>
        <w:t xml:space="preserve">identity had been lost by the fifteenth century. The aim of this book was to educate children in moral conduct, by means of around forty stories in which animals, human beings and maxims illustrate virtues and vices, along with their respective outcomes, as inspired by Christian principles. With over sixty printed editions, it can be inferred that the </w:t>
      </w:r>
      <w:proofErr w:type="spellStart"/>
      <w:r w:rsidRPr="00771E6E">
        <w:rPr>
          <w:i/>
        </w:rPr>
        <w:t>Fior</w:t>
      </w:r>
      <w:proofErr w:type="spellEnd"/>
      <w:r w:rsidRPr="00771E6E">
        <w:rPr>
          <w:i/>
        </w:rPr>
        <w:t xml:space="preserve"> di </w:t>
      </w:r>
      <w:proofErr w:type="spellStart"/>
      <w:r w:rsidRPr="00771E6E">
        <w:rPr>
          <w:i/>
        </w:rPr>
        <w:t>Virtù</w:t>
      </w:r>
      <w:proofErr w:type="spellEnd"/>
      <w:r w:rsidRPr="00771E6E">
        <w:rPr>
          <w:i/>
        </w:rPr>
        <w:t xml:space="preserve"> </w:t>
      </w:r>
      <w:r w:rsidRPr="00771E6E">
        <w:t>was remarkably popular in Italy between 1470 and 1510.</w:t>
      </w:r>
      <w:r w:rsidRPr="00771E6E">
        <w:rPr>
          <w:rStyle w:val="FootnoteReference"/>
        </w:rPr>
        <w:footnoteReference w:id="57"/>
      </w:r>
      <w:r w:rsidRPr="00771E6E">
        <w:t xml:space="preserve"> </w:t>
      </w:r>
    </w:p>
    <w:p w14:paraId="7DD003BC" w14:textId="77777777" w:rsidR="001840E8" w:rsidRPr="00771E6E" w:rsidRDefault="001840E8" w:rsidP="001840E8">
      <w:pPr>
        <w:widowControl w:val="0"/>
        <w:autoSpaceDE w:val="0"/>
        <w:autoSpaceDN w:val="0"/>
        <w:adjustRightInd w:val="0"/>
        <w:ind w:firstLine="720"/>
      </w:pPr>
      <w:r w:rsidRPr="00771E6E">
        <w:t xml:space="preserve">Domestic teaching continued to be a recommended practice throughout the fifteenth and sixteenth centuries, as demonstrated by later sources. For example, in 1554, Fra </w:t>
      </w:r>
      <w:proofErr w:type="spellStart"/>
      <w:r w:rsidRPr="00771E6E">
        <w:t>Sabba</w:t>
      </w:r>
      <w:proofErr w:type="spellEnd"/>
      <w:r w:rsidRPr="00771E6E">
        <w:t xml:space="preserve"> da Castiglione (1480-1554), in his </w:t>
      </w:r>
      <w:proofErr w:type="spellStart"/>
      <w:r w:rsidRPr="00771E6E">
        <w:rPr>
          <w:i/>
        </w:rPr>
        <w:t>Ricordi</w:t>
      </w:r>
      <w:proofErr w:type="spellEnd"/>
      <w:r w:rsidRPr="00771E6E">
        <w:rPr>
          <w:i/>
        </w:rPr>
        <w:t xml:space="preserve"> overo </w:t>
      </w:r>
      <w:proofErr w:type="spellStart"/>
      <w:r w:rsidRPr="00771E6E">
        <w:rPr>
          <w:i/>
        </w:rPr>
        <w:t>ammaestramenti</w:t>
      </w:r>
      <w:proofErr w:type="spellEnd"/>
      <w:r w:rsidRPr="00771E6E">
        <w:t xml:space="preserve"> (Memories or Teachings), advises that a “virtuous and good wife” (</w:t>
      </w:r>
      <w:proofErr w:type="spellStart"/>
      <w:r w:rsidRPr="00771E6E">
        <w:rPr>
          <w:i/>
        </w:rPr>
        <w:t>virtuosa</w:t>
      </w:r>
      <w:proofErr w:type="spellEnd"/>
      <w:r w:rsidRPr="00771E6E">
        <w:rPr>
          <w:i/>
        </w:rPr>
        <w:t xml:space="preserve"> &amp; </w:t>
      </w:r>
      <w:proofErr w:type="spellStart"/>
      <w:r w:rsidRPr="00771E6E">
        <w:rPr>
          <w:i/>
        </w:rPr>
        <w:t>buona</w:t>
      </w:r>
      <w:proofErr w:type="spellEnd"/>
      <w:r w:rsidRPr="00771E6E">
        <w:rPr>
          <w:i/>
        </w:rPr>
        <w:t xml:space="preserve"> </w:t>
      </w:r>
      <w:proofErr w:type="spellStart"/>
      <w:r w:rsidRPr="00771E6E">
        <w:rPr>
          <w:i/>
        </w:rPr>
        <w:t>moglie</w:t>
      </w:r>
      <w:proofErr w:type="spellEnd"/>
      <w:r w:rsidRPr="00771E6E">
        <w:t>)</w:t>
      </w:r>
      <w:r w:rsidRPr="00771E6E">
        <w:rPr>
          <w:i/>
        </w:rPr>
        <w:t xml:space="preserve"> </w:t>
      </w:r>
      <w:r w:rsidRPr="00771E6E">
        <w:t>should devote herself diligently to teaching her children (both boys and girls) how to read, “so that they would learn at least as much as is enough to read clearly the Office, the psalter, and other devout and holy orations.”</w:t>
      </w:r>
      <w:r w:rsidRPr="00771E6E">
        <w:rPr>
          <w:rStyle w:val="FootnoteReference"/>
        </w:rPr>
        <w:footnoteReference w:id="58"/>
      </w:r>
      <w:r w:rsidRPr="00771E6E">
        <w:t xml:space="preserve"> The fact that this practice was recommended by a member of the clergy highlights the priority given to a spiritual destination for the skill of reading.</w:t>
      </w:r>
    </w:p>
    <w:p w14:paraId="302C357D" w14:textId="77777777" w:rsidR="001840E8" w:rsidRPr="00771E6E" w:rsidRDefault="001840E8" w:rsidP="001840E8">
      <w:pPr>
        <w:widowControl w:val="0"/>
        <w:autoSpaceDE w:val="0"/>
        <w:autoSpaceDN w:val="0"/>
        <w:adjustRightInd w:val="0"/>
        <w:ind w:firstLine="720"/>
      </w:pPr>
      <w:r w:rsidRPr="00771E6E">
        <w:t xml:space="preserve">In the sixteenth century, manuals were also published as an aid to domestic education, not only to teach reading, but also writing and basic arithmetic. The Venetian </w:t>
      </w:r>
      <w:r w:rsidRPr="00771E6E">
        <w:rPr>
          <w:iCs/>
        </w:rPr>
        <w:t>Giovanni</w:t>
      </w:r>
      <w:r w:rsidRPr="00771E6E">
        <w:rPr>
          <w:b/>
          <w:iCs/>
        </w:rPr>
        <w:t xml:space="preserve"> </w:t>
      </w:r>
      <w:r w:rsidRPr="00771E6E">
        <w:rPr>
          <w:iCs/>
        </w:rPr>
        <w:t xml:space="preserve">Antonio </w:t>
      </w:r>
      <w:proofErr w:type="spellStart"/>
      <w:r w:rsidRPr="00771E6E">
        <w:rPr>
          <w:iCs/>
        </w:rPr>
        <w:t>Tagliente’s</w:t>
      </w:r>
      <w:proofErr w:type="spellEnd"/>
      <w:r w:rsidRPr="00771E6E">
        <w:rPr>
          <w:iCs/>
        </w:rPr>
        <w:t xml:space="preserve"> </w:t>
      </w:r>
      <w:r w:rsidRPr="00771E6E">
        <w:rPr>
          <w:i/>
          <w:iCs/>
        </w:rPr>
        <w:t xml:space="preserve">Libro </w:t>
      </w:r>
      <w:proofErr w:type="spellStart"/>
      <w:r w:rsidRPr="00771E6E">
        <w:rPr>
          <w:i/>
          <w:iCs/>
        </w:rPr>
        <w:t>maistrevole</w:t>
      </w:r>
      <w:proofErr w:type="spellEnd"/>
      <w:r w:rsidRPr="00771E6E">
        <w:rPr>
          <w:iCs/>
        </w:rPr>
        <w:t xml:space="preserve"> (Teaching book)</w:t>
      </w:r>
      <w:r w:rsidRPr="00771E6E">
        <w:t>,</w:t>
      </w:r>
      <w:r w:rsidRPr="00771E6E">
        <w:rPr>
          <w:i/>
          <w:iCs/>
        </w:rPr>
        <w:t xml:space="preserve"> </w:t>
      </w:r>
      <w:r w:rsidRPr="00771E6E">
        <w:rPr>
          <w:iCs/>
        </w:rPr>
        <w:t>published in Venice in 1524, in its author’s words “</w:t>
      </w:r>
      <w:r w:rsidRPr="00771E6E">
        <w:t>teaches anyone who knows how to read to teach his son or daughter or dear friend who knows nothing about reading, so that each could learn; and even adults and young women who do not know anything could learn to read”</w:t>
      </w:r>
      <w:r w:rsidRPr="00771E6E">
        <w:rPr>
          <w:iCs/>
        </w:rPr>
        <w:t>.</w:t>
      </w:r>
      <w:r w:rsidRPr="00771E6E">
        <w:rPr>
          <w:rStyle w:val="FootnoteReference"/>
        </w:rPr>
        <w:footnoteReference w:id="59"/>
      </w:r>
      <w:r w:rsidRPr="00771E6E">
        <w:rPr>
          <w:iCs/>
        </w:rPr>
        <w:t xml:space="preserve"> In 1550, another Venetian, the economist Domenico Manzoni published a manual entitled </w:t>
      </w:r>
      <w:r w:rsidRPr="00771E6E">
        <w:rPr>
          <w:i/>
          <w:iCs/>
        </w:rPr>
        <w:t xml:space="preserve">La </w:t>
      </w:r>
      <w:proofErr w:type="spellStart"/>
      <w:r w:rsidRPr="00771E6E">
        <w:rPr>
          <w:i/>
          <w:iCs/>
        </w:rPr>
        <w:t>vera</w:t>
      </w:r>
      <w:proofErr w:type="spellEnd"/>
      <w:r w:rsidRPr="00771E6E">
        <w:rPr>
          <w:i/>
          <w:iCs/>
        </w:rPr>
        <w:t xml:space="preserve"> et principal </w:t>
      </w:r>
      <w:proofErr w:type="spellStart"/>
      <w:r w:rsidRPr="00771E6E">
        <w:rPr>
          <w:i/>
          <w:iCs/>
        </w:rPr>
        <w:t>ricchezza</w:t>
      </w:r>
      <w:proofErr w:type="spellEnd"/>
      <w:r w:rsidRPr="00771E6E">
        <w:rPr>
          <w:i/>
          <w:iCs/>
        </w:rPr>
        <w:t xml:space="preserve"> de’ </w:t>
      </w:r>
      <w:proofErr w:type="spellStart"/>
      <w:r w:rsidRPr="00771E6E">
        <w:rPr>
          <w:i/>
          <w:iCs/>
        </w:rPr>
        <w:t>giovani</w:t>
      </w:r>
      <w:proofErr w:type="spellEnd"/>
      <w:r w:rsidRPr="00771E6E">
        <w:rPr>
          <w:i/>
          <w:iCs/>
        </w:rPr>
        <w:t xml:space="preserve">, </w:t>
      </w:r>
      <w:proofErr w:type="spellStart"/>
      <w:r w:rsidRPr="00771E6E">
        <w:rPr>
          <w:i/>
          <w:iCs/>
        </w:rPr>
        <w:t>che</w:t>
      </w:r>
      <w:proofErr w:type="spellEnd"/>
      <w:r w:rsidRPr="00771E6E">
        <w:rPr>
          <w:i/>
          <w:iCs/>
        </w:rPr>
        <w:t xml:space="preserve"> </w:t>
      </w:r>
      <w:proofErr w:type="spellStart"/>
      <w:r w:rsidRPr="00771E6E">
        <w:rPr>
          <w:i/>
          <w:iCs/>
        </w:rPr>
        <w:t>disiderano</w:t>
      </w:r>
      <w:proofErr w:type="spellEnd"/>
      <w:r w:rsidRPr="00771E6E">
        <w:rPr>
          <w:i/>
          <w:iCs/>
        </w:rPr>
        <w:t xml:space="preserve"> </w:t>
      </w:r>
      <w:proofErr w:type="spellStart"/>
      <w:r w:rsidRPr="00771E6E">
        <w:rPr>
          <w:i/>
          <w:iCs/>
        </w:rPr>
        <w:t>imparar</w:t>
      </w:r>
      <w:proofErr w:type="spellEnd"/>
      <w:r w:rsidRPr="00771E6E">
        <w:rPr>
          <w:i/>
          <w:iCs/>
        </w:rPr>
        <w:t xml:space="preserve"> ben </w:t>
      </w:r>
      <w:proofErr w:type="spellStart"/>
      <w:r w:rsidRPr="00771E6E">
        <w:rPr>
          <w:i/>
          <w:iCs/>
        </w:rPr>
        <w:t>legere</w:t>
      </w:r>
      <w:proofErr w:type="spellEnd"/>
      <w:r w:rsidRPr="00771E6E">
        <w:rPr>
          <w:i/>
          <w:iCs/>
        </w:rPr>
        <w:t xml:space="preserve">, </w:t>
      </w:r>
      <w:proofErr w:type="spellStart"/>
      <w:r w:rsidRPr="00771E6E">
        <w:rPr>
          <w:i/>
          <w:iCs/>
        </w:rPr>
        <w:t>scrivere</w:t>
      </w:r>
      <w:proofErr w:type="spellEnd"/>
      <w:r w:rsidRPr="00771E6E">
        <w:rPr>
          <w:i/>
          <w:iCs/>
        </w:rPr>
        <w:t xml:space="preserve"> et </w:t>
      </w:r>
      <w:proofErr w:type="spellStart"/>
      <w:r w:rsidRPr="00771E6E">
        <w:rPr>
          <w:i/>
          <w:iCs/>
        </w:rPr>
        <w:t>abaco</w:t>
      </w:r>
      <w:proofErr w:type="spellEnd"/>
      <w:r w:rsidRPr="00771E6E">
        <w:rPr>
          <w:iCs/>
        </w:rPr>
        <w:t xml:space="preserve"> (The Real and Principal Wealth of the Young, Who Wish to Learn how to Read, Write and Count Well)</w:t>
      </w:r>
      <w:r w:rsidRPr="00771E6E">
        <w:rPr>
          <w:i/>
          <w:iCs/>
        </w:rPr>
        <w:t xml:space="preserve"> </w:t>
      </w:r>
      <w:r w:rsidRPr="00771E6E">
        <w:rPr>
          <w:iCs/>
        </w:rPr>
        <w:t>in which he highlighted the inexpensive convenience of home teaching and stressed the importance of acquiring basic skills for a virtuous child.</w:t>
      </w:r>
      <w:r w:rsidRPr="00771E6E">
        <w:rPr>
          <w:rStyle w:val="FootnoteReference"/>
        </w:rPr>
        <w:footnoteReference w:id="60"/>
      </w:r>
      <w:r w:rsidRPr="00771E6E">
        <w:rPr>
          <w:iCs/>
        </w:rPr>
        <w:t xml:space="preserve"> </w:t>
      </w:r>
    </w:p>
    <w:p w14:paraId="2B0CCF5B" w14:textId="77777777" w:rsidR="001840E8" w:rsidRPr="00771E6E" w:rsidRDefault="001840E8" w:rsidP="001840E8">
      <w:pPr>
        <w:tabs>
          <w:tab w:val="left" w:pos="1311"/>
        </w:tabs>
        <w:ind w:firstLine="720"/>
        <w:rPr>
          <w:iCs/>
        </w:rPr>
      </w:pPr>
      <w:r w:rsidRPr="00771E6E">
        <w:rPr>
          <w:iCs/>
        </w:rPr>
        <w:t xml:space="preserve">Several records survive as testament to home-teaching practices. Children who were taught the basics at home were able to start school in more advanced classes than </w:t>
      </w:r>
      <w:r w:rsidRPr="00771E6E">
        <w:rPr>
          <w:iCs/>
        </w:rPr>
        <w:lastRenderedPageBreak/>
        <w:t xml:space="preserve">pupils who had no pre-existing knowledge. This, for example, was the case for Francesco, the six- or seven-year-old son of Bernardo Ranieri, who was sent to a priest called ser </w:t>
      </w:r>
      <w:proofErr w:type="spellStart"/>
      <w:r w:rsidRPr="00771E6E">
        <w:rPr>
          <w:iCs/>
        </w:rPr>
        <w:t>Bartolo</w:t>
      </w:r>
      <w:proofErr w:type="spellEnd"/>
      <w:r w:rsidRPr="00771E6E">
        <w:rPr>
          <w:iCs/>
        </w:rPr>
        <w:t xml:space="preserve"> in 1469 to learn how to read and write. On 4 December 1469 his father records that the teacher “started to teach him the </w:t>
      </w:r>
      <w:proofErr w:type="spellStart"/>
      <w:r w:rsidRPr="00771E6E">
        <w:rPr>
          <w:i/>
          <w:iCs/>
        </w:rPr>
        <w:t>Donadello</w:t>
      </w:r>
      <w:proofErr w:type="spellEnd"/>
      <w:r w:rsidRPr="00771E6E">
        <w:rPr>
          <w:iCs/>
        </w:rPr>
        <w:t xml:space="preserve">, because [Francesco] had [already] learned the </w:t>
      </w:r>
      <w:r w:rsidRPr="00771E6E">
        <w:rPr>
          <w:i/>
          <w:iCs/>
        </w:rPr>
        <w:t xml:space="preserve">tavola </w:t>
      </w:r>
      <w:r w:rsidRPr="00771E6E">
        <w:rPr>
          <w:iCs/>
        </w:rPr>
        <w:t xml:space="preserve">and the psalter from </w:t>
      </w:r>
      <w:proofErr w:type="spellStart"/>
      <w:r w:rsidRPr="00771E6E">
        <w:rPr>
          <w:iCs/>
        </w:rPr>
        <w:t>Bartolomea</w:t>
      </w:r>
      <w:proofErr w:type="spellEnd"/>
      <w:r w:rsidRPr="00771E6E">
        <w:rPr>
          <w:iCs/>
        </w:rPr>
        <w:t>, my wife.”</w:t>
      </w:r>
      <w:r w:rsidRPr="00771E6E">
        <w:rPr>
          <w:rStyle w:val="FootnoteReference"/>
        </w:rPr>
        <w:footnoteReference w:id="61"/>
      </w:r>
      <w:r w:rsidRPr="00771E6E">
        <w:rPr>
          <w:iCs/>
        </w:rPr>
        <w:t xml:space="preserve"> In another instance, the son of Piero di </w:t>
      </w:r>
      <w:proofErr w:type="spellStart"/>
      <w:r w:rsidRPr="00771E6E">
        <w:rPr>
          <w:iCs/>
        </w:rPr>
        <w:t>Guccio</w:t>
      </w:r>
      <w:proofErr w:type="spellEnd"/>
      <w:r w:rsidRPr="00771E6E">
        <w:rPr>
          <w:iCs/>
        </w:rPr>
        <w:t xml:space="preserve">, Giovanni, who was six years of age, is recorded as “reading the </w:t>
      </w:r>
      <w:r w:rsidRPr="00771E6E">
        <w:rPr>
          <w:i/>
          <w:iCs/>
        </w:rPr>
        <w:t xml:space="preserve">tavola </w:t>
      </w:r>
      <w:r w:rsidRPr="00771E6E">
        <w:rPr>
          <w:iCs/>
        </w:rPr>
        <w:t>at home” in 1480.</w:t>
      </w:r>
      <w:r w:rsidRPr="00771E6E">
        <w:rPr>
          <w:rStyle w:val="FootnoteReference"/>
        </w:rPr>
        <w:footnoteReference w:id="62"/>
      </w:r>
      <w:r w:rsidRPr="00771E6E">
        <w:rPr>
          <w:iCs/>
        </w:rPr>
        <w:t xml:space="preserve"> However, mothers were not the only tutors in the house, as older brothers could also act as teachers. </w:t>
      </w:r>
      <w:r w:rsidRPr="00771E6E">
        <w:t>It should be noted that, in any case, the mother was still likely to be the first source of education, as she would have taught the older children, who would then have passed on their knowledge to their siblings.</w:t>
      </w:r>
      <w:r w:rsidRPr="00771E6E">
        <w:rPr>
          <w:iCs/>
        </w:rPr>
        <w:t xml:space="preserve"> Nicola </w:t>
      </w:r>
      <w:r w:rsidRPr="00771E6E">
        <w:t xml:space="preserve">di Girolamo di Nicola </w:t>
      </w:r>
      <w:proofErr w:type="spellStart"/>
      <w:r w:rsidRPr="00771E6E">
        <w:t>Bonciani</w:t>
      </w:r>
      <w:proofErr w:type="spellEnd"/>
      <w:r w:rsidRPr="00771E6E">
        <w:t xml:space="preserve"> taught his younger brother Antonio to read and write.</w:t>
      </w:r>
      <w:r w:rsidRPr="00771E6E">
        <w:rPr>
          <w:rStyle w:val="FootnoteReference"/>
        </w:rPr>
        <w:footnoteReference w:id="63"/>
      </w:r>
      <w:r w:rsidRPr="00771E6E">
        <w:t xml:space="preserve"> This was specifically recommended by </w:t>
      </w:r>
      <w:proofErr w:type="spellStart"/>
      <w:r w:rsidRPr="00771E6E">
        <w:t>Vegio</w:t>
      </w:r>
      <w:proofErr w:type="spellEnd"/>
      <w:r w:rsidRPr="00771E6E">
        <w:t>, who thought that this practice was of “great benefit” (</w:t>
      </w:r>
      <w:proofErr w:type="spellStart"/>
      <w:r w:rsidRPr="00771E6E">
        <w:rPr>
          <w:i/>
        </w:rPr>
        <w:t>summam</w:t>
      </w:r>
      <w:proofErr w:type="spellEnd"/>
      <w:r w:rsidRPr="00771E6E">
        <w:rPr>
          <w:i/>
        </w:rPr>
        <w:t xml:space="preserve"> </w:t>
      </w:r>
      <w:proofErr w:type="spellStart"/>
      <w:r w:rsidRPr="00771E6E">
        <w:rPr>
          <w:i/>
        </w:rPr>
        <w:t>utilitatem</w:t>
      </w:r>
      <w:proofErr w:type="spellEnd"/>
      <w:r w:rsidRPr="00771E6E">
        <w:t>)</w:t>
      </w:r>
      <w:r w:rsidRPr="00771E6E">
        <w:rPr>
          <w:i/>
        </w:rPr>
        <w:t xml:space="preserve"> </w:t>
      </w:r>
      <w:r w:rsidRPr="00771E6E">
        <w:t>to help younger siblings to “learn better and more quickly”.</w:t>
      </w:r>
      <w:r w:rsidRPr="00771E6E">
        <w:rPr>
          <w:rStyle w:val="FootnoteReference"/>
        </w:rPr>
        <w:footnoteReference w:id="64"/>
      </w:r>
      <w:r w:rsidRPr="00771E6E">
        <w:t xml:space="preserve"> Unfortunately, records such as this about domestic teaching are rare. Such records only survive in the </w:t>
      </w:r>
      <w:proofErr w:type="spellStart"/>
      <w:r w:rsidRPr="00771E6E">
        <w:rPr>
          <w:i/>
        </w:rPr>
        <w:t>catasto</w:t>
      </w:r>
      <w:proofErr w:type="spellEnd"/>
      <w:r w:rsidRPr="00771E6E">
        <w:t>, the</w:t>
      </w:r>
      <w:r w:rsidRPr="00771E6E">
        <w:rPr>
          <w:i/>
        </w:rPr>
        <w:t xml:space="preserve"> </w:t>
      </w:r>
      <w:r w:rsidRPr="00771E6E">
        <w:t>declaration of tax payers, if there was an expense incurred, such as in cases where private tutors were employed.</w:t>
      </w:r>
      <w:r w:rsidRPr="00771E6E">
        <w:rPr>
          <w:rStyle w:val="FootnoteReference"/>
        </w:rPr>
        <w:footnoteReference w:id="65"/>
      </w:r>
      <w:r w:rsidRPr="00771E6E">
        <w:t xml:space="preserve"> However, from the few records available, it is still possible to infer that domestic teaching was a widespread phenomenon amongst wealthy families and, as Paul F. </w:t>
      </w:r>
      <w:proofErr w:type="spellStart"/>
      <w:r w:rsidRPr="00771E6E">
        <w:t>Grendler</w:t>
      </w:r>
      <w:proofErr w:type="spellEnd"/>
      <w:r w:rsidRPr="00771E6E">
        <w:t xml:space="preserve"> suggests, manuals directed toward parents for teaching at home would not have been written or published otherwise.</w:t>
      </w:r>
      <w:r w:rsidRPr="00771E6E">
        <w:rPr>
          <w:rStyle w:val="FootnoteReference"/>
        </w:rPr>
        <w:footnoteReference w:id="66"/>
      </w:r>
      <w:r w:rsidRPr="00771E6E">
        <w:t xml:space="preserve"> Despite this, it can still be surmised that this practice was probably more popular among families from the higher echelons of Italian society, who were more likely to possess the skills and time needed to teach their children themselves</w:t>
      </w:r>
      <w:r w:rsidRPr="00771E6E">
        <w:rPr>
          <w:iCs/>
        </w:rPr>
        <w:t>.</w:t>
      </w:r>
      <w:r w:rsidRPr="00771E6E">
        <w:rPr>
          <w:rStyle w:val="FootnoteReference"/>
        </w:rPr>
        <w:footnoteReference w:id="67"/>
      </w:r>
      <w:r w:rsidRPr="00771E6E">
        <w:rPr>
          <w:iCs/>
        </w:rPr>
        <w:t xml:space="preserve"> </w:t>
      </w:r>
    </w:p>
    <w:p w14:paraId="257BB2D2" w14:textId="77777777" w:rsidR="001840E8" w:rsidRPr="00771E6E" w:rsidRDefault="001840E8" w:rsidP="001840E8">
      <w:pPr>
        <w:widowControl w:val="0"/>
        <w:autoSpaceDE w:val="0"/>
        <w:autoSpaceDN w:val="0"/>
        <w:adjustRightInd w:val="0"/>
        <w:ind w:firstLine="720"/>
        <w:rPr>
          <w:color w:val="000000"/>
        </w:rPr>
      </w:pPr>
      <w:r w:rsidRPr="00771E6E">
        <w:rPr>
          <w:iCs/>
        </w:rPr>
        <w:t xml:space="preserve">Home teaching practices are not only described through personal records and manuals, but also appear in contemporary visual art. Images depicting the Virgin Mary in </w:t>
      </w:r>
      <w:r w:rsidRPr="00771E6E">
        <w:rPr>
          <w:iCs/>
        </w:rPr>
        <w:lastRenderedPageBreak/>
        <w:t xml:space="preserve">the act of teaching the infant Christ to read or to write are frequently encountered, such as in the case of Sandro Botticelli’s </w:t>
      </w:r>
      <w:r w:rsidRPr="00771E6E">
        <w:rPr>
          <w:i/>
          <w:iCs/>
        </w:rPr>
        <w:t>Madonna of the Magnificat</w:t>
      </w:r>
      <w:r w:rsidRPr="00771E6E">
        <w:rPr>
          <w:iCs/>
        </w:rPr>
        <w:t xml:space="preserve"> in the Galleria </w:t>
      </w:r>
      <w:proofErr w:type="spellStart"/>
      <w:r w:rsidRPr="00771E6E">
        <w:rPr>
          <w:iCs/>
        </w:rPr>
        <w:t>degli</w:t>
      </w:r>
      <w:proofErr w:type="spellEnd"/>
      <w:r w:rsidRPr="00771E6E">
        <w:rPr>
          <w:iCs/>
        </w:rPr>
        <w:t xml:space="preserve"> Uffizi, Florence (fig. 3.33), and of Filippino Lippi’s </w:t>
      </w:r>
      <w:r w:rsidRPr="00771E6E">
        <w:rPr>
          <w:i/>
          <w:iCs/>
        </w:rPr>
        <w:t>Madonna and Child</w:t>
      </w:r>
      <w:r w:rsidRPr="00771E6E">
        <w:rPr>
          <w:iCs/>
        </w:rPr>
        <w:t xml:space="preserve"> in the Metropolitan Museum, New York (fig. 1.2). This type of iconography is a testament to the fact that this practice existed, and, as well as fulfilling domestic devotional purposes, such images would likely have served as visual </w:t>
      </w:r>
      <w:r w:rsidRPr="00771E6E">
        <w:rPr>
          <w:i/>
          <w:iCs/>
        </w:rPr>
        <w:t>exempla</w:t>
      </w:r>
      <w:r w:rsidRPr="00771E6E">
        <w:rPr>
          <w:iCs/>
        </w:rPr>
        <w:t xml:space="preserve"> for mothers</w:t>
      </w:r>
      <w:r w:rsidRPr="00771E6E">
        <w:rPr>
          <w:i/>
          <w:iCs/>
        </w:rPr>
        <w:t xml:space="preserve"> </w:t>
      </w:r>
      <w:r w:rsidRPr="00771E6E">
        <w:rPr>
          <w:iCs/>
        </w:rPr>
        <w:t>to follow.</w:t>
      </w:r>
      <w:r w:rsidRPr="00771E6E">
        <w:rPr>
          <w:rStyle w:val="FootnoteReference"/>
        </w:rPr>
        <w:footnoteReference w:id="68"/>
      </w:r>
    </w:p>
    <w:p w14:paraId="1587F730" w14:textId="77777777" w:rsidR="001840E8" w:rsidRPr="00771E6E" w:rsidRDefault="001840E8" w:rsidP="001840E8">
      <w:pPr>
        <w:tabs>
          <w:tab w:val="left" w:pos="1311"/>
        </w:tabs>
        <w:ind w:firstLine="720"/>
        <w:rPr>
          <w:rStyle w:val="CommentReference"/>
          <w:sz w:val="24"/>
          <w:szCs w:val="24"/>
        </w:rPr>
      </w:pPr>
      <w:r w:rsidRPr="00771E6E">
        <w:t>Education, with all its moral implications, seems therefore to be well-established in domestic environments.</w:t>
      </w:r>
      <w:r w:rsidRPr="00771E6E">
        <w:rPr>
          <w:iCs/>
        </w:rPr>
        <w:t xml:space="preserve"> The importance of the involvement of parents in overseeing the educative process is stressed in Pier Paolo </w:t>
      </w:r>
      <w:proofErr w:type="spellStart"/>
      <w:r w:rsidRPr="00771E6E">
        <w:rPr>
          <w:iCs/>
        </w:rPr>
        <w:t>Vergerio</w:t>
      </w:r>
      <w:proofErr w:type="spellEnd"/>
      <w:r w:rsidRPr="00771E6E">
        <w:rPr>
          <w:iCs/>
        </w:rPr>
        <w:t xml:space="preserve"> the Elder’s </w:t>
      </w:r>
      <w:r w:rsidRPr="00771E6E">
        <w:rPr>
          <w:i/>
        </w:rPr>
        <w:t xml:space="preserve">De </w:t>
      </w:r>
      <w:proofErr w:type="spellStart"/>
      <w:r w:rsidRPr="00771E6E">
        <w:rPr>
          <w:i/>
        </w:rPr>
        <w:t>ingenuis</w:t>
      </w:r>
      <w:proofErr w:type="spellEnd"/>
      <w:r w:rsidRPr="00771E6E">
        <w:rPr>
          <w:i/>
        </w:rPr>
        <w:t xml:space="preserve"> </w:t>
      </w:r>
      <w:proofErr w:type="spellStart"/>
      <w:r w:rsidRPr="00771E6E">
        <w:rPr>
          <w:i/>
        </w:rPr>
        <w:t>moribus</w:t>
      </w:r>
      <w:proofErr w:type="spellEnd"/>
      <w:r w:rsidRPr="00771E6E">
        <w:rPr>
          <w:i/>
        </w:rPr>
        <w:t xml:space="preserve"> et </w:t>
      </w:r>
      <w:proofErr w:type="spellStart"/>
      <w:r w:rsidRPr="00771E6E">
        <w:rPr>
          <w:i/>
        </w:rPr>
        <w:t>liberalibus</w:t>
      </w:r>
      <w:proofErr w:type="spellEnd"/>
      <w:r w:rsidRPr="00771E6E">
        <w:rPr>
          <w:i/>
        </w:rPr>
        <w:t xml:space="preserve"> </w:t>
      </w:r>
      <w:proofErr w:type="spellStart"/>
      <w:r w:rsidRPr="00771E6E">
        <w:rPr>
          <w:i/>
        </w:rPr>
        <w:t>studiis</w:t>
      </w:r>
      <w:proofErr w:type="spellEnd"/>
      <w:r w:rsidRPr="00771E6E">
        <w:rPr>
          <w:i/>
        </w:rPr>
        <w:t xml:space="preserve"> </w:t>
      </w:r>
      <w:proofErr w:type="spellStart"/>
      <w:r w:rsidRPr="00771E6E">
        <w:rPr>
          <w:i/>
        </w:rPr>
        <w:t>adulescentiae</w:t>
      </w:r>
      <w:proofErr w:type="spellEnd"/>
      <w:r w:rsidRPr="00771E6E">
        <w:rPr>
          <w:i/>
        </w:rPr>
        <w:t xml:space="preserve"> </w:t>
      </w:r>
      <w:r w:rsidRPr="00771E6E">
        <w:t>(The Liberal Studies and Morals of Youth, 1402-03)</w:t>
      </w:r>
      <w:r w:rsidRPr="00771E6E">
        <w:rPr>
          <w:iCs/>
        </w:rPr>
        <w:t xml:space="preserve">. This treatise, </w:t>
      </w:r>
      <w:r w:rsidRPr="00771E6E">
        <w:t xml:space="preserve">dedicated to </w:t>
      </w:r>
      <w:proofErr w:type="spellStart"/>
      <w:r w:rsidRPr="00771E6E">
        <w:t>Ubertino</w:t>
      </w:r>
      <w:proofErr w:type="spellEnd"/>
      <w:r w:rsidRPr="00771E6E">
        <w:t xml:space="preserve"> da Carrara (the twelve- or thirteen-year-old son of the ruler of Padua), </w:t>
      </w:r>
      <w:r w:rsidRPr="00771E6E">
        <w:rPr>
          <w:iCs/>
        </w:rPr>
        <w:t>became extremely popular, even being taught in schools.</w:t>
      </w:r>
      <w:r w:rsidRPr="00771E6E">
        <w:rPr>
          <w:rStyle w:val="FootnoteReference"/>
        </w:rPr>
        <w:footnoteReference w:id="69"/>
      </w:r>
      <w:r w:rsidRPr="00771E6E">
        <w:rPr>
          <w:iCs/>
        </w:rPr>
        <w:t xml:space="preserve"> </w:t>
      </w:r>
      <w:proofErr w:type="spellStart"/>
      <w:r w:rsidRPr="00771E6E">
        <w:rPr>
          <w:iCs/>
        </w:rPr>
        <w:t>Vergerio</w:t>
      </w:r>
      <w:proofErr w:type="spellEnd"/>
      <w:r w:rsidRPr="00771E6E">
        <w:rPr>
          <w:iCs/>
        </w:rPr>
        <w:t xml:space="preserve"> states that the most durable resource that parents could provide for their children was instruction in “</w:t>
      </w:r>
      <w:proofErr w:type="spellStart"/>
      <w:r w:rsidRPr="00771E6E">
        <w:rPr>
          <w:iCs/>
        </w:rPr>
        <w:t>honourable</w:t>
      </w:r>
      <w:proofErr w:type="spellEnd"/>
      <w:r w:rsidRPr="00771E6E">
        <w:rPr>
          <w:iCs/>
        </w:rPr>
        <w:t xml:space="preserve"> arts and liberal discipline” (</w:t>
      </w:r>
      <w:proofErr w:type="spellStart"/>
      <w:r w:rsidRPr="00771E6E">
        <w:rPr>
          <w:i/>
          <w:iCs/>
        </w:rPr>
        <w:t>honestis</w:t>
      </w:r>
      <w:proofErr w:type="spellEnd"/>
      <w:r w:rsidRPr="00771E6E">
        <w:rPr>
          <w:i/>
          <w:iCs/>
        </w:rPr>
        <w:t xml:space="preserve"> </w:t>
      </w:r>
      <w:proofErr w:type="spellStart"/>
      <w:r w:rsidRPr="00771E6E">
        <w:rPr>
          <w:i/>
          <w:iCs/>
        </w:rPr>
        <w:t>artibus</w:t>
      </w:r>
      <w:proofErr w:type="spellEnd"/>
      <w:r w:rsidRPr="00771E6E">
        <w:rPr>
          <w:i/>
          <w:iCs/>
        </w:rPr>
        <w:t xml:space="preserve"> et </w:t>
      </w:r>
      <w:proofErr w:type="spellStart"/>
      <w:r w:rsidRPr="00771E6E">
        <w:rPr>
          <w:i/>
          <w:iCs/>
        </w:rPr>
        <w:t>liberalibus</w:t>
      </w:r>
      <w:proofErr w:type="spellEnd"/>
      <w:r w:rsidRPr="00771E6E">
        <w:rPr>
          <w:i/>
          <w:iCs/>
        </w:rPr>
        <w:t xml:space="preserve"> </w:t>
      </w:r>
      <w:proofErr w:type="spellStart"/>
      <w:r w:rsidRPr="00771E6E">
        <w:rPr>
          <w:i/>
          <w:iCs/>
        </w:rPr>
        <w:t>disciplini</w:t>
      </w:r>
      <w:proofErr w:type="spellEnd"/>
      <w:r w:rsidRPr="00771E6E">
        <w:rPr>
          <w:iCs/>
        </w:rPr>
        <w:t>), adding that “in youth … the foundations for living well are to be laid, and the mind must be trained to virtue while it is young and impressionable”.</w:t>
      </w:r>
      <w:r w:rsidRPr="00771E6E">
        <w:rPr>
          <w:rStyle w:val="FootnoteReference"/>
        </w:rPr>
        <w:footnoteReference w:id="70"/>
      </w:r>
    </w:p>
    <w:p w14:paraId="1C229833" w14:textId="77777777" w:rsidR="001840E8" w:rsidRPr="00771E6E" w:rsidRDefault="001840E8" w:rsidP="001840E8">
      <w:pPr>
        <w:tabs>
          <w:tab w:val="left" w:pos="1311"/>
        </w:tabs>
        <w:ind w:firstLine="720"/>
      </w:pPr>
      <w:r w:rsidRPr="00771E6E">
        <w:t xml:space="preserve">However, the education of young children seems to be largely confined to the female domain. </w:t>
      </w:r>
      <w:r w:rsidRPr="00771E6E">
        <w:rPr>
          <w:iCs/>
        </w:rPr>
        <w:t>Although the paternal role was regarded as being highly influential in raising a child, it was rare that fathers would take any direct responsibility for the education of their offspring, with occasional exceptions such as the case of the Venetian Jacopo Antonio Marcello, who had a particularly close relationship with his son, Valerio, by the standards of their time.</w:t>
      </w:r>
      <w:r w:rsidRPr="00771E6E">
        <w:rPr>
          <w:rStyle w:val="FootnoteReference"/>
        </w:rPr>
        <w:footnoteReference w:id="71"/>
      </w:r>
      <w:r w:rsidRPr="00771E6E">
        <w:rPr>
          <w:iCs/>
        </w:rPr>
        <w:t xml:space="preserve"> However, contemporary writers continued to recommend paternal involvement. For example, Palmieri advised that “a father to whom a son is born should before all else have hope for him, and believe that he will become virtuous and </w:t>
      </w:r>
      <w:r w:rsidRPr="00771E6E">
        <w:rPr>
          <w:iCs/>
        </w:rPr>
        <w:lastRenderedPageBreak/>
        <w:t>respectable among men.”</w:t>
      </w:r>
      <w:r w:rsidRPr="00771E6E">
        <w:rPr>
          <w:rStyle w:val="FootnoteReference"/>
        </w:rPr>
        <w:footnoteReference w:id="72"/>
      </w:r>
      <w:r w:rsidRPr="00771E6E">
        <w:rPr>
          <w:iCs/>
        </w:rPr>
        <w:t xml:space="preserve"> Similarly, Alberti recommended that “a father, more than anyone else, should, as much as he can, with his hands and feet, and with all his nerves, with all industriousness and advice, strive that his sons would be well-mannered and the most honest.”</w:t>
      </w:r>
      <w:r w:rsidRPr="00771E6E">
        <w:rPr>
          <w:rStyle w:val="FootnoteReference"/>
        </w:rPr>
        <w:footnoteReference w:id="73"/>
      </w:r>
      <w:r w:rsidRPr="00771E6E">
        <w:rPr>
          <w:iCs/>
        </w:rPr>
        <w:t xml:space="preserve"> Despite this, in practice fathers would more often only be involved when it was required that someone outside their family nucleus was to be employed, such as in selecting wet nurses or private tutors.</w:t>
      </w:r>
      <w:r w:rsidRPr="00771E6E">
        <w:rPr>
          <w:rStyle w:val="FootnoteReference"/>
        </w:rPr>
        <w:footnoteReference w:id="74"/>
      </w:r>
      <w:r w:rsidRPr="00771E6E">
        <w:rPr>
          <w:iCs/>
        </w:rPr>
        <w:t xml:space="preserve"> </w:t>
      </w:r>
    </w:p>
    <w:p w14:paraId="763592FF" w14:textId="77777777" w:rsidR="001840E8" w:rsidRPr="00771E6E" w:rsidRDefault="001840E8" w:rsidP="001840E8">
      <w:pPr>
        <w:tabs>
          <w:tab w:val="left" w:pos="1311"/>
        </w:tabs>
        <w:ind w:firstLine="720"/>
      </w:pPr>
      <w:r w:rsidRPr="00771E6E">
        <w:t>Until six or seven years of age, children were often taught by their parents or by other members of their family in their domestic environment. There, they would learn to read and, in some cases, also to write and do arithmetic. It is only at this stage that the educative process would diverge between boys and girls. In general, boys were then sent by their fathers to formal schools, while girls would continue to be taught by their mothers, or by nuns in convents, although both boys and girls from wealthy families could be instructed by private tutors at home, a practice discussed in greater detail in the following section.</w:t>
      </w:r>
      <w:r w:rsidRPr="00771E6E">
        <w:rPr>
          <w:rStyle w:val="FootnoteReference"/>
        </w:rPr>
        <w:footnoteReference w:id="75"/>
      </w:r>
    </w:p>
    <w:p w14:paraId="005542DE" w14:textId="77777777" w:rsidR="001840E8" w:rsidRPr="00771E6E" w:rsidRDefault="001840E8" w:rsidP="001840E8"/>
    <w:p w14:paraId="61F2E66F" w14:textId="77777777" w:rsidR="001840E8" w:rsidRPr="00771E6E" w:rsidRDefault="001840E8" w:rsidP="001840E8"/>
    <w:p w14:paraId="3E7F1B79" w14:textId="77777777" w:rsidR="001840E8" w:rsidRPr="00771E6E" w:rsidRDefault="001840E8" w:rsidP="001840E8">
      <w:pPr>
        <w:pStyle w:val="Subchapter"/>
      </w:pPr>
      <w:bookmarkStart w:id="11" w:name="_Toc507939119"/>
      <w:bookmarkStart w:id="12" w:name="_Toc4329144"/>
      <w:bookmarkStart w:id="13" w:name="_Toc20167595"/>
      <w:r w:rsidRPr="00771E6E">
        <w:t xml:space="preserve">1.3 Humanism and Education: Imitating </w:t>
      </w:r>
      <w:bookmarkEnd w:id="11"/>
      <w:r w:rsidRPr="00771E6E">
        <w:t>Exempla</w:t>
      </w:r>
      <w:bookmarkEnd w:id="12"/>
      <w:bookmarkEnd w:id="13"/>
    </w:p>
    <w:p w14:paraId="2D4DCF71" w14:textId="77777777" w:rsidR="001840E8" w:rsidRPr="00771E6E" w:rsidRDefault="001840E8" w:rsidP="001840E8">
      <w:pPr>
        <w:tabs>
          <w:tab w:val="left" w:pos="1311"/>
        </w:tabs>
        <w:ind w:firstLine="720"/>
        <w:rPr>
          <w:b/>
        </w:rPr>
      </w:pPr>
    </w:p>
    <w:p w14:paraId="1D1BFDC4" w14:textId="77777777" w:rsidR="001840E8" w:rsidRPr="00771E6E" w:rsidRDefault="001840E8" w:rsidP="001840E8">
      <w:pPr>
        <w:widowControl w:val="0"/>
        <w:autoSpaceDE w:val="0"/>
        <w:autoSpaceDN w:val="0"/>
        <w:adjustRightInd w:val="0"/>
      </w:pPr>
      <w:r w:rsidRPr="00771E6E">
        <w:t>Once a child had acquired the more basic skills, and laid the foundation for their moral education, it was time for them to begin formal education. As well as imparting valuable knowledge, this was also seen as an opportunity to shape the character of a young person, with the aim of equipping them with all of the necessary qualities that they would need as adults.</w:t>
      </w:r>
      <w:r w:rsidRPr="00771E6E">
        <w:rPr>
          <w:rStyle w:val="FootnoteReference"/>
        </w:rPr>
        <w:footnoteReference w:id="76"/>
      </w:r>
      <w:r w:rsidRPr="00771E6E">
        <w:t xml:space="preserve"> In the fifteenth century a new curriculum was created, to be taught in the schools and universities, which promoted the study of humanistic subjects. While the Medieval curriculum focused primarily on Medieval authors and a few ancient writers (Virgil and Ovid among others), humanist scholars and pedagogues advocated a more substantial understanding of classical sources and endorsed training in “liberal studies”, which were thought to influence children’s personalities in ways that would lead to virtuous conduct.</w:t>
      </w:r>
      <w:r w:rsidRPr="00771E6E">
        <w:rPr>
          <w:rStyle w:val="FootnoteReference"/>
        </w:rPr>
        <w:footnoteReference w:id="77"/>
      </w:r>
      <w:r w:rsidRPr="00771E6E">
        <w:t xml:space="preserve"> </w:t>
      </w:r>
      <w:r w:rsidRPr="00771E6E">
        <w:lastRenderedPageBreak/>
        <w:t>The humanistic curriculum included history and moral philosophy, which used the study of classical literature to define the moral standards which should be aspired to, especially for those who were destined to hold important positions in society.</w:t>
      </w:r>
      <w:r w:rsidRPr="00771E6E">
        <w:rPr>
          <w:rStyle w:val="FootnoteReference"/>
        </w:rPr>
        <w:footnoteReference w:id="78"/>
      </w:r>
      <w:r w:rsidRPr="00771E6E">
        <w:t xml:space="preserve"> The aim of humanistic education was to shape the ideal man, who was intended to be a well-rounded member of society, mixing culture with heroism, and religiosity with leisure.</w:t>
      </w:r>
      <w:r w:rsidRPr="00771E6E">
        <w:rPr>
          <w:rStyle w:val="FootnoteReference"/>
        </w:rPr>
        <w:footnoteReference w:id="79"/>
      </w:r>
      <w:r w:rsidRPr="00771E6E">
        <w:t xml:space="preserve"> This was to be achieved by studying classical writers, and subsequently imitating them.</w:t>
      </w:r>
      <w:r w:rsidRPr="00771E6E">
        <w:rPr>
          <w:rStyle w:val="FootnoteReference"/>
        </w:rPr>
        <w:footnoteReference w:id="80"/>
      </w:r>
      <w:r w:rsidRPr="00771E6E">
        <w:t xml:space="preserve"> Education contributed to active participation in civil society, especially in contexts where citizens were encouraged to be directly involved in government, such as in the republic of Florence. This phenomenon had been described by Hans Baron as “civic humanism.”</w:t>
      </w:r>
      <w:r w:rsidRPr="00771E6E">
        <w:rPr>
          <w:rStyle w:val="FootnoteReference"/>
        </w:rPr>
        <w:footnoteReference w:id="81"/>
      </w:r>
    </w:p>
    <w:p w14:paraId="55E30844" w14:textId="77777777" w:rsidR="001840E8" w:rsidRPr="00771E6E" w:rsidRDefault="001840E8" w:rsidP="001840E8">
      <w:pPr>
        <w:widowControl w:val="0"/>
        <w:autoSpaceDE w:val="0"/>
        <w:autoSpaceDN w:val="0"/>
        <w:adjustRightInd w:val="0"/>
        <w:ind w:firstLine="720"/>
      </w:pPr>
      <w:r w:rsidRPr="00771E6E">
        <w:t>Among the pioneers of humanistic studies was the teacher Guarino da Verona (1374-1460), who, in his letters, frequently refers to the virtues that an individual could attain through knowledge of these subjects. In a letter from 19 September 1419 to the chief magistrate of Bologna Gian Nicola Salerno, Guarino stresses the importance that humanistic subjects, which Salerno studied during his childhood, had had in his administration of state business as a ruler, stating that,</w:t>
      </w:r>
    </w:p>
    <w:p w14:paraId="01C0FE29" w14:textId="77777777" w:rsidR="001840E8" w:rsidRPr="00771E6E" w:rsidRDefault="001840E8" w:rsidP="001840E8">
      <w:pPr>
        <w:widowControl w:val="0"/>
        <w:autoSpaceDE w:val="0"/>
        <w:autoSpaceDN w:val="0"/>
        <w:adjustRightInd w:val="0"/>
        <w:ind w:firstLine="720"/>
      </w:pPr>
    </w:p>
    <w:p w14:paraId="63E31C1F" w14:textId="77777777" w:rsidR="001840E8" w:rsidRPr="00771E6E" w:rsidRDefault="001840E8" w:rsidP="001840E8">
      <w:pPr>
        <w:pStyle w:val="IntenseQuote"/>
      </w:pPr>
      <w:r w:rsidRPr="00771E6E">
        <w:t>You … owe no small thanks to the Muses with whom you have been on intimate terms since boyhood, and by whom you were brought up. They taught how to carry out your tasks in society … Hence you are living proof that the Muses rule not only musical instruments but also public affairs … How much then must we prize this learning and praise those arts with which one educates the future ruler of the state.</w:t>
      </w:r>
      <w:r w:rsidRPr="00771E6E">
        <w:rPr>
          <w:rStyle w:val="FootnoteReference"/>
        </w:rPr>
        <w:footnoteReference w:id="82"/>
      </w:r>
    </w:p>
    <w:p w14:paraId="1ABAB811" w14:textId="77777777" w:rsidR="001840E8" w:rsidRPr="00771E6E" w:rsidRDefault="001840E8" w:rsidP="001840E8">
      <w:pPr>
        <w:widowControl w:val="0"/>
        <w:autoSpaceDE w:val="0"/>
        <w:autoSpaceDN w:val="0"/>
        <w:adjustRightInd w:val="0"/>
      </w:pPr>
    </w:p>
    <w:p w14:paraId="083436C0" w14:textId="77777777" w:rsidR="001840E8" w:rsidRPr="00771E6E" w:rsidRDefault="001840E8" w:rsidP="001840E8">
      <w:pPr>
        <w:widowControl w:val="0"/>
        <w:autoSpaceDE w:val="0"/>
        <w:autoSpaceDN w:val="0"/>
        <w:adjustRightInd w:val="0"/>
      </w:pPr>
      <w:r w:rsidRPr="00771E6E">
        <w:t xml:space="preserve">From this statement it is clear that a connection between humanistic studies and princely education was being developed. This is further reinforced by the fact that in 1430, Guarino was employed as tutor to the young prince </w:t>
      </w:r>
      <w:proofErr w:type="spellStart"/>
      <w:r w:rsidRPr="00771E6E">
        <w:t>Leonello</w:t>
      </w:r>
      <w:proofErr w:type="spellEnd"/>
      <w:r w:rsidRPr="00771E6E">
        <w:t xml:space="preserve"> </w:t>
      </w:r>
      <w:proofErr w:type="spellStart"/>
      <w:r w:rsidRPr="00771E6E">
        <w:t>d’Este</w:t>
      </w:r>
      <w:proofErr w:type="spellEnd"/>
      <w:r w:rsidRPr="00771E6E">
        <w:t xml:space="preserve">, who was to become the ruler </w:t>
      </w:r>
      <w:r w:rsidRPr="00771E6E">
        <w:lastRenderedPageBreak/>
        <w:t>of Ferrara in 1441.</w:t>
      </w:r>
      <w:r w:rsidRPr="00771E6E">
        <w:rPr>
          <w:rStyle w:val="FootnoteReference"/>
        </w:rPr>
        <w:footnoteReference w:id="83"/>
      </w:r>
      <w:r w:rsidRPr="00771E6E">
        <w:t xml:space="preserve"> Similarly, the schoolmaster </w:t>
      </w:r>
      <w:proofErr w:type="spellStart"/>
      <w:r w:rsidRPr="00771E6E">
        <w:t>Vittorino</w:t>
      </w:r>
      <w:proofErr w:type="spellEnd"/>
      <w:r w:rsidRPr="00771E6E">
        <w:t xml:space="preserve"> da Feltre taught children from the Gonzaga court in Mantua from 1423 onwards at his boarding school, and between 1434 and 1436 he was also tutor to Federico da </w:t>
      </w:r>
      <w:proofErr w:type="spellStart"/>
      <w:r w:rsidRPr="00771E6E">
        <w:t>Montefeltro</w:t>
      </w:r>
      <w:proofErr w:type="spellEnd"/>
      <w:r w:rsidRPr="00771E6E">
        <w:t>, who would become the ruler of Urbino in 1444.</w:t>
      </w:r>
      <w:r w:rsidRPr="00771E6E">
        <w:rPr>
          <w:rStyle w:val="FootnoteReference"/>
        </w:rPr>
        <w:footnoteReference w:id="84"/>
      </w:r>
      <w:r w:rsidRPr="00771E6E">
        <w:t xml:space="preserve"> Thanks to the teachings of Guarino and </w:t>
      </w:r>
      <w:proofErr w:type="spellStart"/>
      <w:r w:rsidRPr="00771E6E">
        <w:t>Vittorino</w:t>
      </w:r>
      <w:proofErr w:type="spellEnd"/>
      <w:r w:rsidRPr="00771E6E">
        <w:t>, humanistic studies increased in popularity, and disseminated from the towns in which they worked to the rest of northern and central Italy, helped by the influence of some of their pupils who went on to become teachers themselves.</w:t>
      </w:r>
      <w:r w:rsidRPr="00771E6E">
        <w:rPr>
          <w:rStyle w:val="FootnoteReference"/>
        </w:rPr>
        <w:footnoteReference w:id="85"/>
      </w:r>
    </w:p>
    <w:p w14:paraId="56251DAB" w14:textId="77777777" w:rsidR="001840E8" w:rsidRPr="00771E6E" w:rsidRDefault="001840E8" w:rsidP="001840E8">
      <w:pPr>
        <w:widowControl w:val="0"/>
        <w:autoSpaceDE w:val="0"/>
        <w:autoSpaceDN w:val="0"/>
        <w:adjustRightInd w:val="0"/>
        <w:ind w:firstLine="720"/>
        <w:rPr>
          <w:i/>
        </w:rPr>
      </w:pPr>
      <w:r w:rsidRPr="00771E6E">
        <w:t xml:space="preserve">The contribution of humanists to the education of princes and rulers is also evident from the treatises that were written specifically for this particular audience. This type of literature, known as </w:t>
      </w:r>
      <w:r w:rsidRPr="00771E6E">
        <w:rPr>
          <w:i/>
        </w:rPr>
        <w:t xml:space="preserve">specula </w:t>
      </w:r>
      <w:proofErr w:type="spellStart"/>
      <w:r w:rsidRPr="00771E6E">
        <w:rPr>
          <w:i/>
        </w:rPr>
        <w:t>principum</w:t>
      </w:r>
      <w:proofErr w:type="spellEnd"/>
      <w:r w:rsidRPr="00771E6E">
        <w:rPr>
          <w:i/>
        </w:rPr>
        <w:t xml:space="preserve"> </w:t>
      </w:r>
      <w:r w:rsidRPr="00771E6E">
        <w:t>(Mirrors of princes), had a didactic purpose, being intended to offer moral guidance to rulers, providing them with a model in which they could metaphorically mirror themselves.</w:t>
      </w:r>
      <w:r w:rsidRPr="00771E6E">
        <w:rPr>
          <w:rStyle w:val="FootnoteReference"/>
        </w:rPr>
        <w:footnoteReference w:id="86"/>
      </w:r>
      <w:r w:rsidRPr="00771E6E">
        <w:t xml:space="preserve"> Referring back to ancient sources such as Cicero’s </w:t>
      </w:r>
      <w:r w:rsidRPr="00771E6E">
        <w:rPr>
          <w:i/>
        </w:rPr>
        <w:t xml:space="preserve">De </w:t>
      </w:r>
      <w:proofErr w:type="spellStart"/>
      <w:r w:rsidRPr="00771E6E">
        <w:rPr>
          <w:i/>
        </w:rPr>
        <w:t>Officiis</w:t>
      </w:r>
      <w:proofErr w:type="spellEnd"/>
      <w:r w:rsidRPr="00771E6E">
        <w:t xml:space="preserve"> (On Duties), which was printed several times in Italy from 1469, Renaissance educators focused on the importance of virtues such as justice, wisdom, fortitude and temperance (</w:t>
      </w:r>
      <w:proofErr w:type="spellStart"/>
      <w:r w:rsidRPr="00771E6E">
        <w:rPr>
          <w:i/>
        </w:rPr>
        <w:t>iustitia</w:t>
      </w:r>
      <w:proofErr w:type="spellEnd"/>
      <w:r w:rsidRPr="00771E6E">
        <w:t xml:space="preserve">, </w:t>
      </w:r>
      <w:proofErr w:type="spellStart"/>
      <w:r w:rsidRPr="00771E6E">
        <w:rPr>
          <w:i/>
        </w:rPr>
        <w:t>sapientia</w:t>
      </w:r>
      <w:proofErr w:type="spellEnd"/>
      <w:r w:rsidRPr="00771E6E">
        <w:t xml:space="preserve">, </w:t>
      </w:r>
      <w:r w:rsidRPr="00771E6E">
        <w:rPr>
          <w:i/>
        </w:rPr>
        <w:t>constantia</w:t>
      </w:r>
      <w:r w:rsidRPr="00771E6E">
        <w:t xml:space="preserve">, </w:t>
      </w:r>
      <w:proofErr w:type="spellStart"/>
      <w:r w:rsidRPr="00771E6E">
        <w:rPr>
          <w:i/>
        </w:rPr>
        <w:t>temperantia</w:t>
      </w:r>
      <w:proofErr w:type="spellEnd"/>
      <w:r w:rsidRPr="00771E6E">
        <w:t xml:space="preserve">). These qualities, founded upon an education in the </w:t>
      </w:r>
      <w:proofErr w:type="spellStart"/>
      <w:r w:rsidRPr="00771E6E">
        <w:rPr>
          <w:i/>
        </w:rPr>
        <w:t>studia</w:t>
      </w:r>
      <w:proofErr w:type="spellEnd"/>
      <w:r w:rsidRPr="00771E6E">
        <w:rPr>
          <w:i/>
        </w:rPr>
        <w:t xml:space="preserve"> </w:t>
      </w:r>
      <w:proofErr w:type="spellStart"/>
      <w:r w:rsidRPr="00771E6E">
        <w:rPr>
          <w:i/>
        </w:rPr>
        <w:t>humanitatis</w:t>
      </w:r>
      <w:proofErr w:type="spellEnd"/>
      <w:r w:rsidRPr="00771E6E">
        <w:t xml:space="preserve">, were each thought to influence the moral </w:t>
      </w:r>
      <w:proofErr w:type="spellStart"/>
      <w:r w:rsidRPr="00771E6E">
        <w:t>behaviour</w:t>
      </w:r>
      <w:proofErr w:type="spellEnd"/>
      <w:r w:rsidRPr="00771E6E">
        <w:t xml:space="preserve"> of future rulers.</w:t>
      </w:r>
      <w:r w:rsidRPr="00771E6E">
        <w:rPr>
          <w:rStyle w:val="FootnoteReference"/>
        </w:rPr>
        <w:footnoteReference w:id="87"/>
      </w:r>
      <w:r w:rsidRPr="00771E6E">
        <w:t xml:space="preserve"> The popularity of this genre can be observed in the number of treatises and manuals dedicated to rulers during the fifteenth and the sixteenth century, and in the revived popularity of older sources, such as Giles of Rome (Egidio Colonna</w:t>
      </w:r>
      <w:r w:rsidR="00EF7449" w:rsidRPr="00771E6E">
        <w:t>, 1243-1316</w:t>
      </w:r>
      <w:r w:rsidRPr="00771E6E">
        <w:t xml:space="preserve">)’s </w:t>
      </w:r>
      <w:r w:rsidRPr="00771E6E">
        <w:rPr>
          <w:i/>
        </w:rPr>
        <w:t xml:space="preserve">De </w:t>
      </w:r>
      <w:proofErr w:type="spellStart"/>
      <w:r w:rsidRPr="00771E6E">
        <w:rPr>
          <w:i/>
        </w:rPr>
        <w:t>regimine</w:t>
      </w:r>
      <w:proofErr w:type="spellEnd"/>
      <w:r w:rsidRPr="00771E6E">
        <w:rPr>
          <w:i/>
        </w:rPr>
        <w:t xml:space="preserve"> </w:t>
      </w:r>
      <w:proofErr w:type="spellStart"/>
      <w:r w:rsidRPr="00771E6E">
        <w:rPr>
          <w:i/>
        </w:rPr>
        <w:t>principum</w:t>
      </w:r>
      <w:proofErr w:type="spellEnd"/>
      <w:r w:rsidRPr="00771E6E">
        <w:t xml:space="preserve"> (On the Government of Rulers), which was made available in printed form.</w:t>
      </w:r>
      <w:r w:rsidRPr="00771E6E">
        <w:rPr>
          <w:rStyle w:val="FootnoteReference"/>
        </w:rPr>
        <w:footnoteReference w:id="88"/>
      </w:r>
      <w:r w:rsidRPr="00771E6E">
        <w:t xml:space="preserve"> A copy of this treatise was, for example, part of the library of Niccolò III </w:t>
      </w:r>
      <w:proofErr w:type="spellStart"/>
      <w:r w:rsidR="005F0F8B" w:rsidRPr="00771E6E">
        <w:t>d’</w:t>
      </w:r>
      <w:r w:rsidRPr="00771E6E">
        <w:t>Este</w:t>
      </w:r>
      <w:proofErr w:type="spellEnd"/>
      <w:r w:rsidRPr="00771E6E">
        <w:t xml:space="preserve"> (1383-1441) and was an important source for Michele Savonarola’s </w:t>
      </w:r>
      <w:r w:rsidRPr="00771E6E">
        <w:rPr>
          <w:i/>
        </w:rPr>
        <w:t xml:space="preserve">De </w:t>
      </w:r>
      <w:proofErr w:type="spellStart"/>
      <w:r w:rsidRPr="00771E6E">
        <w:rPr>
          <w:i/>
        </w:rPr>
        <w:t>felici</w:t>
      </w:r>
      <w:proofErr w:type="spellEnd"/>
      <w:r w:rsidRPr="00771E6E">
        <w:rPr>
          <w:i/>
        </w:rPr>
        <w:t xml:space="preserve"> </w:t>
      </w:r>
      <w:proofErr w:type="spellStart"/>
      <w:r w:rsidRPr="00771E6E">
        <w:rPr>
          <w:i/>
        </w:rPr>
        <w:t>progressu</w:t>
      </w:r>
      <w:proofErr w:type="spellEnd"/>
      <w:r w:rsidRPr="00771E6E">
        <w:t xml:space="preserve"> (On the Successful Development)</w:t>
      </w:r>
      <w:r w:rsidRPr="00771E6E">
        <w:rPr>
          <w:i/>
        </w:rPr>
        <w:t>,</w:t>
      </w:r>
      <w:r w:rsidRPr="00771E6E">
        <w:t xml:space="preserve"> written between 1454 </w:t>
      </w:r>
      <w:r w:rsidRPr="00771E6E">
        <w:lastRenderedPageBreak/>
        <w:t>and 1461.</w:t>
      </w:r>
      <w:r w:rsidRPr="00771E6E">
        <w:rPr>
          <w:rStyle w:val="FootnoteReference"/>
        </w:rPr>
        <w:footnoteReference w:id="89"/>
      </w:r>
    </w:p>
    <w:p w14:paraId="68F0129E" w14:textId="77777777" w:rsidR="001840E8" w:rsidRPr="00771E6E" w:rsidRDefault="001840E8" w:rsidP="001840E8">
      <w:pPr>
        <w:widowControl w:val="0"/>
        <w:autoSpaceDE w:val="0"/>
        <w:autoSpaceDN w:val="0"/>
        <w:adjustRightInd w:val="0"/>
        <w:ind w:firstLine="720"/>
        <w:rPr>
          <w:iCs/>
        </w:rPr>
      </w:pPr>
      <w:r w:rsidRPr="00771E6E">
        <w:rPr>
          <w:iCs/>
        </w:rPr>
        <w:t xml:space="preserve">These treatises are a testament to the relationship between the importance of morality and the study of humanistic subjects in Italian society at the time, in particular history and moral philosophy. The latter of these, divided into ethics, economics and politics, was mainly derived from the writing of Aristotle, whose texts (especially the </w:t>
      </w:r>
      <w:r w:rsidRPr="00771E6E">
        <w:rPr>
          <w:i/>
          <w:iCs/>
        </w:rPr>
        <w:t>Nicomachean Ethics)</w:t>
      </w:r>
      <w:r w:rsidRPr="00771E6E">
        <w:rPr>
          <w:iCs/>
        </w:rPr>
        <w:t xml:space="preserve"> were used for teaching in universities and were widely available through translations and commentaries.</w:t>
      </w:r>
      <w:r w:rsidRPr="00771E6E">
        <w:rPr>
          <w:rStyle w:val="FootnoteReference"/>
        </w:rPr>
        <w:footnoteReference w:id="90"/>
      </w:r>
      <w:r w:rsidRPr="00771E6E">
        <w:rPr>
          <w:iCs/>
        </w:rPr>
        <w:t xml:space="preserve"> Frequently mixing classical ethics with Christian principles, humanist scholars used moral philosophy to encourage individuals to pursue a virtuous life.</w:t>
      </w:r>
      <w:r w:rsidRPr="00771E6E">
        <w:rPr>
          <w:rStyle w:val="FootnoteReference"/>
        </w:rPr>
        <w:footnoteReference w:id="91"/>
      </w:r>
      <w:r w:rsidRPr="00771E6E">
        <w:rPr>
          <w:iCs/>
        </w:rPr>
        <w:t xml:space="preserve"> Although a contemplative life dedicated to the consideration of divine matters was desirable, following Aristotelian teaching, the scholars of the fifteenth and sixteenth centuries </w:t>
      </w:r>
      <w:proofErr w:type="spellStart"/>
      <w:r w:rsidRPr="00771E6E">
        <w:rPr>
          <w:iCs/>
        </w:rPr>
        <w:t>recognised</w:t>
      </w:r>
      <w:proofErr w:type="spellEnd"/>
      <w:r w:rsidRPr="00771E6E">
        <w:rPr>
          <w:iCs/>
        </w:rPr>
        <w:t xml:space="preserve"> its elitist character and accepted that an active life was frequently more appropriate.</w:t>
      </w:r>
      <w:r w:rsidRPr="00771E6E">
        <w:rPr>
          <w:rStyle w:val="FootnoteReference"/>
        </w:rPr>
        <w:footnoteReference w:id="92"/>
      </w:r>
    </w:p>
    <w:p w14:paraId="5D072E02" w14:textId="77777777" w:rsidR="001840E8" w:rsidRPr="00771E6E" w:rsidRDefault="001840E8" w:rsidP="005F0F8B">
      <w:pPr>
        <w:widowControl w:val="0"/>
        <w:autoSpaceDE w:val="0"/>
        <w:autoSpaceDN w:val="0"/>
        <w:adjustRightInd w:val="0"/>
        <w:ind w:firstLine="720"/>
      </w:pPr>
      <w:r w:rsidRPr="00771E6E">
        <w:t xml:space="preserve">The importance of </w:t>
      </w:r>
      <w:r w:rsidR="005F0F8B" w:rsidRPr="00771E6E">
        <w:t>M</w:t>
      </w:r>
      <w:r w:rsidRPr="00771E6E">
        <w:t xml:space="preserve">oral </w:t>
      </w:r>
      <w:r w:rsidR="005F0F8B" w:rsidRPr="00771E6E">
        <w:t>P</w:t>
      </w:r>
      <w:r w:rsidRPr="00771E6E">
        <w:t xml:space="preserve">hilosophy and the study of </w:t>
      </w:r>
      <w:r w:rsidR="005F0F8B" w:rsidRPr="00771E6E">
        <w:t>H</w:t>
      </w:r>
      <w:r w:rsidRPr="00771E6E">
        <w:t xml:space="preserve">istory is also evident in pedagogical treatises directed specifically toward young learners, such as </w:t>
      </w:r>
      <w:proofErr w:type="spellStart"/>
      <w:r w:rsidRPr="00771E6E">
        <w:rPr>
          <w:iCs/>
        </w:rPr>
        <w:t>Vergerio’s</w:t>
      </w:r>
      <w:proofErr w:type="spellEnd"/>
      <w:r w:rsidRPr="00771E6E">
        <w:rPr>
          <w:iCs/>
        </w:rPr>
        <w:t xml:space="preserve"> </w:t>
      </w:r>
      <w:r w:rsidRPr="00771E6E">
        <w:rPr>
          <w:i/>
        </w:rPr>
        <w:t xml:space="preserve">De </w:t>
      </w:r>
      <w:proofErr w:type="spellStart"/>
      <w:r w:rsidRPr="00771E6E">
        <w:rPr>
          <w:i/>
        </w:rPr>
        <w:t>ingenuis</w:t>
      </w:r>
      <w:proofErr w:type="spellEnd"/>
      <w:r w:rsidRPr="00771E6E">
        <w:rPr>
          <w:i/>
        </w:rPr>
        <w:t xml:space="preserve"> </w:t>
      </w:r>
      <w:proofErr w:type="spellStart"/>
      <w:r w:rsidRPr="00771E6E">
        <w:rPr>
          <w:i/>
        </w:rPr>
        <w:t>moribus</w:t>
      </w:r>
      <w:proofErr w:type="spellEnd"/>
      <w:r w:rsidRPr="00771E6E">
        <w:rPr>
          <w:i/>
        </w:rPr>
        <w:t xml:space="preserve"> et </w:t>
      </w:r>
      <w:proofErr w:type="spellStart"/>
      <w:r w:rsidRPr="00771E6E">
        <w:rPr>
          <w:i/>
        </w:rPr>
        <w:t>liberalibus</w:t>
      </w:r>
      <w:proofErr w:type="spellEnd"/>
      <w:r w:rsidRPr="00771E6E">
        <w:rPr>
          <w:i/>
        </w:rPr>
        <w:t xml:space="preserve"> </w:t>
      </w:r>
      <w:proofErr w:type="spellStart"/>
      <w:r w:rsidRPr="00771E6E">
        <w:rPr>
          <w:i/>
        </w:rPr>
        <w:t>studiis</w:t>
      </w:r>
      <w:proofErr w:type="spellEnd"/>
      <w:r w:rsidRPr="00771E6E">
        <w:rPr>
          <w:i/>
        </w:rPr>
        <w:t xml:space="preserve"> </w:t>
      </w:r>
      <w:proofErr w:type="spellStart"/>
      <w:r w:rsidRPr="00771E6E">
        <w:rPr>
          <w:i/>
        </w:rPr>
        <w:t>adulescentiae</w:t>
      </w:r>
      <w:proofErr w:type="spellEnd"/>
      <w:r w:rsidRPr="00771E6E">
        <w:rPr>
          <w:iCs/>
        </w:rPr>
        <w:t xml:space="preserve">, </w:t>
      </w:r>
      <w:proofErr w:type="spellStart"/>
      <w:r w:rsidRPr="00771E6E">
        <w:rPr>
          <w:iCs/>
        </w:rPr>
        <w:t>Piccolomini’s</w:t>
      </w:r>
      <w:proofErr w:type="spellEnd"/>
      <w:r w:rsidRPr="00771E6E">
        <w:rPr>
          <w:iCs/>
        </w:rPr>
        <w:t xml:space="preserve"> </w:t>
      </w:r>
      <w:r w:rsidRPr="00771E6E">
        <w:rPr>
          <w:i/>
        </w:rPr>
        <w:t xml:space="preserve">De </w:t>
      </w:r>
      <w:proofErr w:type="spellStart"/>
      <w:r w:rsidRPr="00771E6E">
        <w:rPr>
          <w:i/>
        </w:rPr>
        <w:t>liberorum</w:t>
      </w:r>
      <w:proofErr w:type="spellEnd"/>
      <w:r w:rsidRPr="00771E6E">
        <w:rPr>
          <w:i/>
        </w:rPr>
        <w:t xml:space="preserve"> </w:t>
      </w:r>
      <w:proofErr w:type="spellStart"/>
      <w:r w:rsidRPr="00771E6E">
        <w:rPr>
          <w:i/>
        </w:rPr>
        <w:t>educatione</w:t>
      </w:r>
      <w:proofErr w:type="spellEnd"/>
      <w:r w:rsidRPr="00771E6E">
        <w:t xml:space="preserve">, </w:t>
      </w:r>
      <w:r w:rsidRPr="00771E6E">
        <w:rPr>
          <w:iCs/>
        </w:rPr>
        <w:t xml:space="preserve">and Battista Guarino’s </w:t>
      </w:r>
      <w:r w:rsidRPr="00771E6E">
        <w:rPr>
          <w:i/>
          <w:iCs/>
        </w:rPr>
        <w:t xml:space="preserve">De </w:t>
      </w:r>
      <w:proofErr w:type="spellStart"/>
      <w:r w:rsidRPr="00771E6E">
        <w:rPr>
          <w:i/>
          <w:iCs/>
        </w:rPr>
        <w:t>ordine</w:t>
      </w:r>
      <w:proofErr w:type="spellEnd"/>
      <w:r w:rsidRPr="00771E6E">
        <w:rPr>
          <w:i/>
          <w:iCs/>
        </w:rPr>
        <w:t xml:space="preserve"> </w:t>
      </w:r>
      <w:proofErr w:type="spellStart"/>
      <w:r w:rsidRPr="00771E6E">
        <w:rPr>
          <w:i/>
          <w:iCs/>
        </w:rPr>
        <w:t>docendi</w:t>
      </w:r>
      <w:proofErr w:type="spellEnd"/>
      <w:r w:rsidRPr="00771E6E">
        <w:rPr>
          <w:i/>
          <w:iCs/>
        </w:rPr>
        <w:t xml:space="preserve"> et </w:t>
      </w:r>
      <w:proofErr w:type="spellStart"/>
      <w:r w:rsidRPr="00771E6E">
        <w:rPr>
          <w:i/>
          <w:iCs/>
        </w:rPr>
        <w:t>studendi</w:t>
      </w:r>
      <w:proofErr w:type="spellEnd"/>
      <w:r w:rsidRPr="00771E6E">
        <w:rPr>
          <w:i/>
          <w:iCs/>
        </w:rPr>
        <w:t xml:space="preserve"> </w:t>
      </w:r>
      <w:r w:rsidRPr="00771E6E">
        <w:rPr>
          <w:iCs/>
        </w:rPr>
        <w:t>(On the Order of Teaching and Studying, 1459).</w:t>
      </w:r>
      <w:r w:rsidRPr="00771E6E">
        <w:rPr>
          <w:rStyle w:val="CommentReference"/>
        </w:rPr>
        <w:t xml:space="preserve"> </w:t>
      </w:r>
      <w:r w:rsidRPr="00771E6E">
        <w:rPr>
          <w:iCs/>
        </w:rPr>
        <w:t xml:space="preserve">In his treatise dedicated to the young son of the ruler of Padua, </w:t>
      </w:r>
      <w:proofErr w:type="spellStart"/>
      <w:r w:rsidRPr="00771E6E">
        <w:rPr>
          <w:iCs/>
        </w:rPr>
        <w:t>Vergerio</w:t>
      </w:r>
      <w:proofErr w:type="spellEnd"/>
      <w:r w:rsidRPr="00771E6E">
        <w:rPr>
          <w:iCs/>
        </w:rPr>
        <w:t xml:space="preserve"> describes the qualities which were considered fitting for a nobleman, and details the many advantages of liberal studies, which served to guide the learner along a path to wisdom and virtue such that a student would be prepared well for civic duties. As noted above, </w:t>
      </w:r>
      <w:r w:rsidRPr="00771E6E">
        <w:t xml:space="preserve">significant importance is given to the study of </w:t>
      </w:r>
      <w:r w:rsidR="005F0F8B" w:rsidRPr="00771E6E">
        <w:t>M</w:t>
      </w:r>
      <w:r w:rsidRPr="00771E6E">
        <w:t xml:space="preserve">oral </w:t>
      </w:r>
      <w:r w:rsidR="005F0F8B" w:rsidRPr="00771E6E">
        <w:t>P</w:t>
      </w:r>
      <w:r w:rsidRPr="00771E6E">
        <w:t xml:space="preserve">hilosophy and </w:t>
      </w:r>
      <w:r w:rsidR="005F0F8B" w:rsidRPr="00771E6E">
        <w:t>H</w:t>
      </w:r>
      <w:r w:rsidRPr="00771E6E">
        <w:t xml:space="preserve">istory, which he declares to be necessary in order to develop virtuous </w:t>
      </w:r>
      <w:proofErr w:type="spellStart"/>
      <w:r w:rsidRPr="00771E6E">
        <w:t>behaviour</w:t>
      </w:r>
      <w:proofErr w:type="spellEnd"/>
      <w:r w:rsidRPr="00771E6E">
        <w:t>, through the imitation of the examples from the past.</w:t>
      </w:r>
      <w:r w:rsidRPr="00771E6E">
        <w:rPr>
          <w:rStyle w:val="FootnoteReference"/>
        </w:rPr>
        <w:t xml:space="preserve"> </w:t>
      </w:r>
      <w:r w:rsidRPr="00771E6E">
        <w:t xml:space="preserve">The author states that, “in philosophy we find </w:t>
      </w:r>
      <w:r w:rsidRPr="00771E6E">
        <w:lastRenderedPageBreak/>
        <w:t>rules explaining what one may profitably do or shun, but in history we find examples.”</w:t>
      </w:r>
      <w:r w:rsidRPr="00771E6E">
        <w:rPr>
          <w:rStyle w:val="FootnoteReference"/>
        </w:rPr>
        <w:footnoteReference w:id="93"/>
      </w:r>
      <w:r w:rsidRPr="00771E6E">
        <w:t xml:space="preserve"> Schooling in </w:t>
      </w:r>
      <w:r w:rsidR="005F0F8B" w:rsidRPr="00771E6E">
        <w:t>C</w:t>
      </w:r>
      <w:r w:rsidRPr="00771E6E">
        <w:t xml:space="preserve">lassical </w:t>
      </w:r>
      <w:r w:rsidR="005F0F8B" w:rsidRPr="00771E6E">
        <w:t>H</w:t>
      </w:r>
      <w:r w:rsidRPr="00771E6E">
        <w:t>istory was heavily advocated, so that students could learn from the experiences and deeds of ancient figures, and be encouraged by this to lead their life in accordance with positive moral principles.</w:t>
      </w:r>
      <w:r w:rsidRPr="00771E6E">
        <w:rPr>
          <w:rStyle w:val="FootnoteReference"/>
        </w:rPr>
        <w:footnoteReference w:id="94"/>
      </w:r>
      <w:r w:rsidRPr="00771E6E">
        <w:t xml:space="preserve"> Much like </w:t>
      </w:r>
      <w:proofErr w:type="spellStart"/>
      <w:r w:rsidRPr="00771E6E">
        <w:t>Vergerio</w:t>
      </w:r>
      <w:proofErr w:type="spellEnd"/>
      <w:r w:rsidRPr="00771E6E">
        <w:t xml:space="preserve">, </w:t>
      </w:r>
      <w:proofErr w:type="spellStart"/>
      <w:r w:rsidRPr="00771E6E">
        <w:t>Piccolomini</w:t>
      </w:r>
      <w:proofErr w:type="spellEnd"/>
      <w:r w:rsidRPr="00771E6E">
        <w:t xml:space="preserve"> advises the recipient of his book, the young </w:t>
      </w:r>
      <w:proofErr w:type="spellStart"/>
      <w:r w:rsidRPr="00771E6E">
        <w:t>Ladislas</w:t>
      </w:r>
      <w:proofErr w:type="spellEnd"/>
      <w:r w:rsidRPr="00771E6E">
        <w:t>, King of Hungary and Bohemia, and Duke of Austria, that “it is … advantageous to know a great deal of history and to train yourself in it, so that by following the example of others you may know how to seek what is useful and to avoid what is harmful.</w:t>
      </w:r>
      <w:bookmarkStart w:id="14" w:name="_ftnref1"/>
      <w:bookmarkEnd w:id="14"/>
      <w:r w:rsidRPr="00771E6E">
        <w:t>”</w:t>
      </w:r>
      <w:r w:rsidRPr="00771E6E">
        <w:rPr>
          <w:rStyle w:val="FootnoteReference"/>
        </w:rPr>
        <w:footnoteReference w:id="95"/>
      </w:r>
      <w:r w:rsidRPr="00771E6E">
        <w:t xml:space="preserve"> Moreover, </w:t>
      </w:r>
      <w:proofErr w:type="spellStart"/>
      <w:r w:rsidRPr="00771E6E">
        <w:t>Piccolomini</w:t>
      </w:r>
      <w:proofErr w:type="spellEnd"/>
      <w:r w:rsidRPr="00771E6E">
        <w:t xml:space="preserve"> incites </w:t>
      </w:r>
      <w:proofErr w:type="spellStart"/>
      <w:r w:rsidRPr="00771E6E">
        <w:t>Ladislas</w:t>
      </w:r>
      <w:proofErr w:type="spellEnd"/>
      <w:r w:rsidRPr="00771E6E">
        <w:t xml:space="preserve"> to follow the example of his ancestors who ruled the Roman Empire, as well as his father, Albert.</w:t>
      </w:r>
      <w:r w:rsidRPr="00771E6E">
        <w:rPr>
          <w:rStyle w:val="FootnoteReference"/>
        </w:rPr>
        <w:footnoteReference w:id="96"/>
      </w:r>
      <w:r w:rsidRPr="00771E6E">
        <w:t xml:space="preserve"> Similarly, Battista Guarino encourages the young </w:t>
      </w:r>
      <w:proofErr w:type="spellStart"/>
      <w:r w:rsidRPr="00771E6E">
        <w:t>Maffeo</w:t>
      </w:r>
      <w:proofErr w:type="spellEnd"/>
      <w:r w:rsidRPr="00771E6E">
        <w:t xml:space="preserve"> </w:t>
      </w:r>
      <w:proofErr w:type="spellStart"/>
      <w:r w:rsidRPr="00771E6E">
        <w:t>Gambara</w:t>
      </w:r>
      <w:proofErr w:type="spellEnd"/>
      <w:r w:rsidRPr="00771E6E">
        <w:t xml:space="preserve"> of Brescia to study History, especially the writings of Justin and </w:t>
      </w:r>
      <w:proofErr w:type="spellStart"/>
      <w:r w:rsidRPr="00771E6E">
        <w:t>Valerius</w:t>
      </w:r>
      <w:proofErr w:type="spellEnd"/>
      <w:r w:rsidRPr="00771E6E">
        <w:t xml:space="preserve"> Maximus,</w:t>
      </w:r>
      <w:r w:rsidRPr="00771E6E">
        <w:rPr>
          <w:rStyle w:val="FootnoteReference"/>
        </w:rPr>
        <w:footnoteReference w:id="97"/>
      </w:r>
      <w:r w:rsidRPr="00771E6E">
        <w:t xml:space="preserve"> as well as Cicero for his teachings on moral philosophy, which he considers to be a “vital subject” (</w:t>
      </w:r>
      <w:proofErr w:type="spellStart"/>
      <w:r w:rsidRPr="00771E6E">
        <w:rPr>
          <w:i/>
        </w:rPr>
        <w:t>pernecessaria</w:t>
      </w:r>
      <w:proofErr w:type="spellEnd"/>
      <w:r w:rsidRPr="00771E6E">
        <w:t>)</w:t>
      </w:r>
      <w:r w:rsidRPr="00771E6E">
        <w:rPr>
          <w:i/>
        </w:rPr>
        <w:t xml:space="preserve"> </w:t>
      </w:r>
      <w:r w:rsidRPr="00771E6E">
        <w:t>for an orator.</w:t>
      </w:r>
      <w:r w:rsidRPr="00771E6E">
        <w:rPr>
          <w:rStyle w:val="FootnoteReference"/>
        </w:rPr>
        <w:footnoteReference w:id="98"/>
      </w:r>
      <w:r w:rsidRPr="00771E6E">
        <w:t xml:space="preserve"> </w:t>
      </w:r>
    </w:p>
    <w:p w14:paraId="777CF12B" w14:textId="77777777" w:rsidR="001840E8" w:rsidRPr="00771E6E" w:rsidRDefault="001840E8" w:rsidP="001840E8">
      <w:pPr>
        <w:tabs>
          <w:tab w:val="left" w:pos="1311"/>
        </w:tabs>
        <w:ind w:firstLine="720"/>
        <w:rPr>
          <w:iCs/>
        </w:rPr>
      </w:pPr>
      <w:r w:rsidRPr="00771E6E">
        <w:t xml:space="preserve">While not specifically directed towards children, the use of examples as references is also encouraged by Leonardo Bruni, in his </w:t>
      </w:r>
      <w:r w:rsidRPr="00771E6E">
        <w:rPr>
          <w:i/>
        </w:rPr>
        <w:t xml:space="preserve">De </w:t>
      </w:r>
      <w:proofErr w:type="spellStart"/>
      <w:r w:rsidRPr="00771E6E">
        <w:rPr>
          <w:i/>
        </w:rPr>
        <w:t>studiis</w:t>
      </w:r>
      <w:proofErr w:type="spellEnd"/>
      <w:r w:rsidRPr="00771E6E">
        <w:rPr>
          <w:i/>
        </w:rPr>
        <w:t xml:space="preserve"> et </w:t>
      </w:r>
      <w:proofErr w:type="spellStart"/>
      <w:r w:rsidRPr="00771E6E">
        <w:rPr>
          <w:i/>
        </w:rPr>
        <w:t>litteris</w:t>
      </w:r>
      <w:proofErr w:type="spellEnd"/>
      <w:r w:rsidRPr="00771E6E">
        <w:rPr>
          <w:i/>
        </w:rPr>
        <w:t xml:space="preserve"> liber </w:t>
      </w:r>
      <w:r w:rsidRPr="00771E6E">
        <w:t xml:space="preserve">(The Study of Literature) dedicated to the noblewoman Baptista di </w:t>
      </w:r>
      <w:proofErr w:type="spellStart"/>
      <w:r w:rsidRPr="00771E6E">
        <w:t>Montefeltro</w:t>
      </w:r>
      <w:proofErr w:type="spellEnd"/>
      <w:r w:rsidRPr="00771E6E">
        <w:t>, composed in the early fifteenth century.</w:t>
      </w:r>
      <w:r w:rsidRPr="00771E6E">
        <w:rPr>
          <w:rStyle w:val="FootnoteReference"/>
        </w:rPr>
        <w:footnoteReference w:id="99"/>
      </w:r>
      <w:r w:rsidRPr="00771E6E">
        <w:t xml:space="preserve"> In Bruni’s view, the “k</w:t>
      </w:r>
      <w:r w:rsidRPr="00771E6E">
        <w:rPr>
          <w:iCs/>
        </w:rPr>
        <w:t>nowledge of the past gives guidance to our counsels and our practical judgement,” and “history will be the most commodious source of that stock of examples of outstanding conduct with which it is fitting frequently to embellish our conversation.”</w:t>
      </w:r>
      <w:r w:rsidRPr="00771E6E">
        <w:rPr>
          <w:rStyle w:val="FootnoteReference"/>
        </w:rPr>
        <w:footnoteReference w:id="100"/>
      </w:r>
    </w:p>
    <w:p w14:paraId="0F3CF4C9" w14:textId="77777777" w:rsidR="001840E8" w:rsidRPr="00771E6E" w:rsidRDefault="001840E8" w:rsidP="001840E8">
      <w:pPr>
        <w:tabs>
          <w:tab w:val="left" w:pos="1311"/>
        </w:tabs>
        <w:ind w:firstLine="720"/>
      </w:pPr>
      <w:r w:rsidRPr="00771E6E">
        <w:rPr>
          <w:iCs/>
        </w:rPr>
        <w:t xml:space="preserve">The custom of teaching young people anecdotes taken from ancient poets and writers was also noted by </w:t>
      </w:r>
      <w:proofErr w:type="spellStart"/>
      <w:r w:rsidRPr="00771E6E">
        <w:t>Vegio</w:t>
      </w:r>
      <w:proofErr w:type="spellEnd"/>
      <w:r w:rsidRPr="00771E6E">
        <w:t xml:space="preserve"> in his </w:t>
      </w:r>
      <w:r w:rsidRPr="00771E6E">
        <w:rPr>
          <w:i/>
        </w:rPr>
        <w:t xml:space="preserve">De </w:t>
      </w:r>
      <w:proofErr w:type="spellStart"/>
      <w:r w:rsidRPr="00771E6E">
        <w:rPr>
          <w:i/>
        </w:rPr>
        <w:t>educatione</w:t>
      </w:r>
      <w:proofErr w:type="spellEnd"/>
      <w:r w:rsidRPr="00771E6E">
        <w:rPr>
          <w:i/>
        </w:rPr>
        <w:t xml:space="preserve"> </w:t>
      </w:r>
      <w:proofErr w:type="spellStart"/>
      <w:r w:rsidRPr="00771E6E">
        <w:rPr>
          <w:i/>
        </w:rPr>
        <w:t>liberorum</w:t>
      </w:r>
      <w:proofErr w:type="spellEnd"/>
      <w:r w:rsidRPr="00771E6E">
        <w:t xml:space="preserve">. In his words, these stories </w:t>
      </w:r>
      <w:r w:rsidRPr="00771E6E">
        <w:rPr>
          <w:iCs/>
        </w:rPr>
        <w:lastRenderedPageBreak/>
        <w:t>“would offer them readymade examples to imitate as needed.”</w:t>
      </w:r>
      <w:r w:rsidRPr="00771E6E">
        <w:rPr>
          <w:rStyle w:val="FootnoteReference"/>
        </w:rPr>
        <w:footnoteReference w:id="101"/>
      </w:r>
      <w:r w:rsidRPr="00771E6E">
        <w:t xml:space="preserve"> The study of history is presented by these authors as a moral tool, as it is filled with examples of virtuous and heroic deeds, which the reader was encouraged to follow. It is also easy to imagine how other members of the family might help children to assimilate exemplary models. Alberti recommends that fathers, in order to “animate youths to virtue” (</w:t>
      </w:r>
      <w:proofErr w:type="spellStart"/>
      <w:r w:rsidRPr="00771E6E">
        <w:rPr>
          <w:i/>
        </w:rPr>
        <w:t>inanimare</w:t>
      </w:r>
      <w:proofErr w:type="spellEnd"/>
      <w:r w:rsidRPr="00771E6E">
        <w:rPr>
          <w:i/>
        </w:rPr>
        <w:t xml:space="preserve"> </w:t>
      </w:r>
      <w:proofErr w:type="spellStart"/>
      <w:r w:rsidRPr="00771E6E">
        <w:rPr>
          <w:i/>
        </w:rPr>
        <w:t>i</w:t>
      </w:r>
      <w:proofErr w:type="spellEnd"/>
      <w:r w:rsidRPr="00771E6E">
        <w:rPr>
          <w:i/>
        </w:rPr>
        <w:t xml:space="preserve"> </w:t>
      </w:r>
      <w:proofErr w:type="spellStart"/>
      <w:r w:rsidRPr="00771E6E">
        <w:rPr>
          <w:i/>
        </w:rPr>
        <w:t>giovani</w:t>
      </w:r>
      <w:proofErr w:type="spellEnd"/>
      <w:r w:rsidRPr="00771E6E">
        <w:rPr>
          <w:i/>
        </w:rPr>
        <w:t xml:space="preserve"> … </w:t>
      </w:r>
      <w:proofErr w:type="spellStart"/>
      <w:r w:rsidRPr="00771E6E">
        <w:rPr>
          <w:i/>
        </w:rPr>
        <w:t>alla</w:t>
      </w:r>
      <w:proofErr w:type="spellEnd"/>
      <w:r w:rsidRPr="00771E6E">
        <w:rPr>
          <w:i/>
        </w:rPr>
        <w:t xml:space="preserve"> </w:t>
      </w:r>
      <w:proofErr w:type="spellStart"/>
      <w:r w:rsidRPr="00771E6E">
        <w:rPr>
          <w:i/>
        </w:rPr>
        <w:t>virtù</w:t>
      </w:r>
      <w:proofErr w:type="spellEnd"/>
      <w:r w:rsidRPr="00771E6E">
        <w:t>), should express their admiration of virtuous individuals “in every conversation” (</w:t>
      </w:r>
      <w:r w:rsidRPr="00771E6E">
        <w:rPr>
          <w:i/>
        </w:rPr>
        <w:t xml:space="preserve">in </w:t>
      </w:r>
      <w:proofErr w:type="spellStart"/>
      <w:r w:rsidRPr="00771E6E">
        <w:rPr>
          <w:i/>
        </w:rPr>
        <w:t>ogni</w:t>
      </w:r>
      <w:proofErr w:type="spellEnd"/>
      <w:r w:rsidRPr="00771E6E">
        <w:rPr>
          <w:i/>
        </w:rPr>
        <w:t xml:space="preserve"> </w:t>
      </w:r>
      <w:proofErr w:type="spellStart"/>
      <w:r w:rsidRPr="00771E6E">
        <w:rPr>
          <w:i/>
        </w:rPr>
        <w:t>ragionamento</w:t>
      </w:r>
      <w:proofErr w:type="spellEnd"/>
      <w:r w:rsidRPr="00771E6E">
        <w:t>), much like ancient people did with heroes and gods, not only as a tribute to their qualities but also to “ignite in men a passion for virtue” (</w:t>
      </w:r>
      <w:proofErr w:type="spellStart"/>
      <w:r w:rsidRPr="00771E6E">
        <w:rPr>
          <w:i/>
        </w:rPr>
        <w:t>incendere</w:t>
      </w:r>
      <w:proofErr w:type="spellEnd"/>
      <w:r w:rsidRPr="00771E6E">
        <w:rPr>
          <w:i/>
        </w:rPr>
        <w:t xml:space="preserve"> </w:t>
      </w:r>
      <w:proofErr w:type="spellStart"/>
      <w:r w:rsidRPr="00771E6E">
        <w:rPr>
          <w:i/>
        </w:rPr>
        <w:t>agli</w:t>
      </w:r>
      <w:proofErr w:type="spellEnd"/>
      <w:r w:rsidRPr="00771E6E">
        <w:rPr>
          <w:i/>
        </w:rPr>
        <w:t xml:space="preserve"> </w:t>
      </w:r>
      <w:proofErr w:type="spellStart"/>
      <w:r w:rsidRPr="00771E6E">
        <w:rPr>
          <w:i/>
        </w:rPr>
        <w:t>uomini</w:t>
      </w:r>
      <w:proofErr w:type="spellEnd"/>
      <w:r w:rsidRPr="00771E6E">
        <w:rPr>
          <w:i/>
        </w:rPr>
        <w:t xml:space="preserve"> </w:t>
      </w:r>
      <w:proofErr w:type="spellStart"/>
      <w:r w:rsidRPr="00771E6E">
        <w:rPr>
          <w:i/>
        </w:rPr>
        <w:t>uno</w:t>
      </w:r>
      <w:proofErr w:type="spellEnd"/>
      <w:r w:rsidRPr="00771E6E">
        <w:rPr>
          <w:i/>
        </w:rPr>
        <w:t xml:space="preserve"> </w:t>
      </w:r>
      <w:proofErr w:type="spellStart"/>
      <w:r w:rsidRPr="00771E6E">
        <w:rPr>
          <w:i/>
        </w:rPr>
        <w:t>ardore</w:t>
      </w:r>
      <w:proofErr w:type="spellEnd"/>
      <w:r w:rsidRPr="00771E6E">
        <w:rPr>
          <w:i/>
        </w:rPr>
        <w:t xml:space="preserve"> a </w:t>
      </w:r>
      <w:proofErr w:type="spellStart"/>
      <w:r w:rsidRPr="00771E6E">
        <w:rPr>
          <w:i/>
        </w:rPr>
        <w:t>virtù</w:t>
      </w:r>
      <w:proofErr w:type="spellEnd"/>
      <w:r w:rsidRPr="00771E6E">
        <w:t>). At the same time, Alberti encourages fathers to voice disapproval of wicked deeds. In this way, children, who crave praise, would follow these examples as set out for them so that they would likewise be praised.</w:t>
      </w:r>
      <w:r w:rsidRPr="00771E6E">
        <w:rPr>
          <w:rStyle w:val="FootnoteReference"/>
        </w:rPr>
        <w:footnoteReference w:id="102"/>
      </w:r>
      <w:r w:rsidRPr="00771E6E">
        <w:t xml:space="preserve"> </w:t>
      </w:r>
    </w:p>
    <w:p w14:paraId="308787BB" w14:textId="77777777" w:rsidR="001840E8" w:rsidRPr="00771E6E" w:rsidRDefault="001840E8" w:rsidP="001840E8">
      <w:pPr>
        <w:widowControl w:val="0"/>
        <w:autoSpaceDE w:val="0"/>
        <w:autoSpaceDN w:val="0"/>
        <w:adjustRightInd w:val="0"/>
        <w:ind w:firstLine="720"/>
      </w:pPr>
      <w:r w:rsidRPr="00771E6E">
        <w:t>Similarly, Matteo Palmieri supports the view that a father should take care to ensure that only suitable examples propagate within his family, in order to “avoid and eradicate his son’s vices” (</w:t>
      </w:r>
      <w:r w:rsidRPr="00771E6E">
        <w:rPr>
          <w:i/>
        </w:rPr>
        <w:t xml:space="preserve">per </w:t>
      </w:r>
      <w:proofErr w:type="spellStart"/>
      <w:r w:rsidRPr="00771E6E">
        <w:rPr>
          <w:i/>
        </w:rPr>
        <w:t>fuggire</w:t>
      </w:r>
      <w:proofErr w:type="spellEnd"/>
      <w:r w:rsidRPr="00771E6E">
        <w:rPr>
          <w:i/>
        </w:rPr>
        <w:t xml:space="preserve"> e </w:t>
      </w:r>
      <w:proofErr w:type="spellStart"/>
      <w:r w:rsidRPr="00771E6E">
        <w:rPr>
          <w:i/>
        </w:rPr>
        <w:t>torre</w:t>
      </w:r>
      <w:proofErr w:type="spellEnd"/>
      <w:r w:rsidRPr="00771E6E">
        <w:rPr>
          <w:i/>
        </w:rPr>
        <w:t xml:space="preserve"> via </w:t>
      </w:r>
      <w:proofErr w:type="spellStart"/>
      <w:r w:rsidRPr="00771E6E">
        <w:rPr>
          <w:i/>
        </w:rPr>
        <w:t>i</w:t>
      </w:r>
      <w:proofErr w:type="spellEnd"/>
      <w:r w:rsidRPr="00771E6E">
        <w:rPr>
          <w:i/>
        </w:rPr>
        <w:t xml:space="preserve"> </w:t>
      </w:r>
      <w:proofErr w:type="spellStart"/>
      <w:r w:rsidRPr="00771E6E">
        <w:rPr>
          <w:i/>
        </w:rPr>
        <w:t>vitii</w:t>
      </w:r>
      <w:proofErr w:type="spellEnd"/>
      <w:r w:rsidRPr="00771E6E">
        <w:rPr>
          <w:i/>
        </w:rPr>
        <w:t xml:space="preserve"> del </w:t>
      </w:r>
      <w:proofErr w:type="spellStart"/>
      <w:r w:rsidRPr="00771E6E">
        <w:rPr>
          <w:i/>
        </w:rPr>
        <w:t>filiuolo</w:t>
      </w:r>
      <w:proofErr w:type="spellEnd"/>
      <w:r w:rsidRPr="00771E6E">
        <w:t>), and goes on to state that “in the house one should reason on matters that are good and honest, and even the tales told by women should be acclamations of honest living,” providing teachings that will stay in the young person’s memory when he leaves the paternal home.</w:t>
      </w:r>
      <w:r w:rsidRPr="00771E6E">
        <w:rPr>
          <w:rStyle w:val="FootnoteReference"/>
        </w:rPr>
        <w:footnoteReference w:id="103"/>
      </w:r>
    </w:p>
    <w:p w14:paraId="5A6EDA10" w14:textId="77777777" w:rsidR="001840E8" w:rsidRPr="00771E6E" w:rsidRDefault="001840E8" w:rsidP="001840E8">
      <w:pPr>
        <w:widowControl w:val="0"/>
        <w:autoSpaceDE w:val="0"/>
        <w:autoSpaceDN w:val="0"/>
        <w:adjustRightInd w:val="0"/>
        <w:ind w:firstLine="720"/>
      </w:pPr>
      <w:r w:rsidRPr="00771E6E">
        <w:t xml:space="preserve">Valuable </w:t>
      </w:r>
      <w:r w:rsidRPr="00771E6E">
        <w:rPr>
          <w:i/>
        </w:rPr>
        <w:t>exempla</w:t>
      </w:r>
      <w:r w:rsidRPr="00771E6E">
        <w:t xml:space="preserve"> were provided by the lives of illustrious men from antiquity, as described in biographies like the </w:t>
      </w:r>
      <w:r w:rsidRPr="00771E6E">
        <w:rPr>
          <w:i/>
        </w:rPr>
        <w:t xml:space="preserve">De vita </w:t>
      </w:r>
      <w:proofErr w:type="spellStart"/>
      <w:r w:rsidRPr="00771E6E">
        <w:rPr>
          <w:i/>
        </w:rPr>
        <w:t>Caesarum</w:t>
      </w:r>
      <w:proofErr w:type="spellEnd"/>
      <w:r w:rsidRPr="00771E6E">
        <w:t xml:space="preserve"> (On the Life of Caesars) by the Roman historian S</w:t>
      </w:r>
      <w:r w:rsidR="00192647" w:rsidRPr="00771E6E">
        <w:t>u</w:t>
      </w:r>
      <w:r w:rsidRPr="00771E6E">
        <w:t xml:space="preserve">etonius (first-second century AD), the </w:t>
      </w:r>
      <w:r w:rsidRPr="00771E6E">
        <w:rPr>
          <w:i/>
        </w:rPr>
        <w:t xml:space="preserve">Vitae </w:t>
      </w:r>
      <w:proofErr w:type="spellStart"/>
      <w:r w:rsidRPr="00771E6E">
        <w:rPr>
          <w:i/>
        </w:rPr>
        <w:t>illustrium</w:t>
      </w:r>
      <w:proofErr w:type="spellEnd"/>
      <w:r w:rsidRPr="00771E6E">
        <w:rPr>
          <w:i/>
        </w:rPr>
        <w:t xml:space="preserve"> </w:t>
      </w:r>
      <w:proofErr w:type="spellStart"/>
      <w:r w:rsidRPr="00771E6E">
        <w:rPr>
          <w:i/>
        </w:rPr>
        <w:t>virorum</w:t>
      </w:r>
      <w:proofErr w:type="spellEnd"/>
      <w:r w:rsidRPr="00771E6E">
        <w:t xml:space="preserve"> (Lives of illustrious men)</w:t>
      </w:r>
      <w:r w:rsidRPr="00771E6E">
        <w:rPr>
          <w:i/>
        </w:rPr>
        <w:t xml:space="preserve"> </w:t>
      </w:r>
      <w:r w:rsidRPr="00771E6E">
        <w:t xml:space="preserve">compiled by Plutarch, and the </w:t>
      </w:r>
      <w:proofErr w:type="spellStart"/>
      <w:r w:rsidRPr="00771E6E">
        <w:rPr>
          <w:i/>
        </w:rPr>
        <w:t>Cyropaedia</w:t>
      </w:r>
      <w:proofErr w:type="spellEnd"/>
      <w:r w:rsidRPr="00771E6E">
        <w:rPr>
          <w:i/>
        </w:rPr>
        <w:t xml:space="preserve"> </w:t>
      </w:r>
      <w:r w:rsidRPr="00771E6E">
        <w:t>(On Cyrus the Great) by Xenophon, which were all widely available in printed form from the 1470s onwards.</w:t>
      </w:r>
      <w:r w:rsidRPr="00771E6E">
        <w:rPr>
          <w:rStyle w:val="FootnoteReference"/>
        </w:rPr>
        <w:footnoteReference w:id="104"/>
      </w:r>
      <w:r w:rsidRPr="00771E6E">
        <w:t xml:space="preserve"> In addition to men, renowned women could also be considered </w:t>
      </w:r>
      <w:r w:rsidRPr="00771E6E">
        <w:rPr>
          <w:i/>
        </w:rPr>
        <w:t>exempla</w:t>
      </w:r>
      <w:r w:rsidRPr="00771E6E">
        <w:t xml:space="preserve"> to follow. Ovid’s </w:t>
      </w:r>
      <w:proofErr w:type="spellStart"/>
      <w:r w:rsidRPr="00771E6E">
        <w:rPr>
          <w:i/>
        </w:rPr>
        <w:t>Heroides</w:t>
      </w:r>
      <w:proofErr w:type="spellEnd"/>
      <w:r w:rsidRPr="00771E6E">
        <w:t xml:space="preserve"> (Heroines) became hugely popular in the fifteenth century and was added to the school curriculum.</w:t>
      </w:r>
      <w:r w:rsidRPr="00771E6E">
        <w:rPr>
          <w:rStyle w:val="FootnoteReference"/>
        </w:rPr>
        <w:footnoteReference w:id="105"/>
      </w:r>
      <w:r w:rsidRPr="00771E6E">
        <w:t xml:space="preserve"> As well as these ancient examples, models to imitate could also be provided by contemporary individuals, such as the eminent women found in Giovanni </w:t>
      </w:r>
      <w:r w:rsidRPr="00771E6E">
        <w:lastRenderedPageBreak/>
        <w:t xml:space="preserve">Boccaccio’s </w:t>
      </w:r>
      <w:r w:rsidRPr="00771E6E">
        <w:rPr>
          <w:i/>
        </w:rPr>
        <w:t xml:space="preserve">De </w:t>
      </w:r>
      <w:proofErr w:type="spellStart"/>
      <w:r w:rsidRPr="00771E6E">
        <w:rPr>
          <w:i/>
        </w:rPr>
        <w:t>claris</w:t>
      </w:r>
      <w:proofErr w:type="spellEnd"/>
      <w:r w:rsidRPr="00771E6E">
        <w:rPr>
          <w:i/>
        </w:rPr>
        <w:t xml:space="preserve"> </w:t>
      </w:r>
      <w:proofErr w:type="spellStart"/>
      <w:r w:rsidRPr="00771E6E">
        <w:rPr>
          <w:i/>
        </w:rPr>
        <w:t>mulieribus</w:t>
      </w:r>
      <w:proofErr w:type="spellEnd"/>
      <w:r w:rsidRPr="00771E6E">
        <w:rPr>
          <w:i/>
        </w:rPr>
        <w:t xml:space="preserve"> </w:t>
      </w:r>
      <w:r w:rsidRPr="00771E6E">
        <w:t>(On Famous Women, 1374).</w:t>
      </w:r>
      <w:r w:rsidRPr="00771E6E">
        <w:rPr>
          <w:rStyle w:val="FootnoteReference"/>
        </w:rPr>
        <w:footnoteReference w:id="106"/>
      </w:r>
      <w:r w:rsidRPr="00771E6E">
        <w:t xml:space="preserve"> Although never printed, collections of biographies compiled during the fifteenth century, such as the one hundred </w:t>
      </w:r>
      <w:proofErr w:type="spellStart"/>
      <w:r w:rsidRPr="00771E6E">
        <w:rPr>
          <w:i/>
        </w:rPr>
        <w:t>Vite</w:t>
      </w:r>
      <w:proofErr w:type="spellEnd"/>
      <w:r w:rsidRPr="00771E6E">
        <w:rPr>
          <w:i/>
        </w:rPr>
        <w:t xml:space="preserve"> di </w:t>
      </w:r>
      <w:proofErr w:type="spellStart"/>
      <w:r w:rsidRPr="00771E6E">
        <w:rPr>
          <w:i/>
        </w:rPr>
        <w:t>uomini</w:t>
      </w:r>
      <w:proofErr w:type="spellEnd"/>
      <w:r w:rsidRPr="00771E6E">
        <w:rPr>
          <w:i/>
        </w:rPr>
        <w:t xml:space="preserve"> </w:t>
      </w:r>
      <w:proofErr w:type="spellStart"/>
      <w:r w:rsidRPr="00771E6E">
        <w:rPr>
          <w:i/>
        </w:rPr>
        <w:t>illustri</w:t>
      </w:r>
      <w:proofErr w:type="spellEnd"/>
      <w:r w:rsidRPr="00771E6E">
        <w:rPr>
          <w:i/>
        </w:rPr>
        <w:t xml:space="preserve"> del </w:t>
      </w:r>
      <w:proofErr w:type="spellStart"/>
      <w:r w:rsidRPr="00771E6E">
        <w:rPr>
          <w:i/>
        </w:rPr>
        <w:t>secolo</w:t>
      </w:r>
      <w:proofErr w:type="spellEnd"/>
      <w:r w:rsidRPr="00771E6E">
        <w:rPr>
          <w:i/>
        </w:rPr>
        <w:t xml:space="preserve"> XV </w:t>
      </w:r>
      <w:r w:rsidRPr="00771E6E">
        <w:t xml:space="preserve">(Lives of Illustrious Men from the Fifteenth Century) of distinguished contemporary individuals written by the book merchant </w:t>
      </w:r>
      <w:proofErr w:type="spellStart"/>
      <w:r w:rsidRPr="00771E6E">
        <w:t>Vespasiano</w:t>
      </w:r>
      <w:proofErr w:type="spellEnd"/>
      <w:r w:rsidRPr="00771E6E">
        <w:t xml:space="preserve"> da </w:t>
      </w:r>
      <w:proofErr w:type="spellStart"/>
      <w:r w:rsidRPr="00771E6E">
        <w:t>Bisticci</w:t>
      </w:r>
      <w:proofErr w:type="spellEnd"/>
      <w:r w:rsidRPr="00771E6E">
        <w:t xml:space="preserve">, and the </w:t>
      </w:r>
      <w:r w:rsidRPr="00771E6E">
        <w:rPr>
          <w:i/>
        </w:rPr>
        <w:t xml:space="preserve">De </w:t>
      </w:r>
      <w:proofErr w:type="spellStart"/>
      <w:r w:rsidRPr="00771E6E">
        <w:rPr>
          <w:i/>
        </w:rPr>
        <w:t>viris</w:t>
      </w:r>
      <w:proofErr w:type="spellEnd"/>
      <w:r w:rsidRPr="00771E6E">
        <w:rPr>
          <w:i/>
        </w:rPr>
        <w:t xml:space="preserve"> </w:t>
      </w:r>
      <w:proofErr w:type="spellStart"/>
      <w:r w:rsidRPr="00771E6E">
        <w:rPr>
          <w:i/>
        </w:rPr>
        <w:t>illustribus</w:t>
      </w:r>
      <w:proofErr w:type="spellEnd"/>
      <w:r w:rsidRPr="00771E6E">
        <w:rPr>
          <w:i/>
        </w:rPr>
        <w:t xml:space="preserve"> </w:t>
      </w:r>
      <w:r w:rsidRPr="00771E6E">
        <w:t xml:space="preserve">(On Illustrious Men) by the historian Bartolomeo </w:t>
      </w:r>
      <w:proofErr w:type="spellStart"/>
      <w:r w:rsidRPr="00771E6E">
        <w:t>Facio</w:t>
      </w:r>
      <w:proofErr w:type="spellEnd"/>
      <w:r w:rsidRPr="00771E6E">
        <w:t>, show that this practice was still well-established.</w:t>
      </w:r>
      <w:r w:rsidRPr="00771E6E">
        <w:rPr>
          <w:rStyle w:val="FootnoteReference"/>
        </w:rPr>
        <w:footnoteReference w:id="107"/>
      </w:r>
      <w:r w:rsidRPr="00771E6E">
        <w:t xml:space="preserve"> </w:t>
      </w:r>
    </w:p>
    <w:p w14:paraId="69B07C70" w14:textId="77777777" w:rsidR="001840E8" w:rsidRPr="00771E6E" w:rsidRDefault="001840E8" w:rsidP="001840E8">
      <w:pPr>
        <w:ind w:firstLine="720"/>
      </w:pPr>
      <w:r w:rsidRPr="00771E6E">
        <w:t xml:space="preserve">Humanist authors based their theories on the imitation of </w:t>
      </w:r>
      <w:r w:rsidRPr="00771E6E">
        <w:rPr>
          <w:i/>
        </w:rPr>
        <w:t>exempla</w:t>
      </w:r>
      <w:r w:rsidRPr="00771E6E">
        <w:t xml:space="preserve"> principally on two classical sources, which were rediscovered in the early decades of the fifteenth century: </w:t>
      </w:r>
      <w:proofErr w:type="spellStart"/>
      <w:r w:rsidRPr="00771E6E">
        <w:t>Quinitillian’s</w:t>
      </w:r>
      <w:proofErr w:type="spellEnd"/>
      <w:r w:rsidRPr="00771E6E">
        <w:t xml:space="preserve"> </w:t>
      </w:r>
      <w:proofErr w:type="spellStart"/>
      <w:r w:rsidRPr="00771E6E">
        <w:rPr>
          <w:i/>
        </w:rPr>
        <w:t>Institutio</w:t>
      </w:r>
      <w:proofErr w:type="spellEnd"/>
      <w:r w:rsidRPr="00771E6E">
        <w:rPr>
          <w:i/>
        </w:rPr>
        <w:t xml:space="preserve"> </w:t>
      </w:r>
      <w:proofErr w:type="spellStart"/>
      <w:r w:rsidRPr="00771E6E">
        <w:rPr>
          <w:i/>
        </w:rPr>
        <w:t>Oratoria</w:t>
      </w:r>
      <w:proofErr w:type="spellEnd"/>
      <w:r w:rsidRPr="00771E6E">
        <w:t>, in which the author suggests that children should be surrounded by people worth imitating,</w:t>
      </w:r>
      <w:r w:rsidRPr="00771E6E">
        <w:rPr>
          <w:rStyle w:val="FootnoteReference"/>
        </w:rPr>
        <w:footnoteReference w:id="108"/>
      </w:r>
      <w:r w:rsidRPr="00771E6E">
        <w:t xml:space="preserve"> and Cicero’s </w:t>
      </w:r>
      <w:r w:rsidRPr="00771E6E">
        <w:rPr>
          <w:i/>
        </w:rPr>
        <w:t xml:space="preserve">De </w:t>
      </w:r>
      <w:proofErr w:type="spellStart"/>
      <w:r w:rsidRPr="00771E6E">
        <w:rPr>
          <w:i/>
        </w:rPr>
        <w:t>Oratore</w:t>
      </w:r>
      <w:proofErr w:type="spellEnd"/>
      <w:r w:rsidRPr="00771E6E">
        <w:t>.</w:t>
      </w:r>
      <w:r w:rsidRPr="00771E6E">
        <w:rPr>
          <w:rStyle w:val="FootnoteReference"/>
        </w:rPr>
        <w:footnoteReference w:id="109"/>
      </w:r>
      <w:r w:rsidRPr="00771E6E">
        <w:t xml:space="preserve"> However, while ancient tales from the classical past would certainly have provided a vast pool of </w:t>
      </w:r>
      <w:r w:rsidRPr="00771E6E">
        <w:rPr>
          <w:i/>
        </w:rPr>
        <w:t>exempla</w:t>
      </w:r>
      <w:r w:rsidRPr="00771E6E">
        <w:t xml:space="preserve"> from which to draw when educating children, Christian history provided an equally plentiful supply. Many religious subjects, such as apostles, saints and martyrs, were presented as paradigms of virtue, and, as a result, also as role models to follow and imitate. In the fourth century, for example, Saint Basil stated that the lives of saints and holy men were recorded for our benefit, and for our imitation.</w:t>
      </w:r>
      <w:r w:rsidRPr="00771E6E">
        <w:rPr>
          <w:rStyle w:val="FootnoteReference"/>
        </w:rPr>
        <w:footnoteReference w:id="110"/>
      </w:r>
      <w:r w:rsidRPr="00771E6E">
        <w:t xml:space="preserve"> Some religious texts, such as the </w:t>
      </w:r>
      <w:proofErr w:type="spellStart"/>
      <w:r w:rsidRPr="00771E6E">
        <w:rPr>
          <w:i/>
        </w:rPr>
        <w:t>Legenda</w:t>
      </w:r>
      <w:proofErr w:type="spellEnd"/>
      <w:r w:rsidRPr="00771E6E">
        <w:rPr>
          <w:i/>
        </w:rPr>
        <w:t xml:space="preserve"> Aurea</w:t>
      </w:r>
      <w:r w:rsidRPr="00771E6E">
        <w:t xml:space="preserve"> (The Golden Legend), a collection of lives of saints written by the Dominican Jacobus da </w:t>
      </w:r>
      <w:proofErr w:type="spellStart"/>
      <w:r w:rsidRPr="00771E6E">
        <w:t>Voragine</w:t>
      </w:r>
      <w:proofErr w:type="spellEnd"/>
      <w:r w:rsidRPr="00771E6E">
        <w:t xml:space="preserve"> around 1260, were translated from Latin into the vernacular, making them not only accessible to a much wider audience than they would have been otherwise, but also making it easier for them to emulate these examples.</w:t>
      </w:r>
      <w:r w:rsidRPr="00771E6E">
        <w:rPr>
          <w:rStyle w:val="FootnoteReference"/>
        </w:rPr>
        <w:footnoteReference w:id="111"/>
      </w:r>
      <w:r w:rsidRPr="00771E6E">
        <w:t xml:space="preserve"> Printed evidence demonstrates the popularity of this text, which enjoyed numerous Italian editions both in Latin and in vernacular translation from 1475 onwards.</w:t>
      </w:r>
      <w:r w:rsidRPr="00771E6E">
        <w:rPr>
          <w:rStyle w:val="FootnoteReference"/>
        </w:rPr>
        <w:footnoteReference w:id="112"/>
      </w:r>
    </w:p>
    <w:p w14:paraId="32A2D2B8" w14:textId="77777777" w:rsidR="001840E8" w:rsidRPr="00771E6E" w:rsidRDefault="001840E8" w:rsidP="001840E8">
      <w:pPr>
        <w:ind w:firstLine="720"/>
      </w:pPr>
      <w:r w:rsidRPr="00771E6E">
        <w:t>Further advice on this matter was also provided by the Dominican preacher Girolamo Savonarola, at the end of the fifteenth century, in Florence. In one of his sermons, Savonarola advocated the imitation of exemplary saints</w:t>
      </w:r>
      <w:r w:rsidRPr="00771E6E">
        <w:rPr>
          <w:i/>
        </w:rPr>
        <w:t xml:space="preserve"> </w:t>
      </w:r>
      <w:r w:rsidRPr="00771E6E">
        <w:t xml:space="preserve">that appear in artworks, </w:t>
      </w:r>
      <w:r w:rsidRPr="00771E6E">
        <w:lastRenderedPageBreak/>
        <w:t>and he assumed this to be one of the artworks’ primary purposes.</w:t>
      </w:r>
      <w:r w:rsidRPr="00771E6E">
        <w:rPr>
          <w:rStyle w:val="FootnoteReference"/>
        </w:rPr>
        <w:footnoteReference w:id="113"/>
      </w:r>
      <w:r w:rsidRPr="00771E6E">
        <w:t xml:space="preserve"> Perhaps to an even greater extent, the Virgin Mary was to be viewed as the ideal woman and the perfect mother, and her son Jesus Christ was to be imitated both during his childhood and later in his life.</w:t>
      </w:r>
      <w:r w:rsidRPr="00771E6E">
        <w:rPr>
          <w:rStyle w:val="FootnoteReference"/>
        </w:rPr>
        <w:footnoteReference w:id="114"/>
      </w:r>
      <w:r w:rsidRPr="00771E6E">
        <w:t xml:space="preserve"> This tradition helps to explain the popularity of the treatise </w:t>
      </w:r>
      <w:proofErr w:type="spellStart"/>
      <w:r w:rsidRPr="00771E6E">
        <w:rPr>
          <w:i/>
        </w:rPr>
        <w:t>Imitatio</w:t>
      </w:r>
      <w:proofErr w:type="spellEnd"/>
      <w:r w:rsidRPr="00771E6E">
        <w:rPr>
          <w:i/>
        </w:rPr>
        <w:t xml:space="preserve"> Christi</w:t>
      </w:r>
      <w:r w:rsidRPr="00771E6E">
        <w:t>, written during the first decades of the fifteenth century, which was printed countless times in Europe during the Renaissance, and editions both in Latin and in translation were produced in Italy, including three in the vernacular printed in Florence between 1491 and 1494.</w:t>
      </w:r>
      <w:r w:rsidRPr="00771E6E">
        <w:rPr>
          <w:rStyle w:val="FootnoteReference"/>
        </w:rPr>
        <w:footnoteReference w:id="115"/>
      </w:r>
      <w:r w:rsidRPr="00771E6E">
        <w:t xml:space="preserve"> From this, it can be inferred that imitation was thought to be an extremely efficient method of learning morality.</w:t>
      </w:r>
      <w:r w:rsidRPr="00771E6E">
        <w:rPr>
          <w:rStyle w:val="FootnoteReference"/>
        </w:rPr>
        <w:footnoteReference w:id="116"/>
      </w:r>
      <w:r w:rsidRPr="00771E6E">
        <w:t xml:space="preserve"> </w:t>
      </w:r>
    </w:p>
    <w:p w14:paraId="2B7AA441" w14:textId="77777777" w:rsidR="001840E8" w:rsidRPr="00771E6E" w:rsidRDefault="001840E8" w:rsidP="001840E8">
      <w:pPr>
        <w:ind w:firstLine="720"/>
      </w:pPr>
      <w:r w:rsidRPr="00771E6E">
        <w:t xml:space="preserve">Apart from virtuous historical and religious characters, Renaissance Italians were more generally encouraged to imitate well-mannered people. On this topic, the preacher Giovanni </w:t>
      </w:r>
      <w:proofErr w:type="spellStart"/>
      <w:r w:rsidRPr="00771E6E">
        <w:t>Dominici</w:t>
      </w:r>
      <w:proofErr w:type="spellEnd"/>
      <w:r w:rsidRPr="00771E6E">
        <w:t xml:space="preserve">, in his </w:t>
      </w:r>
      <w:proofErr w:type="spellStart"/>
      <w:r w:rsidRPr="00771E6E">
        <w:rPr>
          <w:i/>
          <w:iCs/>
        </w:rPr>
        <w:t>Regola</w:t>
      </w:r>
      <w:proofErr w:type="spellEnd"/>
      <w:r w:rsidRPr="00771E6E">
        <w:rPr>
          <w:i/>
          <w:iCs/>
        </w:rPr>
        <w:t xml:space="preserve"> del </w:t>
      </w:r>
      <w:proofErr w:type="spellStart"/>
      <w:r w:rsidRPr="00771E6E">
        <w:rPr>
          <w:i/>
          <w:iCs/>
        </w:rPr>
        <w:t>governo</w:t>
      </w:r>
      <w:proofErr w:type="spellEnd"/>
      <w:r w:rsidRPr="00771E6E">
        <w:rPr>
          <w:i/>
          <w:iCs/>
        </w:rPr>
        <w:t xml:space="preserve"> di </w:t>
      </w:r>
      <w:proofErr w:type="spellStart"/>
      <w:r w:rsidRPr="00771E6E">
        <w:rPr>
          <w:i/>
          <w:iCs/>
        </w:rPr>
        <w:t>cura</w:t>
      </w:r>
      <w:proofErr w:type="spellEnd"/>
      <w:r w:rsidRPr="00771E6E">
        <w:rPr>
          <w:i/>
          <w:iCs/>
        </w:rPr>
        <w:t xml:space="preserve"> </w:t>
      </w:r>
      <w:proofErr w:type="spellStart"/>
      <w:r w:rsidRPr="00771E6E">
        <w:rPr>
          <w:i/>
          <w:iCs/>
        </w:rPr>
        <w:t>familiare</w:t>
      </w:r>
      <w:proofErr w:type="spellEnd"/>
      <w:r w:rsidRPr="00771E6E">
        <w:rPr>
          <w:i/>
          <w:iCs/>
        </w:rPr>
        <w:t xml:space="preserve"> </w:t>
      </w:r>
      <w:r w:rsidRPr="00771E6E">
        <w:rPr>
          <w:iCs/>
        </w:rPr>
        <w:t>(Rule for the Management of Family Care), makes reference</w:t>
      </w:r>
      <w:r w:rsidRPr="00771E6E">
        <w:t xml:space="preserve"> to a biblical assertion by King David which states that “you will be a saint with saints, the virtuous with the virtuous, the chosen with the chosen and the evil with the evil.</w:t>
      </w:r>
      <w:bookmarkStart w:id="15" w:name="_ftnref2"/>
      <w:bookmarkEnd w:id="15"/>
      <w:r w:rsidRPr="00771E6E">
        <w:t>”</w:t>
      </w:r>
      <w:r w:rsidRPr="00771E6E">
        <w:rPr>
          <w:rStyle w:val="FootnoteReference"/>
        </w:rPr>
        <w:footnoteReference w:id="117"/>
      </w:r>
      <w:r w:rsidRPr="00771E6E">
        <w:t xml:space="preserve"> Here, </w:t>
      </w:r>
      <w:proofErr w:type="spellStart"/>
      <w:r w:rsidRPr="00771E6E">
        <w:t>Dominici</w:t>
      </w:r>
      <w:proofErr w:type="spellEnd"/>
      <w:r w:rsidRPr="00771E6E">
        <w:t xml:space="preserve"> is referring to the belief that individuals are likely to emulate the manners of those who surround them. </w:t>
      </w:r>
    </w:p>
    <w:p w14:paraId="1AFC0910" w14:textId="77777777" w:rsidR="001840E8" w:rsidRPr="00771E6E" w:rsidRDefault="001840E8" w:rsidP="001840E8">
      <w:pPr>
        <w:ind w:firstLine="720"/>
      </w:pPr>
      <w:r w:rsidRPr="00771E6E">
        <w:t xml:space="preserve">From this, it is clear that the belief that people would emulate those with whom they were surrounded was strongly held, whether these were good or bad. Similarly, </w:t>
      </w:r>
      <w:proofErr w:type="spellStart"/>
      <w:r w:rsidRPr="00771E6E">
        <w:t>Vergerio</w:t>
      </w:r>
      <w:proofErr w:type="spellEnd"/>
      <w:r w:rsidRPr="00771E6E">
        <w:t xml:space="preserve">, quoting Socrates, suggests that young people should contemplate the </w:t>
      </w:r>
      <w:proofErr w:type="spellStart"/>
      <w:r w:rsidRPr="00771E6E">
        <w:t>behaviour</w:t>
      </w:r>
      <w:proofErr w:type="spellEnd"/>
      <w:r w:rsidRPr="00771E6E">
        <w:t xml:space="preserve"> of revered individuals, especially those who were still alive, treating them as a “living </w:t>
      </w:r>
      <w:r w:rsidRPr="00771E6E">
        <w:lastRenderedPageBreak/>
        <w:t>mirror” (</w:t>
      </w:r>
      <w:proofErr w:type="spellStart"/>
      <w:r w:rsidRPr="00771E6E">
        <w:rPr>
          <w:i/>
        </w:rPr>
        <w:t>vivum</w:t>
      </w:r>
      <w:proofErr w:type="spellEnd"/>
      <w:r w:rsidRPr="00771E6E">
        <w:rPr>
          <w:i/>
        </w:rPr>
        <w:t xml:space="preserve"> speculum</w:t>
      </w:r>
      <w:r w:rsidRPr="00771E6E">
        <w:t>), as the examples of virtue they provided would be enormously powerful.</w:t>
      </w:r>
      <w:r w:rsidRPr="00771E6E">
        <w:rPr>
          <w:rStyle w:val="FootnoteReference"/>
        </w:rPr>
        <w:footnoteReference w:id="118"/>
      </w:r>
    </w:p>
    <w:p w14:paraId="51F46E2C" w14:textId="77777777" w:rsidR="001840E8" w:rsidRPr="00771E6E" w:rsidRDefault="001840E8" w:rsidP="001840E8">
      <w:pPr>
        <w:widowControl w:val="0"/>
        <w:tabs>
          <w:tab w:val="left" w:pos="220"/>
          <w:tab w:val="left" w:pos="720"/>
        </w:tabs>
        <w:autoSpaceDE w:val="0"/>
        <w:autoSpaceDN w:val="0"/>
        <w:adjustRightInd w:val="0"/>
        <w:ind w:firstLine="720"/>
        <w:rPr>
          <w:color w:val="000000"/>
        </w:rPr>
      </w:pPr>
      <w:r w:rsidRPr="00771E6E">
        <w:t xml:space="preserve">The prospect of </w:t>
      </w:r>
      <w:proofErr w:type="spellStart"/>
      <w:r w:rsidRPr="00771E6E">
        <w:t>moulding</w:t>
      </w:r>
      <w:proofErr w:type="spellEnd"/>
      <w:r w:rsidRPr="00771E6E">
        <w:t xml:space="preserve"> children according to their parents’ wishes was based upon the belief that a child’s mind was extremely malleable and impressionable. This concept appears frequently in Renaissance treatises. For example, </w:t>
      </w:r>
      <w:proofErr w:type="spellStart"/>
      <w:r w:rsidRPr="00771E6E">
        <w:t>Dominici</w:t>
      </w:r>
      <w:proofErr w:type="spellEnd"/>
      <w:r w:rsidRPr="00771E6E">
        <w:t xml:space="preserve"> states that at a young age a child “is like soft wax, and takes the imprint of whatever is put near it.”</w:t>
      </w:r>
      <w:r w:rsidRPr="00771E6E">
        <w:rPr>
          <w:rStyle w:val="FootnoteReference"/>
        </w:rPr>
        <w:footnoteReference w:id="119"/>
      </w:r>
      <w:r w:rsidRPr="00771E6E">
        <w:t xml:space="preserve"> Likewise, Francesco </w:t>
      </w:r>
      <w:proofErr w:type="spellStart"/>
      <w:r w:rsidRPr="00771E6E">
        <w:t>Barbaro</w:t>
      </w:r>
      <w:proofErr w:type="spellEnd"/>
      <w:r w:rsidRPr="00771E6E">
        <w:t xml:space="preserve">, when suggesting mothers be careful in the choice of a nurse in his </w:t>
      </w:r>
      <w:r w:rsidRPr="00771E6E">
        <w:rPr>
          <w:i/>
        </w:rPr>
        <w:t xml:space="preserve">De re </w:t>
      </w:r>
      <w:proofErr w:type="spellStart"/>
      <w:r w:rsidRPr="00771E6E">
        <w:rPr>
          <w:i/>
        </w:rPr>
        <w:t>uxoria</w:t>
      </w:r>
      <w:proofErr w:type="spellEnd"/>
      <w:r w:rsidRPr="00771E6E">
        <w:t>, states that “</w:t>
      </w:r>
      <w:r w:rsidRPr="00771E6E">
        <w:rPr>
          <w:color w:val="000000"/>
        </w:rPr>
        <w:t xml:space="preserve">at this tender age a child’s unformed character is very susceptible to being </w:t>
      </w:r>
      <w:proofErr w:type="spellStart"/>
      <w:r w:rsidRPr="00771E6E">
        <w:rPr>
          <w:color w:val="000000"/>
        </w:rPr>
        <w:t>moulded</w:t>
      </w:r>
      <w:proofErr w:type="spellEnd"/>
      <w:r w:rsidRPr="00771E6E">
        <w:rPr>
          <w:color w:val="000000"/>
        </w:rPr>
        <w:t>, and, as we impress a seal in soft wax, so the disposition and faults of a nurse can be sealed upon an infant.”</w:t>
      </w:r>
      <w:r w:rsidRPr="00771E6E">
        <w:rPr>
          <w:rStyle w:val="FootnoteReference"/>
        </w:rPr>
        <w:footnoteReference w:id="120"/>
      </w:r>
      <w:r w:rsidRPr="00771E6E">
        <w:rPr>
          <w:color w:val="000000"/>
        </w:rPr>
        <w:t xml:space="preserve"> </w:t>
      </w:r>
    </w:p>
    <w:p w14:paraId="29337324" w14:textId="77777777" w:rsidR="001840E8" w:rsidRPr="00771E6E" w:rsidRDefault="001840E8" w:rsidP="001840E8">
      <w:pPr>
        <w:widowControl w:val="0"/>
        <w:tabs>
          <w:tab w:val="left" w:pos="220"/>
          <w:tab w:val="left" w:pos="720"/>
        </w:tabs>
        <w:autoSpaceDE w:val="0"/>
        <w:autoSpaceDN w:val="0"/>
        <w:adjustRightInd w:val="0"/>
        <w:ind w:firstLine="720"/>
      </w:pPr>
      <w:proofErr w:type="spellStart"/>
      <w:r w:rsidRPr="00771E6E">
        <w:t>Vergerio</w:t>
      </w:r>
      <w:proofErr w:type="spellEnd"/>
      <w:r w:rsidRPr="00771E6E">
        <w:t>, in his treatise on good character and appropriate studies for a child, first cited in Chapter 1.2, states that “in youth … the foundations for living well are to be laid, and the mind must be trained to virtue while it is young and impressionable, for the mind will preserve throughout life the impressions it takes on now.”</w:t>
      </w:r>
      <w:r w:rsidRPr="00771E6E">
        <w:rPr>
          <w:rStyle w:val="FootnoteReference"/>
        </w:rPr>
        <w:footnoteReference w:id="121"/>
      </w:r>
      <w:r w:rsidRPr="00771E6E">
        <w:t xml:space="preserve"> Later in his treatise, the author also borrows a statement from the ancient Roman poet Virgil (first century BC) and declares that in childhood “young minds are malleable, while they [the children] are young enough to change,” and he therefore advises letting them start studying or working at a young age, in order to raise them well.</w:t>
      </w:r>
      <w:r w:rsidRPr="00771E6E">
        <w:rPr>
          <w:rStyle w:val="FootnoteReference"/>
        </w:rPr>
        <w:footnoteReference w:id="122"/>
      </w:r>
      <w:r w:rsidRPr="00771E6E">
        <w:t xml:space="preserve"> Virgil’s </w:t>
      </w:r>
      <w:r w:rsidRPr="00771E6E">
        <w:rPr>
          <w:i/>
        </w:rPr>
        <w:t>Georgics</w:t>
      </w:r>
      <w:r w:rsidRPr="00771E6E">
        <w:t xml:space="preserve">, from which this quotation is derived, was itself printed frequently from 1469 onwards, and would therefore have been widely circulated and commonly available. </w:t>
      </w:r>
    </w:p>
    <w:p w14:paraId="35D4E7CC" w14:textId="77777777" w:rsidR="001840E8" w:rsidRPr="00771E6E" w:rsidRDefault="001840E8" w:rsidP="001840E8">
      <w:pPr>
        <w:widowControl w:val="0"/>
        <w:tabs>
          <w:tab w:val="left" w:pos="220"/>
          <w:tab w:val="left" w:pos="720"/>
        </w:tabs>
        <w:autoSpaceDE w:val="0"/>
        <w:autoSpaceDN w:val="0"/>
        <w:adjustRightInd w:val="0"/>
        <w:ind w:firstLine="720"/>
      </w:pPr>
      <w:r w:rsidRPr="00771E6E">
        <w:t xml:space="preserve">This concept is also found in other ancient sources, such as in Plato’s </w:t>
      </w:r>
      <w:r w:rsidRPr="00771E6E">
        <w:rPr>
          <w:i/>
        </w:rPr>
        <w:t>Republic</w:t>
      </w:r>
      <w:r w:rsidRPr="00771E6E">
        <w:t>. In a passage describing the best way to educate a man, the philosopher asserts that “[a child at a young age] is most plastic and each thing assimilates itself to the model whose stamp anyone wishes to give to it,”</w:t>
      </w:r>
      <w:r w:rsidRPr="00771E6E">
        <w:rPr>
          <w:rStyle w:val="FootnoteReference"/>
        </w:rPr>
        <w:footnoteReference w:id="123"/>
      </w:r>
      <w:r w:rsidRPr="00771E6E">
        <w:t xml:space="preserve"> and continues by suggesting that “we shall persuade nurses and mothers to tell appropriate stories to their children, and to shape their souls with tales </w:t>
      </w:r>
      <w:r w:rsidRPr="00771E6E">
        <w:lastRenderedPageBreak/>
        <w:t>more than their bodies with hands.”</w:t>
      </w:r>
      <w:r w:rsidRPr="00771E6E">
        <w:rPr>
          <w:rStyle w:val="FootnoteReference"/>
        </w:rPr>
        <w:footnoteReference w:id="124"/>
      </w:r>
      <w:r w:rsidRPr="00771E6E">
        <w:t xml:space="preserve"> Additionally, Plutarch, in his </w:t>
      </w:r>
      <w:r w:rsidRPr="00771E6E">
        <w:rPr>
          <w:i/>
          <w:iCs/>
        </w:rPr>
        <w:t xml:space="preserve">De </w:t>
      </w:r>
      <w:proofErr w:type="spellStart"/>
      <w:r w:rsidRPr="00771E6E">
        <w:rPr>
          <w:i/>
          <w:iCs/>
        </w:rPr>
        <w:t>Liberis</w:t>
      </w:r>
      <w:proofErr w:type="spellEnd"/>
      <w:r w:rsidRPr="00771E6E">
        <w:rPr>
          <w:i/>
          <w:iCs/>
        </w:rPr>
        <w:t xml:space="preserve"> </w:t>
      </w:r>
      <w:proofErr w:type="spellStart"/>
      <w:r w:rsidRPr="00771E6E">
        <w:rPr>
          <w:i/>
          <w:iCs/>
        </w:rPr>
        <w:t>educandi</w:t>
      </w:r>
      <w:proofErr w:type="spellEnd"/>
      <w:r w:rsidRPr="00771E6E">
        <w:rPr>
          <w:iCs/>
        </w:rPr>
        <w:t>, states that “</w:t>
      </w:r>
      <w:r w:rsidRPr="00771E6E">
        <w:t>youth</w:t>
      </w:r>
      <w:r w:rsidRPr="00771E6E">
        <w:rPr>
          <w:rStyle w:val="apple-converted-space"/>
        </w:rPr>
        <w:t> </w:t>
      </w:r>
      <w:r w:rsidRPr="00771E6E">
        <w:t>is impressionable and plastic, and while such minds are still tender lessons are infused deeply into them … for just as seals leave their impression in soft wax, so are lessons impressed upon the minds of children while they are young.”</w:t>
      </w:r>
      <w:r w:rsidRPr="00771E6E">
        <w:rPr>
          <w:rStyle w:val="FootnoteReference"/>
        </w:rPr>
        <w:footnoteReference w:id="125"/>
      </w:r>
      <w:r w:rsidRPr="00771E6E">
        <w:t xml:space="preserve"> </w:t>
      </w:r>
    </w:p>
    <w:p w14:paraId="43CD4E08" w14:textId="77777777" w:rsidR="001840E8" w:rsidRPr="00771E6E" w:rsidRDefault="001840E8" w:rsidP="001840E8">
      <w:pPr>
        <w:widowControl w:val="0"/>
        <w:tabs>
          <w:tab w:val="left" w:pos="220"/>
          <w:tab w:val="left" w:pos="720"/>
        </w:tabs>
        <w:autoSpaceDE w:val="0"/>
        <w:autoSpaceDN w:val="0"/>
        <w:adjustRightInd w:val="0"/>
        <w:ind w:firstLine="720"/>
      </w:pPr>
      <w:r w:rsidRPr="00771E6E">
        <w:t xml:space="preserve">It follows that the novelty of humanistic studies, and in particular the study of </w:t>
      </w:r>
      <w:r w:rsidR="005F0F8B" w:rsidRPr="00771E6E">
        <w:t>H</w:t>
      </w:r>
      <w:r w:rsidRPr="00771E6E">
        <w:t>istory and</w:t>
      </w:r>
      <w:r w:rsidR="005F0F8B" w:rsidRPr="00771E6E">
        <w:t xml:space="preserve"> M</w:t>
      </w:r>
      <w:r w:rsidRPr="00771E6E">
        <w:t xml:space="preserve">oral </w:t>
      </w:r>
      <w:r w:rsidR="005F0F8B" w:rsidRPr="00771E6E">
        <w:t>P</w:t>
      </w:r>
      <w:r w:rsidRPr="00771E6E">
        <w:t xml:space="preserve">hilosophy, was intended to contribute to the moral education of elite Italians from their earliest years. The use of </w:t>
      </w:r>
      <w:r w:rsidRPr="00771E6E">
        <w:rPr>
          <w:i/>
        </w:rPr>
        <w:t>exempla</w:t>
      </w:r>
      <w:r w:rsidRPr="00771E6E">
        <w:t xml:space="preserve">, not only from the ancient past, but also from religious sources and from living contemporaries, was seen as a pedagogical instrument that could </w:t>
      </w:r>
      <w:proofErr w:type="spellStart"/>
      <w:r w:rsidRPr="00771E6E">
        <w:t>mould</w:t>
      </w:r>
      <w:proofErr w:type="spellEnd"/>
      <w:r w:rsidRPr="00771E6E">
        <w:t xml:space="preserve"> personalities towards more virtuous </w:t>
      </w:r>
      <w:proofErr w:type="spellStart"/>
      <w:r w:rsidRPr="00771E6E">
        <w:t>behaviour</w:t>
      </w:r>
      <w:proofErr w:type="spellEnd"/>
      <w:r w:rsidRPr="00771E6E">
        <w:t>, by influencing malleable young minds.</w:t>
      </w:r>
    </w:p>
    <w:p w14:paraId="36376957" w14:textId="77777777" w:rsidR="001840E8" w:rsidRPr="00771E6E" w:rsidRDefault="001840E8" w:rsidP="001840E8"/>
    <w:p w14:paraId="06D0FFAF" w14:textId="77777777" w:rsidR="001840E8" w:rsidRPr="00771E6E" w:rsidRDefault="001840E8" w:rsidP="001840E8"/>
    <w:p w14:paraId="1AED7E38" w14:textId="77777777" w:rsidR="001840E8" w:rsidRPr="00771E6E" w:rsidRDefault="001840E8" w:rsidP="001840E8">
      <w:pPr>
        <w:pStyle w:val="Subchapter"/>
      </w:pPr>
      <w:bookmarkStart w:id="16" w:name="_Toc507939120"/>
      <w:bookmarkStart w:id="17" w:name="_Toc4329145"/>
      <w:bookmarkStart w:id="18" w:name="_Toc20167596"/>
      <w:r w:rsidRPr="00771E6E">
        <w:t xml:space="preserve">1.4 Images as Moral </w:t>
      </w:r>
      <w:bookmarkEnd w:id="16"/>
      <w:r w:rsidRPr="00771E6E">
        <w:t>Teachers</w:t>
      </w:r>
      <w:bookmarkEnd w:id="17"/>
      <w:bookmarkEnd w:id="18"/>
    </w:p>
    <w:p w14:paraId="240FF32D" w14:textId="77777777" w:rsidR="001840E8" w:rsidRPr="00771E6E" w:rsidRDefault="001840E8" w:rsidP="001840E8">
      <w:pPr>
        <w:tabs>
          <w:tab w:val="left" w:pos="709"/>
        </w:tabs>
        <w:rPr>
          <w:b/>
        </w:rPr>
      </w:pPr>
    </w:p>
    <w:p w14:paraId="12F0CE1B" w14:textId="77777777" w:rsidR="001840E8" w:rsidRPr="00771E6E" w:rsidRDefault="001840E8" w:rsidP="001840E8">
      <w:pPr>
        <w:tabs>
          <w:tab w:val="left" w:pos="709"/>
        </w:tabs>
      </w:pPr>
      <w:r w:rsidRPr="00771E6E">
        <w:rPr>
          <w:bCs/>
        </w:rPr>
        <w:t>“</w:t>
      </w:r>
      <w:r w:rsidRPr="00771E6E">
        <w:t>Wherever man and wife come together, it is advisable only to hang portraits of men of dignity and handsome appearance; for they say that this might have great influence on the fertility of the mother and the appearance of future offspring.”</w:t>
      </w:r>
      <w:r w:rsidR="008B3E4C" w:rsidRPr="00771E6E">
        <w:rPr>
          <w:rStyle w:val="FootnoteReference"/>
        </w:rPr>
        <w:footnoteReference w:id="126"/>
      </w:r>
      <w:r w:rsidR="008B3E4C" w:rsidRPr="00771E6E">
        <w:t xml:space="preserve"> </w:t>
      </w:r>
      <w:r w:rsidRPr="00771E6E">
        <w:t xml:space="preserve">With these words Alberti, in his treatise </w:t>
      </w:r>
      <w:r w:rsidRPr="00771E6E">
        <w:rPr>
          <w:i/>
        </w:rPr>
        <w:t xml:space="preserve">De re </w:t>
      </w:r>
      <w:proofErr w:type="spellStart"/>
      <w:r w:rsidRPr="00771E6E">
        <w:rPr>
          <w:i/>
        </w:rPr>
        <w:t>aedificatoria</w:t>
      </w:r>
      <w:proofErr w:type="spellEnd"/>
      <w:r w:rsidRPr="00771E6E">
        <w:rPr>
          <w:i/>
        </w:rPr>
        <w:t xml:space="preserve"> </w:t>
      </w:r>
      <w:r w:rsidRPr="00771E6E">
        <w:t>(1452; printed in Florence in 1485), advises his readers that things seen can have a powerful influence and need therefore to be carefully controlled.</w:t>
      </w:r>
      <w:r w:rsidR="008B3E4C" w:rsidRPr="00771E6E">
        <w:rPr>
          <w:rStyle w:val="FootnoteReference"/>
        </w:rPr>
        <w:footnoteReference w:id="127"/>
      </w:r>
      <w:r w:rsidRPr="00771E6E">
        <w:t xml:space="preserve"> This statement is clearly related to the belief that the sense of sight was the </w:t>
      </w:r>
      <w:r w:rsidRPr="00771E6E">
        <w:lastRenderedPageBreak/>
        <w:t>most important of the five senses.</w:t>
      </w:r>
      <w:r w:rsidRPr="00771E6E">
        <w:rPr>
          <w:rStyle w:val="FootnoteReference"/>
        </w:rPr>
        <w:footnoteReference w:id="128"/>
      </w:r>
      <w:r w:rsidRPr="00771E6E">
        <w:t xml:space="preserve"> The notion that the sight of particular objects could </w:t>
      </w:r>
      <w:r w:rsidRPr="00771E6E">
        <w:rPr>
          <w:noProof/>
        </w:rPr>
        <w:t xml:space="preserve">actively </w:t>
      </w:r>
      <w:r w:rsidRPr="00771E6E">
        <w:t xml:space="preserve">influence the </w:t>
      </w:r>
      <w:r w:rsidRPr="00771E6E">
        <w:rPr>
          <w:noProof/>
        </w:rPr>
        <w:t xml:space="preserve">character </w:t>
      </w:r>
      <w:r w:rsidRPr="00771E6E">
        <w:t xml:space="preserve">of the viewers contributed to the idea that visual sources could be used as effective instruments in guiding the beholder towards morality. Particularly in the domain of moral education, images could be employed to provide examples that would influence </w:t>
      </w:r>
      <w:proofErr w:type="spellStart"/>
      <w:r w:rsidRPr="00771E6E">
        <w:t>behaviour</w:t>
      </w:r>
      <w:proofErr w:type="spellEnd"/>
      <w:r w:rsidRPr="00771E6E">
        <w:t xml:space="preserve"> and help guide people towards </w:t>
      </w:r>
      <w:proofErr w:type="spellStart"/>
      <w:r w:rsidRPr="00771E6E">
        <w:t>honour</w:t>
      </w:r>
      <w:proofErr w:type="spellEnd"/>
      <w:r w:rsidRPr="00771E6E">
        <w:t xml:space="preserve"> and virtue. </w:t>
      </w:r>
    </w:p>
    <w:p w14:paraId="3B1FA399" w14:textId="77777777" w:rsidR="001840E8" w:rsidRPr="00771E6E" w:rsidRDefault="001840E8" w:rsidP="001840E8">
      <w:pPr>
        <w:ind w:firstLine="720"/>
      </w:pPr>
      <w:r w:rsidRPr="00771E6E">
        <w:t xml:space="preserve">Religious texts also contributed to the dissemination of this idea. Among these, Pope Gregory the Great’s </w:t>
      </w:r>
      <w:proofErr w:type="spellStart"/>
      <w:r w:rsidRPr="00771E6E">
        <w:rPr>
          <w:i/>
        </w:rPr>
        <w:t>Cura</w:t>
      </w:r>
      <w:proofErr w:type="spellEnd"/>
      <w:r w:rsidRPr="00771E6E">
        <w:rPr>
          <w:i/>
        </w:rPr>
        <w:t xml:space="preserve"> </w:t>
      </w:r>
      <w:proofErr w:type="spellStart"/>
      <w:r w:rsidRPr="00771E6E">
        <w:rPr>
          <w:i/>
        </w:rPr>
        <w:t>pastoralis</w:t>
      </w:r>
      <w:proofErr w:type="spellEnd"/>
      <w:r w:rsidRPr="00771E6E">
        <w:t xml:space="preserve"> (Pastoral Care,</w:t>
      </w:r>
      <w:r w:rsidRPr="00771E6E">
        <w:rPr>
          <w:i/>
        </w:rPr>
        <w:t xml:space="preserve"> </w:t>
      </w:r>
      <w:r w:rsidRPr="00771E6E">
        <w:rPr>
          <w:iCs/>
        </w:rPr>
        <w:t>around AD 590)</w:t>
      </w:r>
      <w:r w:rsidRPr="00771E6E">
        <w:t xml:space="preserve"> records the use of images as a pedagogical tool. The author </w:t>
      </w:r>
      <w:r w:rsidRPr="00771E6E">
        <w:rPr>
          <w:iCs/>
        </w:rPr>
        <w:t>highlights the educational function of visual sources, stating that paintings could be used in churches so that those who do not know the alphabet would at least be able to “read” the episodes depicted on the walls.</w:t>
      </w:r>
      <w:r w:rsidRPr="00771E6E">
        <w:rPr>
          <w:rStyle w:val="FootnoteReference"/>
        </w:rPr>
        <w:footnoteReference w:id="129"/>
      </w:r>
      <w:r w:rsidRPr="00771E6E">
        <w:rPr>
          <w:iCs/>
        </w:rPr>
        <w:t xml:space="preserve"> He also expands on this idea </w:t>
      </w:r>
      <w:r w:rsidRPr="00771E6E">
        <w:t xml:space="preserve">in a well-known letter </w:t>
      </w:r>
      <w:r w:rsidRPr="00771E6E">
        <w:rPr>
          <w:color w:val="000000"/>
        </w:rPr>
        <w:t xml:space="preserve">to </w:t>
      </w:r>
      <w:proofErr w:type="spellStart"/>
      <w:r w:rsidRPr="00771E6E">
        <w:rPr>
          <w:color w:val="000000"/>
        </w:rPr>
        <w:t>Serenus</w:t>
      </w:r>
      <w:proofErr w:type="spellEnd"/>
      <w:r w:rsidRPr="00771E6E">
        <w:rPr>
          <w:color w:val="000000"/>
        </w:rPr>
        <w:t xml:space="preserve">, bishop of Marseille (AD 600), in which he states that </w:t>
      </w:r>
      <w:r w:rsidRPr="00771E6E">
        <w:t xml:space="preserve">“what writing presents to those who read, that the picture provides to the unlearned; so even the ignorant can see in it what they should follow; even the illiterate read. Hence especially for the </w:t>
      </w:r>
      <w:proofErr w:type="gramStart"/>
      <w:r w:rsidRPr="00771E6E">
        <w:t>barbarians</w:t>
      </w:r>
      <w:proofErr w:type="gramEnd"/>
      <w:r w:rsidRPr="00771E6E">
        <w:rPr>
          <w:i/>
          <w:iCs/>
        </w:rPr>
        <w:t xml:space="preserve"> </w:t>
      </w:r>
      <w:r w:rsidRPr="00771E6E">
        <w:t>pictures are a substitute for reading.</w:t>
      </w:r>
      <w:r w:rsidRPr="00771E6E">
        <w:rPr>
          <w:iCs/>
        </w:rPr>
        <w:t>”</w:t>
      </w:r>
      <w:r w:rsidRPr="00771E6E">
        <w:rPr>
          <w:rStyle w:val="FootnoteReference"/>
        </w:rPr>
        <w:footnoteReference w:id="130"/>
      </w:r>
      <w:r w:rsidRPr="00771E6E">
        <w:rPr>
          <w:rStyle w:val="FootnoteReference"/>
          <w:iCs/>
        </w:rPr>
        <w:t xml:space="preserve"> </w:t>
      </w:r>
      <w:r w:rsidRPr="00771E6E">
        <w:rPr>
          <w:iCs/>
        </w:rPr>
        <w:t xml:space="preserve">The popularity of </w:t>
      </w:r>
      <w:r w:rsidRPr="00771E6E">
        <w:t xml:space="preserve">Gregory the Great’s </w:t>
      </w:r>
      <w:proofErr w:type="spellStart"/>
      <w:r w:rsidRPr="00771E6E">
        <w:rPr>
          <w:i/>
        </w:rPr>
        <w:t>Cura</w:t>
      </w:r>
      <w:proofErr w:type="spellEnd"/>
      <w:r w:rsidRPr="00771E6E">
        <w:rPr>
          <w:i/>
        </w:rPr>
        <w:t xml:space="preserve"> </w:t>
      </w:r>
      <w:proofErr w:type="spellStart"/>
      <w:r w:rsidRPr="00771E6E">
        <w:rPr>
          <w:i/>
        </w:rPr>
        <w:t>pastoralis</w:t>
      </w:r>
      <w:proofErr w:type="spellEnd"/>
      <w:r w:rsidRPr="00771E6E">
        <w:rPr>
          <w:i/>
        </w:rPr>
        <w:t xml:space="preserve"> </w:t>
      </w:r>
      <w:r w:rsidRPr="00771E6E">
        <w:t xml:space="preserve">led to its publication in a Venetian edition in 1492. </w:t>
      </w:r>
      <w:r w:rsidRPr="00771E6E">
        <w:rPr>
          <w:iCs/>
        </w:rPr>
        <w:t xml:space="preserve">During the fifteenth century, Gregory the Great </w:t>
      </w:r>
      <w:r w:rsidRPr="00771E6E">
        <w:t xml:space="preserve">was also credited with a passage in a letter to the recluse </w:t>
      </w:r>
      <w:proofErr w:type="spellStart"/>
      <w:r w:rsidRPr="00771E6E">
        <w:t>Secundinus</w:t>
      </w:r>
      <w:proofErr w:type="spellEnd"/>
      <w:r w:rsidRPr="00771E6E">
        <w:t xml:space="preserve"> (although this is now believed to be a later addition), </w:t>
      </w:r>
      <w:r w:rsidRPr="00771E6E">
        <w:rPr>
          <w:noProof/>
        </w:rPr>
        <w:t xml:space="preserve">in which the author emphasises the importance of the use of </w:t>
      </w:r>
      <w:r w:rsidRPr="00771E6E">
        <w:t>images in devotion.</w:t>
      </w:r>
      <w:r w:rsidRPr="00771E6E">
        <w:rPr>
          <w:rStyle w:val="FootnoteReference"/>
        </w:rPr>
        <w:footnoteReference w:id="131"/>
      </w:r>
    </w:p>
    <w:p w14:paraId="47D3EA7D" w14:textId="77777777" w:rsidR="001840E8" w:rsidRPr="00771E6E" w:rsidRDefault="001840E8" w:rsidP="001840E8">
      <w:pPr>
        <w:ind w:firstLine="720"/>
      </w:pPr>
      <w:r w:rsidRPr="00771E6E">
        <w:t xml:space="preserve">As well as Gregory the Great, other medieval sources on the use of imagery in devotional contexts were still popular in the fifteenth and sixteenth centuries. For example, </w:t>
      </w:r>
      <w:r w:rsidR="002A1766" w:rsidRPr="00771E6E">
        <w:t xml:space="preserve">the Thomas </w:t>
      </w:r>
      <w:r w:rsidRPr="00771E6E">
        <w:t xml:space="preserve">Aquinas’ commentary on Peter Lombard’s </w:t>
      </w:r>
      <w:r w:rsidRPr="00771E6E">
        <w:rPr>
          <w:i/>
        </w:rPr>
        <w:t>Sententiae</w:t>
      </w:r>
      <w:r w:rsidR="00C60F30" w:rsidRPr="00771E6E">
        <w:t xml:space="preserve">, </w:t>
      </w:r>
      <w:r w:rsidR="00C60F30" w:rsidRPr="00771E6E">
        <w:rPr>
          <w:i/>
          <w:iCs/>
        </w:rPr>
        <w:t xml:space="preserve">Scriptum super </w:t>
      </w:r>
      <w:proofErr w:type="spellStart"/>
      <w:r w:rsidR="00C60F30" w:rsidRPr="00771E6E">
        <w:rPr>
          <w:i/>
          <w:iCs/>
        </w:rPr>
        <w:t>libros</w:t>
      </w:r>
      <w:proofErr w:type="spellEnd"/>
      <w:r w:rsidR="00C60F30" w:rsidRPr="00771E6E">
        <w:rPr>
          <w:i/>
          <w:iCs/>
        </w:rPr>
        <w:t xml:space="preserve"> </w:t>
      </w:r>
      <w:proofErr w:type="spellStart"/>
      <w:r w:rsidR="00C60F30" w:rsidRPr="00771E6E">
        <w:rPr>
          <w:i/>
          <w:iCs/>
        </w:rPr>
        <w:lastRenderedPageBreak/>
        <w:t>Sententiarum</w:t>
      </w:r>
      <w:proofErr w:type="spellEnd"/>
      <w:r w:rsidR="00C60F30" w:rsidRPr="00771E6E">
        <w:t xml:space="preserve"> (</w:t>
      </w:r>
      <w:r w:rsidR="002A1766" w:rsidRPr="00771E6E">
        <w:t>1252-55)</w:t>
      </w:r>
      <w:r w:rsidR="00C92717" w:rsidRPr="00771E6E">
        <w:t>,</w:t>
      </w:r>
      <w:r w:rsidR="002A1766" w:rsidRPr="00771E6E">
        <w:t xml:space="preserve"> </w:t>
      </w:r>
      <w:r w:rsidRPr="00771E6E">
        <w:t xml:space="preserve">also supported the use of images. In this text, the author gives three reasons for the presence of visual material inside the Church: first, images serve for the instruction of the illiterate; second, they are </w:t>
      </w:r>
      <w:r w:rsidRPr="00771E6E">
        <w:rPr>
          <w:i/>
        </w:rPr>
        <w:t>exempla</w:t>
      </w:r>
      <w:r w:rsidRPr="00771E6E">
        <w:t xml:space="preserve"> to remember; and third, they stimulate private piety.</w:t>
      </w:r>
      <w:r w:rsidRPr="00771E6E">
        <w:rPr>
          <w:rStyle w:val="FootnoteReference"/>
        </w:rPr>
        <w:footnoteReference w:id="132"/>
      </w:r>
      <w:r w:rsidRPr="00771E6E">
        <w:t xml:space="preserve"> The same three reasons reappear in the Latin dictionary </w:t>
      </w:r>
      <w:r w:rsidRPr="00771E6E">
        <w:rPr>
          <w:i/>
        </w:rPr>
        <w:t>Catholicon</w:t>
      </w:r>
      <w:r w:rsidRPr="00771E6E">
        <w:t xml:space="preserve"> compiled by the Dominican Johannes </w:t>
      </w:r>
      <w:proofErr w:type="spellStart"/>
      <w:r w:rsidRPr="00771E6E">
        <w:t>Balbi</w:t>
      </w:r>
      <w:proofErr w:type="spellEnd"/>
      <w:r w:rsidRPr="00771E6E">
        <w:t xml:space="preserve"> da Genova in 1286, which was popular in France and Italy during the fifteenth century and the beginning of the sixteenth, and survives in both several Italian manuscripts and early printed books, </w:t>
      </w:r>
    </w:p>
    <w:p w14:paraId="27D7A94F" w14:textId="77777777" w:rsidR="001840E8" w:rsidRPr="00771E6E" w:rsidRDefault="001840E8" w:rsidP="001840E8">
      <w:pPr>
        <w:ind w:firstLine="720"/>
      </w:pPr>
    </w:p>
    <w:p w14:paraId="178704C2" w14:textId="77777777" w:rsidR="001840E8" w:rsidRPr="00771E6E" w:rsidRDefault="001840E8" w:rsidP="001840E8">
      <w:pPr>
        <w:pStyle w:val="IntenseQuote"/>
      </w:pPr>
      <w:r w:rsidRPr="00771E6E">
        <w:t>Know that there were three reasons for the institution of images in churches. First, for the instruction of simple people, because they are instructed by them as if by books. Second, so that the mystery of the incarnation and the examples of the Saints may be the more active in our memory through being presented daily to our eyes. Third, to excite feelings of devotion, these being aroused more effectively by things seen than by things heard.</w:t>
      </w:r>
      <w:r w:rsidRPr="00771E6E">
        <w:rPr>
          <w:rStyle w:val="FootnoteReference"/>
        </w:rPr>
        <w:footnoteReference w:id="133"/>
      </w:r>
      <w:r w:rsidRPr="00771E6E">
        <w:t xml:space="preserve"> </w:t>
      </w:r>
    </w:p>
    <w:p w14:paraId="31CE3DC6" w14:textId="77777777" w:rsidR="001840E8" w:rsidRPr="00771E6E" w:rsidRDefault="001840E8" w:rsidP="001840E8"/>
    <w:p w14:paraId="5024B0B7" w14:textId="77777777" w:rsidR="001840E8" w:rsidRPr="00771E6E" w:rsidRDefault="001840E8" w:rsidP="001840E8">
      <w:r w:rsidRPr="00771E6E">
        <w:t xml:space="preserve">In the late fifteenth century, these reasons appear again as part of a sermon given by the Franciscan friar Michele da </w:t>
      </w:r>
      <w:proofErr w:type="spellStart"/>
      <w:r w:rsidRPr="00771E6E">
        <w:t>Carcano</w:t>
      </w:r>
      <w:proofErr w:type="spellEnd"/>
      <w:r w:rsidRPr="00771E6E">
        <w:t>, which was published in Venice in 1492.</w:t>
      </w:r>
      <w:r w:rsidRPr="00771E6E">
        <w:rPr>
          <w:rStyle w:val="FootnoteReference"/>
        </w:rPr>
        <w:footnoteReference w:id="134"/>
      </w:r>
    </w:p>
    <w:p w14:paraId="2A9C49E1" w14:textId="77777777" w:rsidR="001840E8" w:rsidRPr="00771E6E" w:rsidRDefault="001840E8" w:rsidP="001840E8">
      <w:pPr>
        <w:tabs>
          <w:tab w:val="left" w:pos="1311"/>
        </w:tabs>
        <w:ind w:firstLine="720"/>
      </w:pPr>
      <w:r w:rsidRPr="00771E6E">
        <w:t xml:space="preserve">In order to support their devotional practices, Italian devotees also had access to manuscript copies and printed editions of a text about the Passion of Christ from the </w:t>
      </w:r>
      <w:proofErr w:type="spellStart"/>
      <w:r w:rsidRPr="00771E6E">
        <w:rPr>
          <w:i/>
        </w:rPr>
        <w:t>Meditationes</w:t>
      </w:r>
      <w:proofErr w:type="spellEnd"/>
      <w:r w:rsidRPr="00771E6E">
        <w:rPr>
          <w:i/>
        </w:rPr>
        <w:t xml:space="preserve"> vitae Christi</w:t>
      </w:r>
      <w:r w:rsidRPr="00771E6E">
        <w:t xml:space="preserve"> (Meditations of the Life of Christ), compiled in Tuscany in the late thirteenth or early fourteenth century by a member of the Franciscan congregation, but attributed by Renaissance authors to Saint Bonaventure or to Johannes de </w:t>
      </w:r>
      <w:proofErr w:type="spellStart"/>
      <w:r w:rsidRPr="00771E6E">
        <w:t>Caulibus</w:t>
      </w:r>
      <w:proofErr w:type="spellEnd"/>
      <w:r w:rsidRPr="00771E6E">
        <w:t>.</w:t>
      </w:r>
      <w:r w:rsidRPr="00771E6E">
        <w:rPr>
          <w:rStyle w:val="FootnoteReference"/>
        </w:rPr>
        <w:footnoteReference w:id="135"/>
      </w:r>
      <w:r w:rsidRPr="00771E6E">
        <w:t xml:space="preserve"> This text, which was incredibly popular in Italy during the fifteenth century and also available in the vernacular, was written with the aim of encouraging active participation in worship, helping devotees to use their inner sense of sight to picture the events narrated in the Gospel.</w:t>
      </w:r>
      <w:r w:rsidRPr="00771E6E">
        <w:rPr>
          <w:rStyle w:val="FootnoteReference"/>
        </w:rPr>
        <w:footnoteReference w:id="136"/>
      </w:r>
    </w:p>
    <w:p w14:paraId="48CAF7B5" w14:textId="77777777" w:rsidR="001840E8" w:rsidRPr="00771E6E" w:rsidRDefault="001840E8" w:rsidP="001840E8">
      <w:pPr>
        <w:tabs>
          <w:tab w:val="left" w:pos="1311"/>
        </w:tabs>
        <w:ind w:firstLine="720"/>
      </w:pPr>
      <w:r w:rsidRPr="00771E6E">
        <w:lastRenderedPageBreak/>
        <w:t xml:space="preserve">In addition to performing this role in religious practices, images could also be used for pedagogical purposes in secular environments. The practice of displaying educative imagery in domestic settings had already been documented in antiquity; for example, Plato, in his </w:t>
      </w:r>
      <w:r w:rsidRPr="00771E6E">
        <w:rPr>
          <w:i/>
        </w:rPr>
        <w:t>Republic</w:t>
      </w:r>
      <w:r w:rsidRPr="00771E6E">
        <w:t>, advocates displaying paintings and decorated furniture inside the house which show “good grace, good harmony and good rhythm,” in virtue of their power to create a positive impression upon young people, as these qualities were held to be analogous to a “moderate and good disposition.”</w:t>
      </w:r>
      <w:r w:rsidRPr="00771E6E">
        <w:rPr>
          <w:rStyle w:val="FootnoteReference"/>
        </w:rPr>
        <w:footnoteReference w:id="137"/>
      </w:r>
      <w:r w:rsidRPr="00771E6E">
        <w:t xml:space="preserve"> This text was translated from Greek by </w:t>
      </w:r>
      <w:proofErr w:type="spellStart"/>
      <w:r w:rsidRPr="00771E6E">
        <w:t>Marsilio</w:t>
      </w:r>
      <w:proofErr w:type="spellEnd"/>
      <w:r w:rsidRPr="00771E6E">
        <w:t xml:space="preserve"> Ficino (1433-1499) and available in printed form from 1484 onwards, furthering the dissemination of these ideas among the literate classes.</w:t>
      </w:r>
    </w:p>
    <w:p w14:paraId="2D8DB2B9" w14:textId="77777777" w:rsidR="001840E8" w:rsidRPr="00771E6E" w:rsidRDefault="001840E8" w:rsidP="001840E8">
      <w:pPr>
        <w:tabs>
          <w:tab w:val="left" w:pos="1311"/>
        </w:tabs>
        <w:ind w:firstLine="720"/>
      </w:pPr>
      <w:r w:rsidRPr="00771E6E">
        <w:t xml:space="preserve">Various different </w:t>
      </w:r>
      <w:r w:rsidRPr="00771E6E">
        <w:rPr>
          <w:noProof/>
        </w:rPr>
        <w:t xml:space="preserve">moral </w:t>
      </w:r>
      <w:r w:rsidRPr="00771E6E">
        <w:t>subjects can be found in fifteenth- and early sixteenth-century domestic decoration</w:t>
      </w:r>
      <w:r w:rsidRPr="00771E6E">
        <w:rPr>
          <w:noProof/>
        </w:rPr>
        <w:t xml:space="preserve">. In particular, bedroom </w:t>
      </w:r>
      <w:r w:rsidRPr="00771E6E">
        <w:t xml:space="preserve">furniture </w:t>
      </w:r>
      <w:r w:rsidRPr="00771E6E">
        <w:rPr>
          <w:noProof/>
        </w:rPr>
        <w:t xml:space="preserve">was </w:t>
      </w:r>
      <w:r w:rsidRPr="00771E6E">
        <w:t xml:space="preserve">often richly ornamented, such as </w:t>
      </w:r>
      <w:r w:rsidRPr="00771E6E">
        <w:rPr>
          <w:i/>
        </w:rPr>
        <w:t>cassoni</w:t>
      </w:r>
      <w:r w:rsidRPr="00771E6E">
        <w:t xml:space="preserve"> or </w:t>
      </w:r>
      <w:proofErr w:type="spellStart"/>
      <w:r w:rsidRPr="00771E6E">
        <w:rPr>
          <w:i/>
        </w:rPr>
        <w:t>forzieri</w:t>
      </w:r>
      <w:proofErr w:type="spellEnd"/>
      <w:r w:rsidRPr="00771E6E">
        <w:t>, a type of</w:t>
      </w:r>
      <w:r w:rsidRPr="00771E6E">
        <w:rPr>
          <w:i/>
        </w:rPr>
        <w:t xml:space="preserve"> </w:t>
      </w:r>
      <w:r w:rsidRPr="00771E6E">
        <w:rPr>
          <w:noProof/>
        </w:rPr>
        <w:t>chest usually presented to couples in celebration of their betrothal or their wedding,</w:t>
      </w:r>
      <w:r w:rsidRPr="00771E6E">
        <w:t xml:space="preserve"> mainly used for the storage of household goods and valuable objects, but which could also serve as seats when their lids were closed. They could be decorated in a variety of ways, including with </w:t>
      </w:r>
      <w:r w:rsidRPr="00771E6E">
        <w:rPr>
          <w:i/>
        </w:rPr>
        <w:t>intarsia</w:t>
      </w:r>
      <w:r w:rsidRPr="00771E6E">
        <w:t>, carvings and paintings, with subjects which were usually chosen by the commissioner, often with symbolic meanings.</w:t>
      </w:r>
      <w:r w:rsidRPr="00771E6E">
        <w:rPr>
          <w:rStyle w:val="FootnoteReference"/>
        </w:rPr>
        <w:footnoteReference w:id="138"/>
      </w:r>
      <w:r w:rsidRPr="00771E6E">
        <w:t xml:space="preserve"> </w:t>
      </w:r>
      <w:r w:rsidRPr="00771E6E">
        <w:rPr>
          <w:noProof/>
        </w:rPr>
        <w:t>They frequently show scenes taken from ancient history or mythology, intended to inspire their owners to pursue specific virtues or to instigate particular behaviours</w:t>
      </w:r>
      <w:r w:rsidRPr="00771E6E">
        <w:t>.</w:t>
      </w:r>
      <w:r w:rsidRPr="00771E6E">
        <w:rPr>
          <w:rStyle w:val="FootnoteReference"/>
        </w:rPr>
        <w:footnoteReference w:id="139"/>
      </w:r>
      <w:r w:rsidRPr="00771E6E">
        <w:t xml:space="preserve"> As they were kept in the bedroom, only members of the household would have been able to access and see the images depicted on them, especially those painted on the interior side of the lid. This part of the chest could also carry symbolic decoration: for example, some of them are painted with male and female nude reclining figures that were likely intended to be messages addressed to the imagination of a newly wedded couple, in order to inspire them to procreate.</w:t>
      </w:r>
      <w:r w:rsidRPr="00771E6E">
        <w:rPr>
          <w:rStyle w:val="FootnoteReference"/>
        </w:rPr>
        <w:footnoteReference w:id="140"/>
      </w:r>
      <w:r w:rsidRPr="00771E6E">
        <w:t xml:space="preserve"> </w:t>
      </w:r>
      <w:proofErr w:type="spellStart"/>
      <w:r w:rsidRPr="00771E6E">
        <w:t>Moralising</w:t>
      </w:r>
      <w:proofErr w:type="spellEnd"/>
      <w:r w:rsidRPr="00771E6E">
        <w:t xml:space="preserve"> scenes such as the </w:t>
      </w:r>
      <w:r w:rsidRPr="00771E6E">
        <w:rPr>
          <w:i/>
        </w:rPr>
        <w:t xml:space="preserve">Rape of the Sabine </w:t>
      </w:r>
      <w:r w:rsidRPr="00771E6E">
        <w:rPr>
          <w:i/>
        </w:rPr>
        <w:lastRenderedPageBreak/>
        <w:t>Women</w:t>
      </w:r>
      <w:r w:rsidRPr="00771E6E">
        <w:t xml:space="preserve"> can sometimes be found painted on the frontal panel, and were likely meant to encourage women to embrace their marital duties.</w:t>
      </w:r>
      <w:r w:rsidRPr="00771E6E">
        <w:rPr>
          <w:rStyle w:val="FootnoteReference"/>
        </w:rPr>
        <w:footnoteReference w:id="141"/>
      </w:r>
    </w:p>
    <w:p w14:paraId="300E2020" w14:textId="77777777" w:rsidR="001840E8" w:rsidRPr="00771E6E" w:rsidRDefault="001840E8" w:rsidP="001840E8">
      <w:pPr>
        <w:tabs>
          <w:tab w:val="left" w:pos="1311"/>
        </w:tabs>
        <w:ind w:firstLine="720"/>
      </w:pPr>
      <w:r w:rsidRPr="00771E6E">
        <w:t>However, images were not only considered to be able to influence viewers in a positive manner, but also in a negative way, depending on the subject depicted.</w:t>
      </w:r>
      <w:r w:rsidRPr="00771E6E">
        <w:rPr>
          <w:rStyle w:val="FootnoteReference"/>
        </w:rPr>
        <w:footnoteReference w:id="142"/>
      </w:r>
      <w:r w:rsidRPr="00771E6E">
        <w:t xml:space="preserve"> This is evident in a passage from Girolamo Savonarola’s sermon on the Psalm </w:t>
      </w:r>
      <w:proofErr w:type="spellStart"/>
      <w:r w:rsidRPr="00771E6E">
        <w:rPr>
          <w:i/>
        </w:rPr>
        <w:t>Quam</w:t>
      </w:r>
      <w:proofErr w:type="spellEnd"/>
      <w:r w:rsidRPr="00771E6E">
        <w:rPr>
          <w:i/>
        </w:rPr>
        <w:t xml:space="preserve"> bonus Israel Deus</w:t>
      </w:r>
      <w:r w:rsidRPr="00771E6E">
        <w:t>, in which the friar reproaches parents who “keep in the home beds and daybeds [painted] with very indecent images of naked women with men in certain indecent acts,” which could be seen by children who would be inappropriately influenced by them.</w:t>
      </w:r>
      <w:r w:rsidRPr="00771E6E">
        <w:rPr>
          <w:rStyle w:val="FootnoteReference"/>
        </w:rPr>
        <w:footnoteReference w:id="143"/>
      </w:r>
    </w:p>
    <w:p w14:paraId="28F338F4" w14:textId="77777777" w:rsidR="001840E8" w:rsidRPr="00771E6E" w:rsidRDefault="001840E8" w:rsidP="001840E8">
      <w:pPr>
        <w:tabs>
          <w:tab w:val="left" w:pos="1311"/>
        </w:tabs>
        <w:ind w:firstLine="720"/>
      </w:pPr>
      <w:r w:rsidRPr="00771E6E">
        <w:t xml:space="preserve">Depictions of illustrious and virtuous men and women from the past were also popular artistic subjects, used as </w:t>
      </w:r>
      <w:r w:rsidRPr="00771E6E">
        <w:rPr>
          <w:i/>
        </w:rPr>
        <w:t>exempla</w:t>
      </w:r>
      <w:r w:rsidRPr="00771E6E">
        <w:t xml:space="preserve"> to follow, in much the same way as has been discussed previously with regard to the literary study of </w:t>
      </w:r>
      <w:r w:rsidR="00B8772A" w:rsidRPr="00771E6E">
        <w:t>H</w:t>
      </w:r>
      <w:r w:rsidRPr="00771E6E">
        <w:t>istory. For instance,</w:t>
      </w:r>
      <w:r w:rsidRPr="00771E6E">
        <w:rPr>
          <w:noProof/>
        </w:rPr>
        <w:t xml:space="preserve"> Vergerio cites </w:t>
      </w:r>
      <w:r w:rsidRPr="00771E6E">
        <w:t>Publius Scipio, Quintus Fabius and Julius Caesar, who were greatly impressed by seeing images of famous men such as Alexander the Great, and states that “the images of our ancestors perhaps inspire us to rival them in glory still more.”</w:t>
      </w:r>
      <w:r w:rsidRPr="00771E6E">
        <w:rPr>
          <w:rStyle w:val="FootnoteReference"/>
        </w:rPr>
        <w:footnoteReference w:id="144"/>
      </w:r>
      <w:r w:rsidRPr="00771E6E">
        <w:t xml:space="preserve"> These figures appear in paint in fifteenth-century Italy mainly in palaces owned by wealthy families. For instance, Eleonora </w:t>
      </w:r>
      <w:proofErr w:type="spellStart"/>
      <w:r w:rsidRPr="00771E6E">
        <w:t>d’Aragona</w:t>
      </w:r>
      <w:proofErr w:type="spellEnd"/>
      <w:r w:rsidRPr="00771E6E">
        <w:t xml:space="preserve">, duchess of Ferrara, commissioned the painter </w:t>
      </w:r>
      <w:proofErr w:type="spellStart"/>
      <w:r w:rsidRPr="00771E6E">
        <w:t>Ercole</w:t>
      </w:r>
      <w:proofErr w:type="spellEnd"/>
      <w:r w:rsidRPr="00771E6E">
        <w:t xml:space="preserve"> de’ Roberti to paint a series of </w:t>
      </w:r>
      <w:proofErr w:type="spellStart"/>
      <w:r w:rsidRPr="00771E6E">
        <w:t>honourable</w:t>
      </w:r>
      <w:proofErr w:type="spellEnd"/>
      <w:r w:rsidRPr="00771E6E">
        <w:t xml:space="preserve"> ancient women in the mid-1480s (fig. 1.3).</w:t>
      </w:r>
      <w:r w:rsidRPr="00771E6E">
        <w:rPr>
          <w:rStyle w:val="FootnoteReference"/>
        </w:rPr>
        <w:footnoteReference w:id="145"/>
      </w:r>
      <w:r w:rsidRPr="00771E6E">
        <w:t xml:space="preserve"> The heroines depicted in this cycle, Lucretia, Portia and the wife of Hasdrubal, allude to the motto </w:t>
      </w:r>
      <w:r w:rsidRPr="00771E6E">
        <w:rPr>
          <w:i/>
        </w:rPr>
        <w:t xml:space="preserve">Malo mori </w:t>
      </w:r>
      <w:proofErr w:type="spellStart"/>
      <w:r w:rsidRPr="00771E6E">
        <w:rPr>
          <w:i/>
        </w:rPr>
        <w:t>quam</w:t>
      </w:r>
      <w:proofErr w:type="spellEnd"/>
      <w:r w:rsidRPr="00771E6E">
        <w:rPr>
          <w:i/>
        </w:rPr>
        <w:t xml:space="preserve"> </w:t>
      </w:r>
      <w:proofErr w:type="spellStart"/>
      <w:r w:rsidRPr="00771E6E">
        <w:rPr>
          <w:i/>
        </w:rPr>
        <w:t>foedari</w:t>
      </w:r>
      <w:proofErr w:type="spellEnd"/>
      <w:r w:rsidRPr="00771E6E">
        <w:rPr>
          <w:i/>
        </w:rPr>
        <w:t xml:space="preserve"> </w:t>
      </w:r>
      <w:r w:rsidRPr="00771E6E">
        <w:t xml:space="preserve">(I prefer death to </w:t>
      </w:r>
      <w:proofErr w:type="spellStart"/>
      <w:r w:rsidRPr="00771E6E">
        <w:t>dishonour</w:t>
      </w:r>
      <w:proofErr w:type="spellEnd"/>
      <w:r w:rsidRPr="00771E6E">
        <w:t xml:space="preserve">). Other examples can be found in the cycle of twenty-eight illustrious men, both historical and contemporary, that adorned Federico da </w:t>
      </w:r>
      <w:proofErr w:type="spellStart"/>
      <w:r w:rsidRPr="00771E6E">
        <w:t>Montefeltro’s</w:t>
      </w:r>
      <w:proofErr w:type="spellEnd"/>
      <w:r w:rsidRPr="00771E6E">
        <w:t xml:space="preserve"> </w:t>
      </w:r>
      <w:proofErr w:type="spellStart"/>
      <w:r w:rsidRPr="00771E6E">
        <w:t>studiolo</w:t>
      </w:r>
      <w:proofErr w:type="spellEnd"/>
      <w:r w:rsidRPr="00771E6E">
        <w:t xml:space="preserve"> in Urbino (fig. 1.4) and in the fictive reliefs of eight Roman emperors </w:t>
      </w:r>
      <w:r w:rsidR="004104B6" w:rsidRPr="00771E6E">
        <w:t xml:space="preserve">frescoed by Mantegna </w:t>
      </w:r>
      <w:r w:rsidRPr="00771E6E">
        <w:t xml:space="preserve">in the roundels on the ceiling of the Camera </w:t>
      </w:r>
      <w:proofErr w:type="spellStart"/>
      <w:r w:rsidRPr="00771E6E">
        <w:t>Picta</w:t>
      </w:r>
      <w:proofErr w:type="spellEnd"/>
      <w:r w:rsidRPr="00771E6E">
        <w:t>, in the Ducal Palace in Mantua (fig. 1.5).</w:t>
      </w:r>
    </w:p>
    <w:p w14:paraId="15DCAD81" w14:textId="77777777" w:rsidR="001840E8" w:rsidRPr="00771E6E" w:rsidRDefault="001840E8" w:rsidP="001840E8">
      <w:pPr>
        <w:ind w:firstLine="720"/>
      </w:pPr>
      <w:r w:rsidRPr="00771E6E">
        <w:t xml:space="preserve">Such educational domestic imagery was not only present in the homes of rulers and wealthy families, but was also advocated for the decoration of the interiors of dwellings for </w:t>
      </w:r>
      <w:r w:rsidRPr="00771E6E">
        <w:lastRenderedPageBreak/>
        <w:t xml:space="preserve">members of the clergy. For example, the bishop of Urbino Paolo </w:t>
      </w:r>
      <w:proofErr w:type="spellStart"/>
      <w:r w:rsidRPr="00771E6E">
        <w:t>Cortesi</w:t>
      </w:r>
      <w:proofErr w:type="spellEnd"/>
      <w:r w:rsidRPr="00771E6E">
        <w:t xml:space="preserve">, in his </w:t>
      </w:r>
      <w:r w:rsidRPr="00771E6E">
        <w:rPr>
          <w:i/>
        </w:rPr>
        <w:t xml:space="preserve">De </w:t>
      </w:r>
      <w:proofErr w:type="spellStart"/>
      <w:r w:rsidRPr="00771E6E">
        <w:rPr>
          <w:i/>
        </w:rPr>
        <w:t>Cardinalatu</w:t>
      </w:r>
      <w:proofErr w:type="spellEnd"/>
      <w:r w:rsidRPr="00771E6E">
        <w:rPr>
          <w:i/>
        </w:rPr>
        <w:t xml:space="preserve"> </w:t>
      </w:r>
      <w:r w:rsidRPr="00771E6E">
        <w:t xml:space="preserve">(On Cardinalship), written around 1500 and printed in 1510, describes the most appropriate decoration for a Cardinal’s palace, which should include historical figures, because: </w:t>
      </w:r>
    </w:p>
    <w:p w14:paraId="4DF8DE91" w14:textId="77777777" w:rsidR="001840E8" w:rsidRPr="00771E6E" w:rsidRDefault="001840E8" w:rsidP="001840E8">
      <w:pPr>
        <w:ind w:firstLine="720"/>
      </w:pPr>
    </w:p>
    <w:p w14:paraId="5F7F3D10" w14:textId="77777777" w:rsidR="001840E8" w:rsidRPr="00771E6E" w:rsidRDefault="001840E8" w:rsidP="001840E8">
      <w:pPr>
        <w:pStyle w:val="IntenseQuote"/>
      </w:pPr>
      <w:r w:rsidRPr="00771E6E">
        <w:t>Men are fascinated by that type of painting by which they may benefit from the lessons of history brought to life. For [by the sight of these paintings] either the appetite of the soul is aroused or the capacity for motion … may be prompted by the striking life-like imitation, in the painting, of the thing represented.</w:t>
      </w:r>
      <w:r w:rsidRPr="00771E6E">
        <w:rPr>
          <w:rStyle w:val="FootnoteReference"/>
        </w:rPr>
        <w:footnoteReference w:id="146"/>
      </w:r>
    </w:p>
    <w:p w14:paraId="2F56673B" w14:textId="77777777" w:rsidR="001840E8" w:rsidRPr="00771E6E" w:rsidRDefault="001840E8" w:rsidP="001840E8">
      <w:pPr>
        <w:ind w:firstLine="720"/>
      </w:pPr>
    </w:p>
    <w:p w14:paraId="20C302CD" w14:textId="77777777" w:rsidR="001840E8" w:rsidRPr="00771E6E" w:rsidRDefault="001840E8" w:rsidP="001840E8">
      <w:r w:rsidRPr="00771E6E">
        <w:t xml:space="preserve">Among the subjects suggested by </w:t>
      </w:r>
      <w:proofErr w:type="spellStart"/>
      <w:r w:rsidRPr="00771E6E">
        <w:t>Cortesi</w:t>
      </w:r>
      <w:proofErr w:type="spellEnd"/>
      <w:r w:rsidRPr="00771E6E">
        <w:t xml:space="preserve"> are the deeds of Christian emperors, scenes taken from the Old Testament, rebels being overthrown by the Church, and those who repented and appealed once more to the rule of the Pope, along with more typical paintings of the Virgin and the Saints in the domestic chapel. In </w:t>
      </w:r>
      <w:proofErr w:type="spellStart"/>
      <w:r w:rsidRPr="00771E6E">
        <w:t>Cortesi’s</w:t>
      </w:r>
      <w:proofErr w:type="spellEnd"/>
      <w:r w:rsidRPr="00771E6E">
        <w:t xml:space="preserve"> words, images hanging on the bedroom walls “should be symbols of virtue so that by this matutinal reminder, the soul will be excited to similar virtuous acts [throughout the day]”.</w:t>
      </w:r>
      <w:r w:rsidRPr="00771E6E">
        <w:rPr>
          <w:rStyle w:val="FootnoteReference"/>
        </w:rPr>
        <w:footnoteReference w:id="147"/>
      </w:r>
    </w:p>
    <w:p w14:paraId="744F2712" w14:textId="77777777" w:rsidR="001840E8" w:rsidRPr="00771E6E" w:rsidRDefault="001840E8" w:rsidP="001840E8">
      <w:pPr>
        <w:ind w:firstLine="720"/>
      </w:pPr>
      <w:r w:rsidRPr="00771E6E">
        <w:t xml:space="preserve">Apart from paintings, the same moralistic subjects could be present in everyday household objects. A small casket now in the British Museum in London provides an excellent example: it is decorated with classical scenes featuring Lucretia, the embodiment of chastity, who committed suicide after being raped, and Marcus </w:t>
      </w:r>
      <w:proofErr w:type="spellStart"/>
      <w:r w:rsidRPr="00771E6E">
        <w:t>Curtius</w:t>
      </w:r>
      <w:proofErr w:type="spellEnd"/>
      <w:r w:rsidRPr="00771E6E">
        <w:t>, who sacrificed himself bravely to save the Roman Forum (fig. 1.6).</w:t>
      </w:r>
      <w:r w:rsidRPr="00771E6E">
        <w:rPr>
          <w:rStyle w:val="FootnoteReference"/>
        </w:rPr>
        <w:footnoteReference w:id="148"/>
      </w:r>
      <w:r w:rsidRPr="00771E6E">
        <w:t xml:space="preserve"> </w:t>
      </w:r>
      <w:r w:rsidRPr="00771E6E">
        <w:rPr>
          <w:noProof/>
        </w:rPr>
        <w:t xml:space="preserve">Images portraying illustrious characters were also illuminated in manuscripts. For example, the frontispiece of a manuscript of </w:t>
      </w:r>
      <w:proofErr w:type="spellStart"/>
      <w:r w:rsidRPr="00771E6E">
        <w:t>Valerius</w:t>
      </w:r>
      <w:proofErr w:type="spellEnd"/>
      <w:r w:rsidRPr="00771E6E">
        <w:t xml:space="preserve"> Maximus’ </w:t>
      </w:r>
      <w:proofErr w:type="spellStart"/>
      <w:r w:rsidRPr="00771E6E">
        <w:rPr>
          <w:i/>
        </w:rPr>
        <w:t>Facta</w:t>
      </w:r>
      <w:proofErr w:type="spellEnd"/>
      <w:r w:rsidRPr="00771E6E">
        <w:t xml:space="preserve"> </w:t>
      </w:r>
      <w:r w:rsidRPr="00771E6E">
        <w:rPr>
          <w:i/>
        </w:rPr>
        <w:t>et</w:t>
      </w:r>
      <w:r w:rsidRPr="00771E6E">
        <w:t xml:space="preserve"> </w:t>
      </w:r>
      <w:r w:rsidRPr="00771E6E">
        <w:rPr>
          <w:i/>
        </w:rPr>
        <w:t>Dicta</w:t>
      </w:r>
      <w:r w:rsidRPr="00771E6E">
        <w:t xml:space="preserve"> </w:t>
      </w:r>
      <w:r w:rsidRPr="00771E6E">
        <w:rPr>
          <w:i/>
        </w:rPr>
        <w:t xml:space="preserve">Memorabilia </w:t>
      </w:r>
      <w:r w:rsidRPr="00771E6E">
        <w:t>(Memorable Acts and Sayings), a popular text in the fifteenth century, shows miniatures of illustrious men paired with female personifications of virtues, such as Hercules with Fortitude and the Emperor Augustus with Prudence (fig. 1.7).</w:t>
      </w:r>
      <w:r w:rsidRPr="00771E6E">
        <w:rPr>
          <w:rStyle w:val="FootnoteReference"/>
        </w:rPr>
        <w:footnoteReference w:id="149"/>
      </w:r>
    </w:p>
    <w:p w14:paraId="1B9ACB03" w14:textId="77777777" w:rsidR="001840E8" w:rsidRPr="00771E6E" w:rsidRDefault="001840E8" w:rsidP="001840E8">
      <w:pPr>
        <w:ind w:firstLine="720"/>
      </w:pPr>
      <w:r w:rsidRPr="00771E6E">
        <w:t xml:space="preserve">As noted previously, figures from the ancient past were not the only source of exemplary </w:t>
      </w:r>
      <w:proofErr w:type="spellStart"/>
      <w:r w:rsidRPr="00771E6E">
        <w:t>behaviour</w:t>
      </w:r>
      <w:proofErr w:type="spellEnd"/>
      <w:r w:rsidRPr="00771E6E">
        <w:t xml:space="preserve">, and religious figures were also used for pedagogical purposes. Girolamo Savonarola, in his treatise </w:t>
      </w:r>
      <w:r w:rsidRPr="00771E6E">
        <w:rPr>
          <w:i/>
          <w:noProof/>
        </w:rPr>
        <w:t xml:space="preserve">Triumphus Crucis </w:t>
      </w:r>
      <w:r w:rsidRPr="00771E6E">
        <w:rPr>
          <w:noProof/>
        </w:rPr>
        <w:t xml:space="preserve">(The Triumph of the Cross), </w:t>
      </w:r>
      <w:r w:rsidRPr="00771E6E">
        <w:t xml:space="preserve">printed </w:t>
      </w:r>
      <w:r w:rsidRPr="00771E6E">
        <w:lastRenderedPageBreak/>
        <w:t>in Florence in 1497 and based on a sermon given in 1492, promoted the use of images of Saints, as “we erect their images in order to recall them to our memory, to excite ourselves to virtue by their examples, and to raise our hearts in prayer to God, through their intercession.”</w:t>
      </w:r>
      <w:r w:rsidRPr="00771E6E">
        <w:rPr>
          <w:rStyle w:val="FootnoteReference"/>
        </w:rPr>
        <w:footnoteReference w:id="150"/>
      </w:r>
      <w:r w:rsidRPr="00771E6E">
        <w:t xml:space="preserve"> The Dominican friar also recommended private use of artworks representing holy images to encourage religious meditation, but only if they were of minimal material value.</w:t>
      </w:r>
      <w:r w:rsidRPr="00771E6E">
        <w:rPr>
          <w:rStyle w:val="FootnoteReference"/>
        </w:rPr>
        <w:footnoteReference w:id="151"/>
      </w:r>
      <w:r w:rsidRPr="00771E6E">
        <w:t xml:space="preserve"> He states that images act as aids for illiterate men in order to approach God and achieve divine knowledge, and, echoing Pope Gregory the Great, declares that “there can be no doubt that pictures and statues, representing holy objects, are as helpful as books, especially to unlettered and simple folks.”</w:t>
      </w:r>
      <w:r w:rsidRPr="00771E6E">
        <w:rPr>
          <w:rStyle w:val="FootnoteReference"/>
        </w:rPr>
        <w:footnoteReference w:id="152"/>
      </w:r>
    </w:p>
    <w:p w14:paraId="1C6AF41B" w14:textId="77777777" w:rsidR="001840E8" w:rsidRPr="00771E6E" w:rsidRDefault="001840E8" w:rsidP="001840E8">
      <w:pPr>
        <w:ind w:firstLine="720"/>
      </w:pPr>
      <w:r w:rsidRPr="00771E6E">
        <w:rPr>
          <w:noProof/>
        </w:rPr>
        <w:t xml:space="preserve">Usually, the decoration of the house, and especially the bedroom, included a </w:t>
      </w:r>
      <w:r w:rsidRPr="00771E6E">
        <w:t>devotional painted or carved image of the Virgin and Child hanging on the wall.</w:t>
      </w:r>
      <w:r w:rsidRPr="00771E6E">
        <w:rPr>
          <w:rStyle w:val="FootnoteReference"/>
        </w:rPr>
        <w:footnoteReference w:id="153"/>
      </w:r>
      <w:r w:rsidRPr="00771E6E">
        <w:t xml:space="preserve"> During the fifteenth century this type of depiction was the main focus of private devotional practices within the house. These representations became increasingly popular</w:t>
      </w:r>
      <w:r w:rsidRPr="00771E6E">
        <w:rPr>
          <w:noProof/>
        </w:rPr>
        <w:t xml:space="preserve"> and were produced in a variety of formats and materials, both by local artists and also imported from abroad, such as the seven hundred icons ordered from Crete in 1499 by Venetian merchants, to be sold for domestic use.</w:t>
      </w:r>
      <w:r w:rsidRPr="00771E6E">
        <w:rPr>
          <w:rStyle w:val="FootnoteReference"/>
        </w:rPr>
        <w:footnoteReference w:id="154"/>
      </w:r>
      <w:r w:rsidRPr="00771E6E">
        <w:rPr>
          <w:noProof/>
        </w:rPr>
        <w:t xml:space="preserve"> Several instances of the ownership of Virgin and Child images survive in household </w:t>
      </w:r>
      <w:r w:rsidRPr="00771E6E">
        <w:t>inventories, which reveal the widespread dissemination of this custom even among manual workers and other less affluent members of society.</w:t>
      </w:r>
      <w:r w:rsidRPr="00771E6E">
        <w:rPr>
          <w:rStyle w:val="FootnoteReference"/>
        </w:rPr>
        <w:footnoteReference w:id="155"/>
      </w:r>
      <w:r w:rsidRPr="00771E6E">
        <w:t xml:space="preserve"> </w:t>
      </w:r>
    </w:p>
    <w:p w14:paraId="4E236442" w14:textId="77777777" w:rsidR="001840E8" w:rsidRPr="00771E6E" w:rsidRDefault="001840E8" w:rsidP="001840E8">
      <w:pPr>
        <w:ind w:firstLine="720"/>
      </w:pPr>
      <w:r w:rsidRPr="00771E6E">
        <w:t>Images of the Virgin and Child could also represent the ideal woman, as an embodiment of a perfect model to which women in the household were encouraged to aspire.</w:t>
      </w:r>
      <w:r w:rsidRPr="00771E6E">
        <w:rPr>
          <w:rStyle w:val="FootnoteReference"/>
        </w:rPr>
        <w:footnoteReference w:id="156"/>
      </w:r>
      <w:r w:rsidRPr="00771E6E">
        <w:t xml:space="preserve"> Indeed, women and wives were likely to be the primary audience for domestic </w:t>
      </w:r>
      <w:r w:rsidRPr="00771E6E">
        <w:lastRenderedPageBreak/>
        <w:t xml:space="preserve">religious images, which would have been intended to assist them in shaping their </w:t>
      </w:r>
      <w:proofErr w:type="spellStart"/>
      <w:r w:rsidRPr="00771E6E">
        <w:t>behaviour</w:t>
      </w:r>
      <w:proofErr w:type="spellEnd"/>
      <w:r w:rsidRPr="00771E6E">
        <w:t xml:space="preserve"> to </w:t>
      </w:r>
      <w:proofErr w:type="spellStart"/>
      <w:r w:rsidRPr="00771E6E">
        <w:t>emphasise</w:t>
      </w:r>
      <w:proofErr w:type="spellEnd"/>
      <w:r w:rsidRPr="00771E6E">
        <w:t xml:space="preserve"> virtues such as chastity, purity and modesty, which they would have been expected to possess.</w:t>
      </w:r>
      <w:r w:rsidRPr="00771E6E">
        <w:rPr>
          <w:rStyle w:val="FootnoteReference"/>
        </w:rPr>
        <w:footnoteReference w:id="157"/>
      </w:r>
      <w:r w:rsidRPr="00771E6E">
        <w:t xml:space="preserve"> This role was </w:t>
      </w:r>
      <w:proofErr w:type="spellStart"/>
      <w:r w:rsidRPr="00771E6E">
        <w:t>recognised</w:t>
      </w:r>
      <w:proofErr w:type="spellEnd"/>
      <w:r w:rsidRPr="00771E6E">
        <w:t xml:space="preserve"> by Saint Bernardino of Siena, who, in a sermon delivered in Siena’s main square in 1427, recommended that unmarried girls stay inside the house, emphatically stating,</w:t>
      </w:r>
    </w:p>
    <w:p w14:paraId="3ECA1783" w14:textId="77777777" w:rsidR="001840E8" w:rsidRPr="00771E6E" w:rsidRDefault="001840E8" w:rsidP="001840E8">
      <w:pPr>
        <w:ind w:firstLine="720"/>
      </w:pPr>
    </w:p>
    <w:p w14:paraId="69F4C6C4" w14:textId="77777777" w:rsidR="001840E8" w:rsidRPr="00771E6E" w:rsidRDefault="001840E8" w:rsidP="001840E8">
      <w:pPr>
        <w:pStyle w:val="IntenseQuote"/>
      </w:pPr>
      <w:r w:rsidRPr="00771E6E">
        <w:t>Let’s talk of where the Angel found [the Virgin]. Where do you think she was? At the windows or engaging in some other sort of vanity? Oh, no! She was enclosed in a room, reading, to give an example to you, girls, so that you will never be tempted to stay either at the doorway or the window, but that you will remain inside the house, reciting Ave Marias and Our Fathers.</w:t>
      </w:r>
      <w:r w:rsidRPr="00771E6E">
        <w:rPr>
          <w:rStyle w:val="FootnoteReference"/>
        </w:rPr>
        <w:footnoteReference w:id="158"/>
      </w:r>
    </w:p>
    <w:p w14:paraId="6E7A46A9" w14:textId="77777777" w:rsidR="001840E8" w:rsidRPr="00771E6E" w:rsidRDefault="001840E8" w:rsidP="001840E8">
      <w:pPr>
        <w:pStyle w:val="NormalWeb"/>
        <w:spacing w:before="0" w:beforeAutospacing="0" w:after="0" w:afterAutospacing="0"/>
        <w:ind w:left="720"/>
      </w:pPr>
    </w:p>
    <w:p w14:paraId="63F5AC17" w14:textId="77777777" w:rsidR="001840E8" w:rsidRPr="00771E6E" w:rsidRDefault="001840E8" w:rsidP="001840E8">
      <w:r w:rsidRPr="00771E6E">
        <w:t xml:space="preserve">Women were concerned not only with their own moral standing, but also with laying the foundations for the religious education of their children, and so depictions of the Virgin and Child would have provided examples which demonstrated how they should guide their children along a virtuous path. Images of the Virgin reading to her Child from sacred books, or teaching him to read, would have also served the purpose of encouraging this type of activity, thus acting as </w:t>
      </w:r>
      <w:r w:rsidRPr="00771E6E">
        <w:rPr>
          <w:i/>
        </w:rPr>
        <w:t>exempla</w:t>
      </w:r>
      <w:r w:rsidRPr="00771E6E">
        <w:t xml:space="preserve"> to be emulated.</w:t>
      </w:r>
      <w:r w:rsidRPr="00771E6E">
        <w:rPr>
          <w:rStyle w:val="FootnoteReference"/>
        </w:rPr>
        <w:footnoteReference w:id="159"/>
      </w:r>
      <w:r w:rsidRPr="00771E6E">
        <w:t xml:space="preserve"> In this way, the image of the Virgin with the infant Jesus could achieve several objectives simultaneously, such as inspiring religious devotion, providing an example of an ideal mother to follow, and at the same time promoting conception and childbearing.</w:t>
      </w:r>
      <w:r w:rsidRPr="00771E6E">
        <w:rPr>
          <w:rStyle w:val="FootnoteReference"/>
        </w:rPr>
        <w:footnoteReference w:id="160"/>
      </w:r>
      <w:r w:rsidRPr="00771E6E">
        <w:t xml:space="preserve"> </w:t>
      </w:r>
    </w:p>
    <w:p w14:paraId="62D7E15E" w14:textId="77777777" w:rsidR="001840E8" w:rsidRPr="00771E6E" w:rsidRDefault="001840E8" w:rsidP="001840E8">
      <w:pPr>
        <w:tabs>
          <w:tab w:val="left" w:pos="1311"/>
        </w:tabs>
        <w:ind w:firstLine="720"/>
      </w:pPr>
      <w:r w:rsidRPr="00771E6E">
        <w:t xml:space="preserve">Didactic narratives targeted every type of audience, both laymen and members of the clergy, men and women. However, children were also considered as a distinct category of viewers. Images were often used as part of the education of children, and children themselves were thought to understand their value, as demonstrated in a passage from an eighth-century letter that at the time was attributed to Pope Gregory II, directed to the </w:t>
      </w:r>
      <w:r w:rsidRPr="00771E6E">
        <w:lastRenderedPageBreak/>
        <w:t>Byzantine Emperor Leo III, but which was actually compiled by an anonymous writer, in which the author defends the use of images against the Emperor’s iconoclastic claims:</w:t>
      </w:r>
    </w:p>
    <w:p w14:paraId="0EEDCC63" w14:textId="77777777" w:rsidR="001840E8" w:rsidRPr="00771E6E" w:rsidRDefault="001840E8" w:rsidP="001840E8">
      <w:pPr>
        <w:tabs>
          <w:tab w:val="left" w:pos="1311"/>
        </w:tabs>
        <w:ind w:firstLine="720"/>
      </w:pPr>
    </w:p>
    <w:p w14:paraId="53C6A165" w14:textId="77777777" w:rsidR="001840E8" w:rsidRPr="00771E6E" w:rsidRDefault="001840E8" w:rsidP="00AF799D">
      <w:pPr>
        <w:pStyle w:val="IntenseQuote"/>
      </w:pPr>
      <w:r w:rsidRPr="00771E6E">
        <w:t>You say: We worship stones and walls and boards. But it is not so, O Emperor; but they serve us for remembrance and encouragement, lifting our slow spirits upwards, by those whose names the pictures bear and whose representations they are. And we worship them not as God, as you maintain, God forbid! ... Even the little children mock at you. Go into one of their schools, say that you are the enemy of images, and straightway they will throw their little tablets at your head, and what you have failed to learn from the wise you may pick up from the foolish.</w:t>
      </w:r>
      <w:r w:rsidRPr="00771E6E">
        <w:rPr>
          <w:rStyle w:val="FootnoteReference"/>
        </w:rPr>
        <w:footnoteReference w:id="161"/>
      </w:r>
    </w:p>
    <w:p w14:paraId="062A78B6" w14:textId="77777777" w:rsidR="001840E8" w:rsidRPr="00771E6E" w:rsidRDefault="001840E8" w:rsidP="001840E8">
      <w:pPr>
        <w:tabs>
          <w:tab w:val="left" w:pos="1311"/>
        </w:tabs>
        <w:ind w:firstLine="720"/>
      </w:pPr>
    </w:p>
    <w:p w14:paraId="26658981" w14:textId="77777777" w:rsidR="001840E8" w:rsidRPr="00771E6E" w:rsidRDefault="001840E8" w:rsidP="001840E8">
      <w:pPr>
        <w:tabs>
          <w:tab w:val="left" w:pos="1311"/>
        </w:tabs>
        <w:rPr>
          <w:color w:val="000000" w:themeColor="text1"/>
        </w:rPr>
      </w:pPr>
      <w:r w:rsidRPr="00771E6E">
        <w:t xml:space="preserve">It was believed that these malleable young individuals were particularly affected by the sight of specific subjects. In the same way as mothers could mirror themselves in the Virgin Mary, children could </w:t>
      </w:r>
      <w:proofErr w:type="spellStart"/>
      <w:r w:rsidRPr="00771E6E">
        <w:t>recognise</w:t>
      </w:r>
      <w:proofErr w:type="spellEnd"/>
      <w:r w:rsidRPr="00771E6E">
        <w:t xml:space="preserve"> their features in works of art portraying the Infant Christ or the young Saint John the Baptist. This led to an identification of the real with the divine prototype, evident in the production of images of children, dressed or posing as their spiritual models. Marble busts of children portrayed as the Infant Christ or as the young Saint John the Baptist populated the Renaissance house, especially in Florence, most likely with the intention of exerting </w:t>
      </w:r>
      <w:r w:rsidRPr="00771E6E">
        <w:rPr>
          <w:color w:val="000000" w:themeColor="text1"/>
        </w:rPr>
        <w:t xml:space="preserve">moral influence over their young beholders, as suggested by Arnold Victor </w:t>
      </w:r>
      <w:proofErr w:type="spellStart"/>
      <w:r w:rsidRPr="00771E6E">
        <w:rPr>
          <w:color w:val="000000" w:themeColor="text1"/>
        </w:rPr>
        <w:t>Coonin</w:t>
      </w:r>
      <w:proofErr w:type="spellEnd"/>
      <w:r w:rsidRPr="00771E6E">
        <w:rPr>
          <w:color w:val="000000" w:themeColor="text1"/>
        </w:rPr>
        <w:t xml:space="preserve"> (figs 1.8 and 1.9).</w:t>
      </w:r>
      <w:r w:rsidRPr="00771E6E">
        <w:rPr>
          <w:rStyle w:val="FootnoteReference"/>
        </w:rPr>
        <w:footnoteReference w:id="162"/>
      </w:r>
    </w:p>
    <w:p w14:paraId="2058D3DC" w14:textId="77777777" w:rsidR="001840E8" w:rsidRPr="00771E6E" w:rsidRDefault="001840E8" w:rsidP="001840E8">
      <w:pPr>
        <w:ind w:firstLine="720"/>
      </w:pPr>
      <w:r w:rsidRPr="00771E6E">
        <w:t xml:space="preserve">A striking example of the way in which it was thought the sight of particular images could affect the </w:t>
      </w:r>
      <w:proofErr w:type="spellStart"/>
      <w:r w:rsidRPr="00771E6E">
        <w:t>behaviour</w:t>
      </w:r>
      <w:proofErr w:type="spellEnd"/>
      <w:r w:rsidRPr="00771E6E">
        <w:t xml:space="preserve"> of children is given in the treatise </w:t>
      </w:r>
      <w:proofErr w:type="spellStart"/>
      <w:r w:rsidRPr="00771E6E">
        <w:rPr>
          <w:i/>
        </w:rPr>
        <w:t>Regola</w:t>
      </w:r>
      <w:proofErr w:type="spellEnd"/>
      <w:r w:rsidRPr="00771E6E">
        <w:rPr>
          <w:i/>
        </w:rPr>
        <w:t xml:space="preserve"> del </w:t>
      </w:r>
      <w:proofErr w:type="spellStart"/>
      <w:r w:rsidRPr="00771E6E">
        <w:rPr>
          <w:i/>
        </w:rPr>
        <w:t>governo</w:t>
      </w:r>
      <w:proofErr w:type="spellEnd"/>
      <w:r w:rsidRPr="00771E6E">
        <w:rPr>
          <w:i/>
        </w:rPr>
        <w:t xml:space="preserve"> di </w:t>
      </w:r>
      <w:proofErr w:type="spellStart"/>
      <w:r w:rsidRPr="00771E6E">
        <w:rPr>
          <w:i/>
        </w:rPr>
        <w:t>cura</w:t>
      </w:r>
      <w:proofErr w:type="spellEnd"/>
      <w:r w:rsidRPr="00771E6E">
        <w:rPr>
          <w:i/>
        </w:rPr>
        <w:t xml:space="preserve"> </w:t>
      </w:r>
      <w:proofErr w:type="spellStart"/>
      <w:r w:rsidRPr="00771E6E">
        <w:rPr>
          <w:i/>
        </w:rPr>
        <w:t>familiare</w:t>
      </w:r>
      <w:proofErr w:type="spellEnd"/>
      <w:r w:rsidRPr="00771E6E">
        <w:rPr>
          <w:iCs/>
        </w:rPr>
        <w:t xml:space="preserve">, </w:t>
      </w:r>
      <w:r w:rsidRPr="00771E6E">
        <w:t xml:space="preserve">written in the vernacular by the Florentine Dominican friar Giovanni </w:t>
      </w:r>
      <w:proofErr w:type="spellStart"/>
      <w:r w:rsidRPr="00771E6E">
        <w:t>Dominici</w:t>
      </w:r>
      <w:proofErr w:type="spellEnd"/>
      <w:r w:rsidRPr="00771E6E">
        <w:t xml:space="preserve"> around 1400-1405 with guidelines for the management of family life, much-quoted by any scholar who has dealt with this topic.</w:t>
      </w:r>
      <w:r w:rsidRPr="00771E6E">
        <w:rPr>
          <w:rStyle w:val="FootnoteReference"/>
        </w:rPr>
        <w:footnoteReference w:id="163"/>
      </w:r>
      <w:r w:rsidRPr="00771E6E">
        <w:t xml:space="preserve"> </w:t>
      </w:r>
      <w:proofErr w:type="spellStart"/>
      <w:r w:rsidRPr="00771E6E">
        <w:t>Dominici</w:t>
      </w:r>
      <w:proofErr w:type="spellEnd"/>
      <w:r w:rsidRPr="00771E6E">
        <w:t xml:space="preserve"> dedicated this work to the unfortunate noblewoman </w:t>
      </w:r>
      <w:proofErr w:type="spellStart"/>
      <w:r w:rsidRPr="00771E6E">
        <w:t>Bartolomea</w:t>
      </w:r>
      <w:proofErr w:type="spellEnd"/>
      <w:r w:rsidRPr="00771E6E">
        <w:t xml:space="preserve"> </w:t>
      </w:r>
      <w:proofErr w:type="spellStart"/>
      <w:r w:rsidRPr="00771E6E">
        <w:t>degli</w:t>
      </w:r>
      <w:proofErr w:type="spellEnd"/>
      <w:r w:rsidRPr="00771E6E">
        <w:t xml:space="preserve"> </w:t>
      </w:r>
      <w:proofErr w:type="spellStart"/>
      <w:r w:rsidRPr="00771E6E">
        <w:t>Obizzi</w:t>
      </w:r>
      <w:proofErr w:type="spellEnd"/>
      <w:r w:rsidRPr="00771E6E">
        <w:t xml:space="preserve">, who was left alone with her four </w:t>
      </w:r>
      <w:r w:rsidRPr="00771E6E">
        <w:lastRenderedPageBreak/>
        <w:t xml:space="preserve">children when her husband Antonio </w:t>
      </w:r>
      <w:proofErr w:type="spellStart"/>
      <w:r w:rsidRPr="00771E6E">
        <w:t>degli</w:t>
      </w:r>
      <w:proofErr w:type="spellEnd"/>
      <w:r w:rsidRPr="00771E6E">
        <w:t xml:space="preserve"> Alberti was exiled from Florence.</w:t>
      </w:r>
      <w:r w:rsidRPr="00771E6E">
        <w:rPr>
          <w:rStyle w:val="FootnoteReference"/>
        </w:rPr>
        <w:footnoteReference w:id="164"/>
      </w:r>
      <w:r w:rsidRPr="00771E6E">
        <w:t xml:space="preserve"> This treatise can be interpreted as </w:t>
      </w:r>
      <w:proofErr w:type="spellStart"/>
      <w:r w:rsidRPr="00771E6E">
        <w:t>Dominici’s</w:t>
      </w:r>
      <w:proofErr w:type="spellEnd"/>
      <w:r w:rsidRPr="00771E6E">
        <w:t xml:space="preserve"> attempt to comfort </w:t>
      </w:r>
      <w:proofErr w:type="spellStart"/>
      <w:r w:rsidRPr="00771E6E">
        <w:t>Bartolomea</w:t>
      </w:r>
      <w:proofErr w:type="spellEnd"/>
      <w:r w:rsidRPr="00771E6E">
        <w:t xml:space="preserve">, giving her support as well as practical advice and guidance on the best way to raise her children. It is divided into four parts, which are designed to answer specific questions asked to the author by </w:t>
      </w:r>
      <w:proofErr w:type="spellStart"/>
      <w:r w:rsidRPr="00771E6E">
        <w:t>Bartolomea</w:t>
      </w:r>
      <w:proofErr w:type="spellEnd"/>
      <w:r w:rsidRPr="00771E6E">
        <w:t xml:space="preserve"> on various aspects of familial affairs. The first two parts of </w:t>
      </w:r>
      <w:proofErr w:type="spellStart"/>
      <w:r w:rsidRPr="00771E6E">
        <w:t>Dominici’s</w:t>
      </w:r>
      <w:proofErr w:type="spellEnd"/>
      <w:r w:rsidRPr="00771E6E">
        <w:t xml:space="preserve"> work focus on ways to regulate the reader’s own self (both soul and body), while the last two are devoted to rules that should be followed in order to govern a family effectively. </w:t>
      </w:r>
    </w:p>
    <w:p w14:paraId="0AC46908" w14:textId="77777777" w:rsidR="001840E8" w:rsidRPr="00771E6E" w:rsidRDefault="001840E8" w:rsidP="001840E8">
      <w:pPr>
        <w:ind w:firstLine="720"/>
      </w:pPr>
      <w:r w:rsidRPr="00771E6E">
        <w:t xml:space="preserve">For the purposes of this chapter, the fourth part is of particular interest, as it is entirely dedicated to the moral education of children. In this part of the text, </w:t>
      </w:r>
      <w:proofErr w:type="spellStart"/>
      <w:r w:rsidRPr="00771E6E">
        <w:t>Dominici</w:t>
      </w:r>
      <w:proofErr w:type="spellEnd"/>
      <w:r w:rsidRPr="00771E6E">
        <w:t xml:space="preserve"> declares that, in order to educate children about the love of God, it was thought better “to have in the home paintings of young saints or young virgins, </w:t>
      </w:r>
      <w:r w:rsidRPr="00771E6E">
        <w:rPr>
          <w:color w:val="000000"/>
        </w:rPr>
        <w:t>in which your child, still in swaddling clothes, may take delight and be blissful for being similar [to them], with acts and signs pleasing to children. And what I say of paintings applies also to statues.</w:t>
      </w:r>
      <w:r w:rsidRPr="00771E6E">
        <w:t>”</w:t>
      </w:r>
      <w:r w:rsidRPr="00771E6E">
        <w:rPr>
          <w:rStyle w:val="FootnoteReference"/>
        </w:rPr>
        <w:footnoteReference w:id="165"/>
      </w:r>
      <w:r w:rsidRPr="00771E6E">
        <w:t xml:space="preserve"> It can be inferred that the features of the depicted figures were used to attract the attention of the children, in which they were supposed to </w:t>
      </w:r>
      <w:proofErr w:type="spellStart"/>
      <w:r w:rsidRPr="00771E6E">
        <w:t>recognise</w:t>
      </w:r>
      <w:proofErr w:type="spellEnd"/>
      <w:r w:rsidRPr="00771E6E">
        <w:t xml:space="preserve"> themselves. </w:t>
      </w:r>
      <w:proofErr w:type="spellStart"/>
      <w:r w:rsidRPr="00771E6E">
        <w:t>Dominici</w:t>
      </w:r>
      <w:proofErr w:type="spellEnd"/>
      <w:r w:rsidRPr="00771E6E">
        <w:t xml:space="preserve"> even includes a list of recommended scenes for children to look at, taken not only from both the New and the Old Testaments, but also from popular Christian stories of saints and martyrs. Desirable subjects were the Virgin Mary and Child holding a bird or a pomegranate, the infant Christ nursing, sleeping, or standing in front of his mother, Jesus drawing a profile and his mother sewing it, the young St John the Baptist in the desert or playing with birds, the infants Jesus and S</w:t>
      </w:r>
      <w:r w:rsidR="004104B6" w:rsidRPr="00771E6E">
        <w:t>ain</w:t>
      </w:r>
      <w:r w:rsidRPr="00771E6E">
        <w:t>t John together or, for a female child, the eleven thousand virgins, S</w:t>
      </w:r>
      <w:r w:rsidR="004104B6" w:rsidRPr="00771E6E">
        <w:t>ain</w:t>
      </w:r>
      <w:r w:rsidRPr="00771E6E">
        <w:t>t Agnes, S</w:t>
      </w:r>
      <w:r w:rsidR="004104B6" w:rsidRPr="00771E6E">
        <w:t>ain</w:t>
      </w:r>
      <w:r w:rsidRPr="00771E6E">
        <w:t>t Cecil, S</w:t>
      </w:r>
      <w:r w:rsidR="004104B6" w:rsidRPr="00771E6E">
        <w:t>ain</w:t>
      </w:r>
      <w:r w:rsidRPr="00771E6E">
        <w:t>t Elizabeth or S</w:t>
      </w:r>
      <w:r w:rsidR="004104B6" w:rsidRPr="00771E6E">
        <w:t>ain</w:t>
      </w:r>
      <w:r w:rsidRPr="00771E6E">
        <w:t>t Catherine.</w:t>
      </w:r>
      <w:r w:rsidRPr="00771E6E">
        <w:rPr>
          <w:rStyle w:val="FootnoteReference"/>
        </w:rPr>
        <w:footnoteReference w:id="166"/>
      </w:r>
    </w:p>
    <w:p w14:paraId="2BFDFDAC" w14:textId="77777777" w:rsidR="001840E8" w:rsidRPr="00771E6E" w:rsidRDefault="001840E8" w:rsidP="001840E8">
      <w:pPr>
        <w:ind w:firstLine="720"/>
        <w:rPr>
          <w:color w:val="000000"/>
        </w:rPr>
      </w:pPr>
      <w:proofErr w:type="spellStart"/>
      <w:r w:rsidRPr="00771E6E">
        <w:rPr>
          <w:color w:val="000000"/>
        </w:rPr>
        <w:t>Dominici</w:t>
      </w:r>
      <w:proofErr w:type="spellEnd"/>
      <w:r w:rsidRPr="00771E6E">
        <w:rPr>
          <w:color w:val="000000"/>
        </w:rPr>
        <w:t xml:space="preserve"> also describes the use of images of Angels and Saints with a pedagogical aim, explaining that they are useful for the mental benefit of young children, who should see themselves reflected in this “mirror” </w:t>
      </w:r>
      <w:r w:rsidRPr="00771E6E">
        <w:t>(</w:t>
      </w:r>
      <w:proofErr w:type="spellStart"/>
      <w:r w:rsidRPr="00771E6E">
        <w:rPr>
          <w:i/>
        </w:rPr>
        <w:t>specchio</w:t>
      </w:r>
      <w:proofErr w:type="spellEnd"/>
      <w:r w:rsidRPr="00771E6E">
        <w:t>)</w:t>
      </w:r>
      <w:r w:rsidRPr="00771E6E">
        <w:rPr>
          <w:color w:val="000000"/>
        </w:rPr>
        <w:t xml:space="preserve"> as soon as they open their eyes.</w:t>
      </w:r>
      <w:r w:rsidRPr="00771E6E">
        <w:rPr>
          <w:rStyle w:val="FootnoteReference"/>
        </w:rPr>
        <w:footnoteReference w:id="167"/>
      </w:r>
      <w:r w:rsidRPr="00771E6E">
        <w:rPr>
          <w:color w:val="000000"/>
        </w:rPr>
        <w:t xml:space="preserve"> </w:t>
      </w:r>
      <w:r w:rsidRPr="00771E6E">
        <w:t xml:space="preserve">In this passage, </w:t>
      </w:r>
      <w:proofErr w:type="spellStart"/>
      <w:r w:rsidRPr="00771E6E">
        <w:t>Dominici</w:t>
      </w:r>
      <w:proofErr w:type="spellEnd"/>
      <w:r w:rsidRPr="00771E6E">
        <w:t xml:space="preserve"> outlines a complete educational plan to support </w:t>
      </w:r>
      <w:proofErr w:type="spellStart"/>
      <w:r w:rsidRPr="00771E6E">
        <w:t>Bartolomea</w:t>
      </w:r>
      <w:proofErr w:type="spellEnd"/>
      <w:r w:rsidRPr="00771E6E">
        <w:t>, in which he advises that human beings are the most appropriate example to follow when children start to speak, at the midpoint of their learning process (</w:t>
      </w:r>
      <w:proofErr w:type="spellStart"/>
      <w:r w:rsidRPr="00771E6E">
        <w:rPr>
          <w:i/>
        </w:rPr>
        <w:t>mezzani</w:t>
      </w:r>
      <w:proofErr w:type="spellEnd"/>
      <w:r w:rsidRPr="00771E6E">
        <w:t xml:space="preserve">), while Biblical </w:t>
      </w:r>
      <w:r w:rsidRPr="00771E6E">
        <w:lastRenderedPageBreak/>
        <w:t>teachings are suitable for children at a later stage of their education, when they are learning to write.</w:t>
      </w:r>
      <w:r w:rsidRPr="00771E6E">
        <w:rPr>
          <w:rStyle w:val="FootnoteReference"/>
        </w:rPr>
        <w:footnoteReference w:id="168"/>
      </w:r>
      <w:r w:rsidRPr="00771E6E">
        <w:t xml:space="preserve"> </w:t>
      </w:r>
    </w:p>
    <w:p w14:paraId="49F977F1" w14:textId="77777777" w:rsidR="001840E8" w:rsidRPr="00771E6E" w:rsidRDefault="001840E8" w:rsidP="001840E8">
      <w:pPr>
        <w:widowControl w:val="0"/>
        <w:autoSpaceDE w:val="0"/>
        <w:autoSpaceDN w:val="0"/>
        <w:adjustRightInd w:val="0"/>
        <w:ind w:firstLine="720"/>
      </w:pPr>
      <w:r w:rsidRPr="00771E6E">
        <w:rPr>
          <w:color w:val="000000"/>
        </w:rPr>
        <w:t xml:space="preserve">Although </w:t>
      </w:r>
      <w:proofErr w:type="spellStart"/>
      <w:r w:rsidRPr="00771E6E">
        <w:rPr>
          <w:color w:val="000000"/>
        </w:rPr>
        <w:t>Dominici’s</w:t>
      </w:r>
      <w:proofErr w:type="spellEnd"/>
      <w:r w:rsidRPr="00771E6E">
        <w:rPr>
          <w:color w:val="000000"/>
        </w:rPr>
        <w:t xml:space="preserve"> work was never printed, that it survives in at least eleven manuscript copies testifies to the fact that its popularity went beyond being read only by its recipient, </w:t>
      </w:r>
      <w:proofErr w:type="spellStart"/>
      <w:r w:rsidRPr="00771E6E">
        <w:rPr>
          <w:color w:val="000000"/>
        </w:rPr>
        <w:t>Bartolomea</w:t>
      </w:r>
      <w:proofErr w:type="spellEnd"/>
      <w:r w:rsidRPr="00771E6E">
        <w:rPr>
          <w:color w:val="000000"/>
        </w:rPr>
        <w:t>, and that its teachings were considered valuable by some at least until 1526.</w:t>
      </w:r>
      <w:r w:rsidRPr="00771E6E">
        <w:rPr>
          <w:rStyle w:val="FootnoteReference"/>
        </w:rPr>
        <w:footnoteReference w:id="169"/>
      </w:r>
      <w:r w:rsidRPr="00771E6E">
        <w:rPr>
          <w:color w:val="000000"/>
        </w:rPr>
        <w:t xml:space="preserve"> Based on this, it seems apparent that moral education could be imparted by parents using pictures, with the features of the depicted figures being used </w:t>
      </w:r>
      <w:r w:rsidRPr="00771E6E">
        <w:t xml:space="preserve">to attract the attention of children who were supposed to </w:t>
      </w:r>
      <w:proofErr w:type="spellStart"/>
      <w:r w:rsidRPr="00771E6E">
        <w:t>recognise</w:t>
      </w:r>
      <w:proofErr w:type="spellEnd"/>
      <w:r w:rsidRPr="00771E6E">
        <w:t xml:space="preserve"> and mirror themselves on them, and, in turn, that these visual stimuli were intended to shape receptive young minds. Evidence of the resonance of </w:t>
      </w:r>
      <w:proofErr w:type="spellStart"/>
      <w:r w:rsidRPr="00771E6E">
        <w:t>Dominici’s</w:t>
      </w:r>
      <w:proofErr w:type="spellEnd"/>
      <w:r w:rsidRPr="00771E6E">
        <w:t xml:space="preserve"> assertions can still be found many decades later, such as, for example, in a record that states that an image of the Virgin Mary was left to Niccolò </w:t>
      </w:r>
      <w:proofErr w:type="spellStart"/>
      <w:r w:rsidRPr="00771E6E">
        <w:t>Strozzi</w:t>
      </w:r>
      <w:proofErr w:type="spellEnd"/>
      <w:r w:rsidRPr="00771E6E">
        <w:t xml:space="preserve"> by a female servant in 1484, who recorded that the image was left “to give pleasure to the children”.</w:t>
      </w:r>
      <w:r w:rsidRPr="00771E6E">
        <w:rPr>
          <w:rStyle w:val="FootnoteReference"/>
        </w:rPr>
        <w:footnoteReference w:id="170"/>
      </w:r>
      <w:r w:rsidRPr="00771E6E">
        <w:t xml:space="preserve"> </w:t>
      </w:r>
    </w:p>
    <w:p w14:paraId="027B24D5" w14:textId="77777777" w:rsidR="001840E8" w:rsidRPr="00771E6E" w:rsidRDefault="001840E8" w:rsidP="001840E8">
      <w:pPr>
        <w:widowControl w:val="0"/>
        <w:autoSpaceDE w:val="0"/>
        <w:autoSpaceDN w:val="0"/>
        <w:adjustRightInd w:val="0"/>
        <w:ind w:firstLine="720"/>
        <w:rPr>
          <w:color w:val="000000"/>
        </w:rPr>
      </w:pPr>
      <w:r w:rsidRPr="00771E6E">
        <w:t xml:space="preserve">The use of images as aids to devotion is also advocated by </w:t>
      </w:r>
      <w:proofErr w:type="spellStart"/>
      <w:r w:rsidRPr="00771E6E">
        <w:t>Dominici’s</w:t>
      </w:r>
      <w:proofErr w:type="spellEnd"/>
      <w:r w:rsidRPr="00771E6E">
        <w:t xml:space="preserve"> disciple Antonino </w:t>
      </w:r>
      <w:proofErr w:type="spellStart"/>
      <w:r w:rsidRPr="00771E6E">
        <w:t>Pierozzi</w:t>
      </w:r>
      <w:proofErr w:type="spellEnd"/>
      <w:r w:rsidRPr="00771E6E">
        <w:t xml:space="preserve">, who eventually became the Archbishop of Florence between 1446 and 1459, although in this particular case the contemplation of these images served as preparation for the meditative practice of mental </w:t>
      </w:r>
      <w:proofErr w:type="spellStart"/>
      <w:r w:rsidRPr="00771E6E">
        <w:t>visualisation</w:t>
      </w:r>
      <w:proofErr w:type="spellEnd"/>
      <w:r w:rsidRPr="00771E6E">
        <w:t xml:space="preserve">. In a chapter of his vernacular treatise </w:t>
      </w:r>
      <w:r w:rsidRPr="00771E6E">
        <w:rPr>
          <w:i/>
          <w:iCs/>
          <w:color w:val="000000"/>
        </w:rPr>
        <w:t xml:space="preserve">Opera a ben vivere </w:t>
      </w:r>
      <w:r w:rsidRPr="00771E6E">
        <w:rPr>
          <w:iCs/>
          <w:color w:val="000000"/>
        </w:rPr>
        <w:t>(ca. 1454), Saint Antonino advises his female readers on how to engage with physical images in order to stimulate the imagination and experience a more intense feeling of participation in the depicted events.</w:t>
      </w:r>
      <w:r w:rsidRPr="00771E6E">
        <w:rPr>
          <w:rStyle w:val="FootnoteReference"/>
        </w:rPr>
        <w:footnoteReference w:id="171"/>
      </w:r>
      <w:r w:rsidRPr="00771E6E">
        <w:rPr>
          <w:iCs/>
          <w:color w:val="000000"/>
        </w:rPr>
        <w:t xml:space="preserve"> Here, Saint Antonino recommends starting with the sight of a material object: “</w:t>
      </w:r>
      <w:r w:rsidRPr="00771E6E">
        <w:rPr>
          <w:color w:val="000000"/>
        </w:rPr>
        <w:t xml:space="preserve">in church or in your room, kneel before a crucifix and </w:t>
      </w:r>
      <w:r w:rsidRPr="00771E6E">
        <w:rPr>
          <w:iCs/>
          <w:color w:val="000000"/>
        </w:rPr>
        <w:t>with the eyes of the mind, more than with those of the body</w:t>
      </w:r>
      <w:r w:rsidRPr="00771E6E">
        <w:rPr>
          <w:color w:val="000000"/>
        </w:rPr>
        <w:t>, consider his face”.</w:t>
      </w:r>
      <w:r w:rsidRPr="00771E6E">
        <w:rPr>
          <w:rStyle w:val="FootnoteReference"/>
        </w:rPr>
        <w:footnoteReference w:id="172"/>
      </w:r>
      <w:r w:rsidRPr="00771E6E">
        <w:rPr>
          <w:color w:val="000000"/>
        </w:rPr>
        <w:t xml:space="preserve"> He </w:t>
      </w:r>
      <w:r w:rsidRPr="00771E6E">
        <w:rPr>
          <w:iCs/>
          <w:color w:val="000000"/>
        </w:rPr>
        <w:t xml:space="preserve">subsequently gives considerable prominence to the </w:t>
      </w:r>
      <w:proofErr w:type="spellStart"/>
      <w:r w:rsidRPr="00771E6E">
        <w:rPr>
          <w:iCs/>
          <w:color w:val="000000"/>
        </w:rPr>
        <w:t>visualisation</w:t>
      </w:r>
      <w:proofErr w:type="spellEnd"/>
      <w:r w:rsidRPr="00771E6E">
        <w:rPr>
          <w:iCs/>
          <w:color w:val="000000"/>
        </w:rPr>
        <w:t xml:space="preserve"> of the narratives and to this particular form of active participation in them. In this way, this practice was connected to t</w:t>
      </w:r>
      <w:r w:rsidRPr="00771E6E">
        <w:rPr>
          <w:color w:val="000000"/>
        </w:rPr>
        <w:t>he moral development of his readers.</w:t>
      </w:r>
      <w:r w:rsidRPr="00771E6E">
        <w:rPr>
          <w:rStyle w:val="FootnoteReference"/>
        </w:rPr>
        <w:footnoteReference w:id="173"/>
      </w:r>
      <w:r w:rsidRPr="00771E6E">
        <w:rPr>
          <w:color w:val="000000"/>
        </w:rPr>
        <w:t xml:space="preserve"> Once </w:t>
      </w:r>
      <w:r w:rsidRPr="00771E6E">
        <w:rPr>
          <w:color w:val="000000"/>
        </w:rPr>
        <w:lastRenderedPageBreak/>
        <w:t>again, in Saint Antonino’s work the domestic space is presented as a location for</w:t>
      </w:r>
      <w:r w:rsidRPr="00771E6E">
        <w:rPr>
          <w:rStyle w:val="CommentReference"/>
          <w:sz w:val="24"/>
          <w:szCs w:val="24"/>
        </w:rPr>
        <w:t xml:space="preserve"> </w:t>
      </w:r>
      <w:r w:rsidRPr="00771E6E">
        <w:rPr>
          <w:color w:val="000000"/>
        </w:rPr>
        <w:t xml:space="preserve">devotional moralistic practice. It is interesting to note that the decoration of the cells </w:t>
      </w:r>
      <w:r w:rsidR="004104B6" w:rsidRPr="00771E6E">
        <w:rPr>
          <w:color w:val="000000"/>
        </w:rPr>
        <w:t>occupied by</w:t>
      </w:r>
      <w:r w:rsidRPr="00771E6E">
        <w:rPr>
          <w:color w:val="000000"/>
        </w:rPr>
        <w:t xml:space="preserve"> Dominican friars of San Marco, </w:t>
      </w:r>
      <w:proofErr w:type="spellStart"/>
      <w:r w:rsidRPr="00771E6E">
        <w:rPr>
          <w:color w:val="000000"/>
        </w:rPr>
        <w:t>realised</w:t>
      </w:r>
      <w:proofErr w:type="spellEnd"/>
      <w:r w:rsidRPr="00771E6E">
        <w:rPr>
          <w:color w:val="000000"/>
        </w:rPr>
        <w:t xml:space="preserve"> by Fra Angelico during Saint Antonino’s priory, is likely to have been connected to his advocacy of the use of images.</w:t>
      </w:r>
      <w:r w:rsidRPr="00771E6E">
        <w:rPr>
          <w:rStyle w:val="FootnoteReference"/>
        </w:rPr>
        <w:footnoteReference w:id="174"/>
      </w:r>
    </w:p>
    <w:p w14:paraId="4940AF68" w14:textId="77777777" w:rsidR="001840E8" w:rsidRPr="00771E6E" w:rsidRDefault="001840E8" w:rsidP="001840E8">
      <w:pPr>
        <w:ind w:firstLine="720"/>
        <w:rPr>
          <w:color w:val="000000"/>
        </w:rPr>
      </w:pPr>
      <w:r w:rsidRPr="00771E6E">
        <w:rPr>
          <w:iCs/>
          <w:color w:val="000000"/>
        </w:rPr>
        <w:t xml:space="preserve">Saint Antonino’s views on how physical vision led to moral growth appear also in his </w:t>
      </w:r>
      <w:r w:rsidRPr="00771E6E">
        <w:rPr>
          <w:i/>
          <w:iCs/>
          <w:color w:val="000000"/>
        </w:rPr>
        <w:t xml:space="preserve">Summa </w:t>
      </w:r>
      <w:proofErr w:type="spellStart"/>
      <w:r w:rsidRPr="00771E6E">
        <w:rPr>
          <w:i/>
          <w:iCs/>
          <w:color w:val="000000"/>
        </w:rPr>
        <w:t>theologica</w:t>
      </w:r>
      <w:proofErr w:type="spellEnd"/>
      <w:r w:rsidRPr="00771E6E">
        <w:rPr>
          <w:i/>
          <w:iCs/>
          <w:color w:val="000000"/>
        </w:rPr>
        <w:t xml:space="preserve"> </w:t>
      </w:r>
      <w:r w:rsidRPr="00771E6E">
        <w:rPr>
          <w:color w:val="000000"/>
        </w:rPr>
        <w:t>(ca. 1454).</w:t>
      </w:r>
      <w:r w:rsidRPr="00771E6E">
        <w:rPr>
          <w:rStyle w:val="FootnoteReference"/>
        </w:rPr>
        <w:footnoteReference w:id="175"/>
      </w:r>
      <w:r w:rsidRPr="00771E6E">
        <w:rPr>
          <w:color w:val="000000"/>
        </w:rPr>
        <w:t xml:space="preserve"> In this text, he states that “images of saints are made in church not to show [people] reverence of worship, but </w:t>
      </w:r>
      <w:r w:rsidRPr="00771E6E">
        <w:rPr>
          <w:iCs/>
          <w:color w:val="000000"/>
        </w:rPr>
        <w:t>to impress their excellence effectively on the minds of men.</w:t>
      </w:r>
      <w:r w:rsidRPr="00771E6E">
        <w:rPr>
          <w:color w:val="000000"/>
        </w:rPr>
        <w:t>”</w:t>
      </w:r>
      <w:r w:rsidRPr="00771E6E">
        <w:rPr>
          <w:rStyle w:val="FootnoteReference"/>
        </w:rPr>
        <w:footnoteReference w:id="176"/>
      </w:r>
      <w:r w:rsidRPr="00771E6E">
        <w:rPr>
          <w:color w:val="000000"/>
        </w:rPr>
        <w:t xml:space="preserve"> Once again, the use of images as moral </w:t>
      </w:r>
      <w:r w:rsidRPr="00771E6E">
        <w:rPr>
          <w:i/>
          <w:color w:val="000000"/>
        </w:rPr>
        <w:t>exempla</w:t>
      </w:r>
      <w:r w:rsidRPr="00771E6E">
        <w:rPr>
          <w:color w:val="000000"/>
        </w:rPr>
        <w:t>, rather than simply as idols to be revered, is validated.</w:t>
      </w:r>
      <w:r w:rsidRPr="00771E6E">
        <w:rPr>
          <w:rStyle w:val="FootnoteReference"/>
        </w:rPr>
        <w:footnoteReference w:id="177"/>
      </w:r>
      <w:r w:rsidRPr="00771E6E">
        <w:rPr>
          <w:color w:val="000000"/>
        </w:rPr>
        <w:t xml:space="preserve"> </w:t>
      </w:r>
    </w:p>
    <w:p w14:paraId="5196132E" w14:textId="77777777" w:rsidR="001840E8" w:rsidRPr="00771E6E" w:rsidRDefault="001840E8" w:rsidP="00AF799D">
      <w:pPr>
        <w:ind w:firstLine="720"/>
      </w:pPr>
      <w:r w:rsidRPr="00771E6E">
        <w:t xml:space="preserve">Having considered how Renaissance bedrooms in palaces belonging to the privileged wealthy classes of Italian society would be filled with decorated furniture and works of art, and in light of the way in which the use of images in the domestic environment was recommended by both secular and religious writers, it is possible to assert that the decoration of the interiors of domestic dwellings offered a rich source of visual influences for their inhabitants, both for adults and for younger members of the household. Religious subjects, together with historical scenes that were popular at the time, could function as </w:t>
      </w:r>
      <w:r w:rsidRPr="00771E6E">
        <w:rPr>
          <w:i/>
        </w:rPr>
        <w:t xml:space="preserve">exempla </w:t>
      </w:r>
      <w:r w:rsidRPr="00771E6E">
        <w:t xml:space="preserve">and inspire specific attitudes in their beholders. These effects would have been even more pronounced in children, who were considered to be malleable and easily impressionable. </w:t>
      </w:r>
      <w:r w:rsidRPr="00771E6E">
        <w:rPr>
          <w:color w:val="000000"/>
        </w:rPr>
        <w:t>I</w:t>
      </w:r>
      <w:r w:rsidRPr="00771E6E">
        <w:t xml:space="preserve">t is therefore possible to imagine how parents would attempt to influence the </w:t>
      </w:r>
      <w:proofErr w:type="spellStart"/>
      <w:r w:rsidRPr="00771E6E">
        <w:t>behaviour</w:t>
      </w:r>
      <w:proofErr w:type="spellEnd"/>
      <w:r w:rsidRPr="00771E6E">
        <w:t xml:space="preserve"> of their children by using the decoration and the works of art present in their home, so that they would imitate the attitudes of these “companions,” leading to the conclusion that material objects could possess educative functions, especially in the earliest years of a child’s life, when moral instruction was a particularly pressing concern.</w:t>
      </w:r>
      <w:bookmarkStart w:id="19" w:name="_Toc507939121"/>
    </w:p>
    <w:p w14:paraId="6A68E0D8" w14:textId="500E12D5" w:rsidR="001840E8" w:rsidRPr="00771E6E" w:rsidRDefault="001840E8" w:rsidP="000F53FC"/>
    <w:p w14:paraId="46F55D01" w14:textId="28DD2D01" w:rsidR="000F53FC" w:rsidRPr="00771E6E" w:rsidRDefault="000F53FC" w:rsidP="000F53FC"/>
    <w:p w14:paraId="48144F50" w14:textId="66C63ED9" w:rsidR="000F53FC" w:rsidRPr="00771E6E" w:rsidRDefault="000F53FC" w:rsidP="000F53FC"/>
    <w:p w14:paraId="5E660171" w14:textId="77777777" w:rsidR="000F53FC" w:rsidRPr="00771E6E" w:rsidRDefault="000F53FC" w:rsidP="000F53FC"/>
    <w:p w14:paraId="5486B9F3" w14:textId="77777777" w:rsidR="001840E8" w:rsidRPr="00771E6E" w:rsidRDefault="001840E8" w:rsidP="001840E8">
      <w:pPr>
        <w:pStyle w:val="Subchapter"/>
      </w:pPr>
      <w:bookmarkStart w:id="20" w:name="_Toc4329146"/>
      <w:bookmarkStart w:id="21" w:name="_Toc20167597"/>
      <w:r w:rsidRPr="00771E6E">
        <w:lastRenderedPageBreak/>
        <w:t xml:space="preserve">1.5 Music as Moral </w:t>
      </w:r>
      <w:bookmarkEnd w:id="19"/>
      <w:r w:rsidRPr="00771E6E">
        <w:t>Practice</w:t>
      </w:r>
      <w:bookmarkEnd w:id="20"/>
      <w:bookmarkEnd w:id="21"/>
      <w:r w:rsidRPr="00771E6E">
        <w:t xml:space="preserve"> </w:t>
      </w:r>
    </w:p>
    <w:p w14:paraId="4F98864E" w14:textId="77777777" w:rsidR="001840E8" w:rsidRPr="00771E6E" w:rsidRDefault="001840E8" w:rsidP="001840E8">
      <w:pPr>
        <w:tabs>
          <w:tab w:val="left" w:pos="1311"/>
        </w:tabs>
        <w:rPr>
          <w:bCs/>
          <w:color w:val="FF0000"/>
        </w:rPr>
      </w:pPr>
    </w:p>
    <w:p w14:paraId="29652ED0" w14:textId="77777777" w:rsidR="001840E8" w:rsidRPr="00771E6E" w:rsidRDefault="001840E8" w:rsidP="001840E8">
      <w:pPr>
        <w:rPr>
          <w:bCs/>
          <w:iCs/>
          <w:color w:val="000000" w:themeColor="text1"/>
        </w:rPr>
      </w:pPr>
      <w:r w:rsidRPr="00771E6E">
        <w:rPr>
          <w:bCs/>
          <w:iCs/>
          <w:color w:val="000000" w:themeColor="text1"/>
        </w:rPr>
        <w:t xml:space="preserve">In the dedicatory remarks that precede his treatise </w:t>
      </w:r>
      <w:proofErr w:type="spellStart"/>
      <w:r w:rsidRPr="00771E6E">
        <w:rPr>
          <w:bCs/>
          <w:i/>
          <w:iCs/>
          <w:color w:val="000000" w:themeColor="text1"/>
        </w:rPr>
        <w:t>Practica</w:t>
      </w:r>
      <w:proofErr w:type="spellEnd"/>
      <w:r w:rsidRPr="00771E6E">
        <w:rPr>
          <w:bCs/>
          <w:i/>
          <w:iCs/>
          <w:color w:val="000000" w:themeColor="text1"/>
        </w:rPr>
        <w:t xml:space="preserve"> </w:t>
      </w:r>
      <w:proofErr w:type="spellStart"/>
      <w:r w:rsidRPr="00771E6E">
        <w:rPr>
          <w:bCs/>
          <w:i/>
          <w:iCs/>
          <w:color w:val="000000" w:themeColor="text1"/>
        </w:rPr>
        <w:t>Musicae</w:t>
      </w:r>
      <w:proofErr w:type="spellEnd"/>
      <w:r w:rsidRPr="00771E6E">
        <w:rPr>
          <w:bCs/>
          <w:i/>
          <w:iCs/>
          <w:color w:val="000000" w:themeColor="text1"/>
        </w:rPr>
        <w:t xml:space="preserve"> </w:t>
      </w:r>
      <w:r w:rsidRPr="00771E6E">
        <w:rPr>
          <w:bCs/>
          <w:iCs/>
          <w:color w:val="000000" w:themeColor="text1"/>
        </w:rPr>
        <w:t xml:space="preserve">(The Practice of Music), the music theorist and composer </w:t>
      </w:r>
      <w:proofErr w:type="spellStart"/>
      <w:r w:rsidRPr="00771E6E">
        <w:rPr>
          <w:bCs/>
          <w:iCs/>
          <w:color w:val="000000" w:themeColor="text1"/>
        </w:rPr>
        <w:t>Franchinus</w:t>
      </w:r>
      <w:proofErr w:type="spellEnd"/>
      <w:r w:rsidRPr="00771E6E">
        <w:rPr>
          <w:bCs/>
          <w:iCs/>
          <w:color w:val="000000" w:themeColor="text1"/>
        </w:rPr>
        <w:t xml:space="preserve"> </w:t>
      </w:r>
      <w:proofErr w:type="spellStart"/>
      <w:r w:rsidRPr="00771E6E">
        <w:rPr>
          <w:bCs/>
          <w:iCs/>
          <w:color w:val="000000" w:themeColor="text1"/>
        </w:rPr>
        <w:t>Gaffurius</w:t>
      </w:r>
      <w:proofErr w:type="spellEnd"/>
      <w:r w:rsidRPr="00771E6E">
        <w:rPr>
          <w:bCs/>
          <w:iCs/>
          <w:color w:val="000000" w:themeColor="text1"/>
        </w:rPr>
        <w:t xml:space="preserve"> states that “nothing stirs people so quickly to diverse emotions as music does.”</w:t>
      </w:r>
      <w:r w:rsidRPr="00771E6E">
        <w:rPr>
          <w:rStyle w:val="FootnoteReference"/>
        </w:rPr>
        <w:footnoteReference w:id="178"/>
      </w:r>
      <w:r w:rsidRPr="00771E6E">
        <w:rPr>
          <w:bCs/>
          <w:iCs/>
          <w:color w:val="000000" w:themeColor="text1"/>
        </w:rPr>
        <w:t xml:space="preserve"> </w:t>
      </w:r>
      <w:r w:rsidRPr="00771E6E">
        <w:rPr>
          <w:bCs/>
          <w:color w:val="000000" w:themeColor="text1"/>
        </w:rPr>
        <w:t xml:space="preserve">In addition to the educative practices discussed in the previous sections, such as </w:t>
      </w:r>
      <w:r w:rsidRPr="00771E6E">
        <w:rPr>
          <w:color w:val="000000" w:themeColor="text1"/>
        </w:rPr>
        <w:t>breastfeeding, repeating exemplary anecdotes, studying history, and using inspiring images,</w:t>
      </w:r>
      <w:r w:rsidRPr="00771E6E">
        <w:rPr>
          <w:bCs/>
          <w:color w:val="000000" w:themeColor="text1"/>
        </w:rPr>
        <w:t xml:space="preserve"> morality could also be taught </w:t>
      </w:r>
      <w:r w:rsidRPr="00771E6E">
        <w:rPr>
          <w:color w:val="000000" w:themeColor="text1"/>
        </w:rPr>
        <w:t>through the understanding and practice of music</w:t>
      </w:r>
      <w:r w:rsidRPr="00771E6E">
        <w:rPr>
          <w:bCs/>
          <w:color w:val="000000" w:themeColor="text1"/>
        </w:rPr>
        <w:t xml:space="preserve">, based on the idea that </w:t>
      </w:r>
      <w:r w:rsidRPr="00771E6E">
        <w:rPr>
          <w:bCs/>
          <w:iCs/>
          <w:color w:val="000000" w:themeColor="text1"/>
        </w:rPr>
        <w:t xml:space="preserve">music had the ability to directly influence the </w:t>
      </w:r>
      <w:proofErr w:type="spellStart"/>
      <w:r w:rsidRPr="00771E6E">
        <w:rPr>
          <w:bCs/>
          <w:iCs/>
          <w:color w:val="000000" w:themeColor="text1"/>
        </w:rPr>
        <w:t>behaviour</w:t>
      </w:r>
      <w:proofErr w:type="spellEnd"/>
      <w:r w:rsidRPr="00771E6E">
        <w:rPr>
          <w:bCs/>
          <w:iCs/>
          <w:color w:val="000000" w:themeColor="text1"/>
        </w:rPr>
        <w:t xml:space="preserve"> of individuals.</w:t>
      </w:r>
      <w:r w:rsidRPr="00771E6E">
        <w:rPr>
          <w:bCs/>
          <w:color w:val="000000" w:themeColor="text1"/>
        </w:rPr>
        <w:t xml:space="preserve"> The first edition of </w:t>
      </w:r>
      <w:proofErr w:type="spellStart"/>
      <w:r w:rsidRPr="00771E6E">
        <w:rPr>
          <w:bCs/>
          <w:iCs/>
          <w:color w:val="000000" w:themeColor="text1"/>
        </w:rPr>
        <w:t>Gaffurius</w:t>
      </w:r>
      <w:proofErr w:type="spellEnd"/>
      <w:r w:rsidRPr="00771E6E">
        <w:rPr>
          <w:bCs/>
          <w:iCs/>
          <w:color w:val="000000" w:themeColor="text1"/>
        </w:rPr>
        <w:t>’ treatise, which was dedicated to the Duke of Milan, Ludovico Sforza, was printed in Milan in 1496 and would become tremendously influential over the next century.</w:t>
      </w:r>
      <w:r w:rsidRPr="00771E6E">
        <w:rPr>
          <w:rStyle w:val="FootnoteReference"/>
        </w:rPr>
        <w:footnoteReference w:id="179"/>
      </w:r>
      <w:r w:rsidRPr="00771E6E">
        <w:rPr>
          <w:bCs/>
          <w:iCs/>
          <w:color w:val="000000" w:themeColor="text1"/>
        </w:rPr>
        <w:t xml:space="preserve"> In this, and in his other works, </w:t>
      </w:r>
      <w:proofErr w:type="spellStart"/>
      <w:r w:rsidRPr="00771E6E">
        <w:rPr>
          <w:bCs/>
          <w:iCs/>
          <w:color w:val="000000" w:themeColor="text1"/>
        </w:rPr>
        <w:t>Gaffurius</w:t>
      </w:r>
      <w:proofErr w:type="spellEnd"/>
      <w:r w:rsidRPr="00771E6E">
        <w:rPr>
          <w:bCs/>
          <w:iCs/>
          <w:color w:val="000000" w:themeColor="text1"/>
        </w:rPr>
        <w:t xml:space="preserve"> borrows from ancient writers the idea that music could be used to affect the ethical education of human beings.</w:t>
      </w:r>
      <w:r w:rsidRPr="00771E6E">
        <w:rPr>
          <w:rStyle w:val="FootnoteReference"/>
        </w:rPr>
        <w:footnoteReference w:id="180"/>
      </w:r>
      <w:r w:rsidRPr="00771E6E">
        <w:rPr>
          <w:bCs/>
          <w:iCs/>
          <w:color w:val="000000" w:themeColor="text1"/>
        </w:rPr>
        <w:t xml:space="preserve"> In particular, he reports that the ancients </w:t>
      </w:r>
      <w:proofErr w:type="spellStart"/>
      <w:r w:rsidRPr="00771E6E">
        <w:rPr>
          <w:bCs/>
          <w:iCs/>
          <w:color w:val="000000" w:themeColor="text1"/>
        </w:rPr>
        <w:t>recognised</w:t>
      </w:r>
      <w:proofErr w:type="spellEnd"/>
      <w:r w:rsidRPr="00771E6E">
        <w:rPr>
          <w:bCs/>
          <w:iCs/>
          <w:color w:val="000000" w:themeColor="text1"/>
        </w:rPr>
        <w:t xml:space="preserve"> the importance of music and “cultivated it with the utmost zeal as the mother and nurse of morals.”</w:t>
      </w:r>
      <w:r w:rsidRPr="00771E6E">
        <w:rPr>
          <w:rStyle w:val="FootnoteReference"/>
        </w:rPr>
        <w:footnoteReference w:id="181"/>
      </w:r>
      <w:r w:rsidRPr="00771E6E">
        <w:rPr>
          <w:bCs/>
          <w:iCs/>
          <w:color w:val="000000" w:themeColor="text1"/>
        </w:rPr>
        <w:t xml:space="preserve"> This concept is restated by the author when writing about his own study of music, the aim of which was to “enhance character” (</w:t>
      </w:r>
      <w:proofErr w:type="spellStart"/>
      <w:r w:rsidRPr="00771E6E">
        <w:rPr>
          <w:bCs/>
          <w:i/>
          <w:iCs/>
          <w:color w:val="000000" w:themeColor="text1"/>
        </w:rPr>
        <w:t>moribus</w:t>
      </w:r>
      <w:proofErr w:type="spellEnd"/>
      <w:r w:rsidRPr="00771E6E">
        <w:rPr>
          <w:bCs/>
          <w:i/>
          <w:iCs/>
          <w:color w:val="000000" w:themeColor="text1"/>
        </w:rPr>
        <w:t xml:space="preserve"> </w:t>
      </w:r>
      <w:proofErr w:type="spellStart"/>
      <w:r w:rsidRPr="00771E6E">
        <w:rPr>
          <w:bCs/>
          <w:i/>
          <w:iCs/>
          <w:color w:val="000000" w:themeColor="text1"/>
        </w:rPr>
        <w:t>conferret</w:t>
      </w:r>
      <w:proofErr w:type="spellEnd"/>
      <w:r w:rsidRPr="00771E6E">
        <w:rPr>
          <w:bCs/>
          <w:iCs/>
          <w:color w:val="000000" w:themeColor="text1"/>
        </w:rPr>
        <w:t>).</w:t>
      </w:r>
      <w:r w:rsidRPr="00771E6E">
        <w:rPr>
          <w:rStyle w:val="FootnoteReference"/>
        </w:rPr>
        <w:footnoteReference w:id="182"/>
      </w:r>
      <w:r w:rsidRPr="00771E6E">
        <w:rPr>
          <w:bCs/>
          <w:iCs/>
          <w:color w:val="000000" w:themeColor="text1"/>
        </w:rPr>
        <w:t xml:space="preserve"> He then stipulates that music, unlike other merely theoretical disciplines, also has a practical application, and “is connected with morality” (</w:t>
      </w:r>
      <w:proofErr w:type="spellStart"/>
      <w:r w:rsidRPr="00771E6E">
        <w:rPr>
          <w:bCs/>
          <w:i/>
          <w:iCs/>
          <w:color w:val="000000" w:themeColor="text1"/>
        </w:rPr>
        <w:t>moralitatiq</w:t>
      </w:r>
      <w:proofErr w:type="spellEnd"/>
      <w:r w:rsidRPr="00771E6E">
        <w:rPr>
          <w:bCs/>
          <w:i/>
          <w:iCs/>
          <w:color w:val="000000" w:themeColor="text1"/>
        </w:rPr>
        <w:t>[</w:t>
      </w:r>
      <w:proofErr w:type="spellStart"/>
      <w:r w:rsidRPr="00771E6E">
        <w:rPr>
          <w:bCs/>
          <w:i/>
          <w:iCs/>
          <w:color w:val="000000" w:themeColor="text1"/>
        </w:rPr>
        <w:t>ue</w:t>
      </w:r>
      <w:proofErr w:type="spellEnd"/>
      <w:r w:rsidRPr="00771E6E">
        <w:rPr>
          <w:bCs/>
          <w:i/>
          <w:iCs/>
          <w:color w:val="000000" w:themeColor="text1"/>
        </w:rPr>
        <w:t xml:space="preserve">]… </w:t>
      </w:r>
      <w:proofErr w:type="spellStart"/>
      <w:r w:rsidRPr="00771E6E">
        <w:rPr>
          <w:bCs/>
          <w:i/>
          <w:iCs/>
          <w:color w:val="000000" w:themeColor="text1"/>
        </w:rPr>
        <w:t>est</w:t>
      </w:r>
      <w:proofErr w:type="spellEnd"/>
      <w:r w:rsidRPr="00771E6E">
        <w:rPr>
          <w:bCs/>
          <w:i/>
          <w:iCs/>
          <w:color w:val="000000" w:themeColor="text1"/>
        </w:rPr>
        <w:t xml:space="preserve"> co[n]</w:t>
      </w:r>
      <w:proofErr w:type="spellStart"/>
      <w:r w:rsidRPr="00771E6E">
        <w:rPr>
          <w:bCs/>
          <w:i/>
          <w:iCs/>
          <w:color w:val="000000" w:themeColor="text1"/>
        </w:rPr>
        <w:t>jungitur</w:t>
      </w:r>
      <w:proofErr w:type="spellEnd"/>
      <w:r w:rsidRPr="00771E6E">
        <w:rPr>
          <w:bCs/>
          <w:iCs/>
          <w:color w:val="000000" w:themeColor="text1"/>
        </w:rPr>
        <w:t>).</w:t>
      </w:r>
      <w:r w:rsidRPr="00771E6E">
        <w:rPr>
          <w:rStyle w:val="FootnoteReference"/>
        </w:rPr>
        <w:footnoteReference w:id="183"/>
      </w:r>
    </w:p>
    <w:p w14:paraId="29C19830" w14:textId="77777777" w:rsidR="001840E8" w:rsidRPr="00771E6E" w:rsidRDefault="001840E8" w:rsidP="001840E8">
      <w:pPr>
        <w:ind w:firstLine="720"/>
        <w:rPr>
          <w:bCs/>
          <w:iCs/>
          <w:color w:val="000000" w:themeColor="text1"/>
        </w:rPr>
      </w:pPr>
      <w:r w:rsidRPr="00771E6E">
        <w:t xml:space="preserve">Particularly important among the sources used by </w:t>
      </w:r>
      <w:proofErr w:type="spellStart"/>
      <w:r w:rsidRPr="00771E6E">
        <w:t>Gaffurius</w:t>
      </w:r>
      <w:proofErr w:type="spellEnd"/>
      <w:r w:rsidRPr="00771E6E">
        <w:t xml:space="preserve"> was Boethius’ </w:t>
      </w:r>
      <w:r w:rsidRPr="00771E6E">
        <w:rPr>
          <w:i/>
        </w:rPr>
        <w:t xml:space="preserve">De </w:t>
      </w:r>
      <w:proofErr w:type="spellStart"/>
      <w:r w:rsidRPr="00771E6E">
        <w:rPr>
          <w:i/>
        </w:rPr>
        <w:t>istitutione</w:t>
      </w:r>
      <w:proofErr w:type="spellEnd"/>
      <w:r w:rsidRPr="00771E6E">
        <w:rPr>
          <w:i/>
        </w:rPr>
        <w:t xml:space="preserve"> </w:t>
      </w:r>
      <w:proofErr w:type="spellStart"/>
      <w:r w:rsidRPr="00771E6E">
        <w:rPr>
          <w:i/>
        </w:rPr>
        <w:t>musica</w:t>
      </w:r>
      <w:proofErr w:type="spellEnd"/>
      <w:r w:rsidRPr="00771E6E">
        <w:t>.</w:t>
      </w:r>
      <w:r w:rsidRPr="00771E6E">
        <w:rPr>
          <w:rStyle w:val="FootnoteReference"/>
        </w:rPr>
        <w:footnoteReference w:id="184"/>
      </w:r>
      <w:r w:rsidRPr="00771E6E">
        <w:t xml:space="preserve"> Originally written at the beginning of the sixth century by a Roman patrician, this treatise had been the standard text for the understanding of music theory since the Carolingian period, and it </w:t>
      </w:r>
      <w:r w:rsidRPr="00771E6E">
        <w:rPr>
          <w:bCs/>
          <w:iCs/>
          <w:color w:val="000000" w:themeColor="text1"/>
        </w:rPr>
        <w:t xml:space="preserve">was also printed as part of Boethius’ </w:t>
      </w:r>
      <w:r w:rsidRPr="00771E6E">
        <w:rPr>
          <w:bCs/>
          <w:i/>
          <w:iCs/>
          <w:color w:val="000000" w:themeColor="text1"/>
        </w:rPr>
        <w:t xml:space="preserve">Opera </w:t>
      </w:r>
      <w:r w:rsidRPr="00771E6E">
        <w:rPr>
          <w:bCs/>
          <w:iCs/>
          <w:color w:val="000000" w:themeColor="text1"/>
        </w:rPr>
        <w:t>in Venice in 1491-92.</w:t>
      </w:r>
      <w:r w:rsidRPr="00771E6E">
        <w:rPr>
          <w:rStyle w:val="FootnoteReference"/>
        </w:rPr>
        <w:footnoteReference w:id="185"/>
      </w:r>
      <w:r w:rsidRPr="00771E6E">
        <w:rPr>
          <w:bCs/>
          <w:iCs/>
          <w:color w:val="000000" w:themeColor="text1"/>
        </w:rPr>
        <w:t xml:space="preserve"> Music, understood as a mathematical science, is described as “so naturally </w:t>
      </w:r>
      <w:r w:rsidRPr="00771E6E">
        <w:rPr>
          <w:bCs/>
          <w:iCs/>
          <w:color w:val="000000" w:themeColor="text1"/>
        </w:rPr>
        <w:lastRenderedPageBreak/>
        <w:t>united with us that we cannot be free from it even if we so desired.”</w:t>
      </w:r>
      <w:r w:rsidRPr="00771E6E">
        <w:rPr>
          <w:rStyle w:val="FootnoteReference"/>
        </w:rPr>
        <w:footnoteReference w:id="186"/>
      </w:r>
      <w:r w:rsidRPr="00771E6E">
        <w:rPr>
          <w:bCs/>
          <w:iCs/>
          <w:color w:val="000000" w:themeColor="text1"/>
        </w:rPr>
        <w:t xml:space="preserve"> In this text, Boethius differentiates music from the other three disciplines of the </w:t>
      </w:r>
      <w:r w:rsidRPr="00771E6E">
        <w:rPr>
          <w:bCs/>
          <w:i/>
          <w:iCs/>
          <w:color w:val="000000" w:themeColor="text1"/>
        </w:rPr>
        <w:t xml:space="preserve">quadrivium </w:t>
      </w:r>
      <w:r w:rsidRPr="00771E6E">
        <w:rPr>
          <w:bCs/>
          <w:iCs/>
          <w:color w:val="000000" w:themeColor="text1"/>
        </w:rPr>
        <w:t>(i.e. arithmetic, geometry and astronomy) because music was associated not only with mathematical principles, but also, and most importantly for us, with morality, “for nothing is more characteristic of human nature than to be soothed by pleasant modes or disturbed by their opposites.”</w:t>
      </w:r>
      <w:r w:rsidRPr="00771E6E">
        <w:rPr>
          <w:rStyle w:val="FootnoteReference"/>
        </w:rPr>
        <w:footnoteReference w:id="187"/>
      </w:r>
      <w:r w:rsidRPr="00771E6E">
        <w:rPr>
          <w:bCs/>
          <w:iCs/>
          <w:color w:val="000000" w:themeColor="text1"/>
        </w:rPr>
        <w:t xml:space="preserve"> Citing Plato, he goes on to state that human beings are attracted to music because they sense something similar to themselves in it, and this leads to “radical transformations in character” (</w:t>
      </w:r>
      <w:proofErr w:type="spellStart"/>
      <w:r w:rsidRPr="00771E6E">
        <w:rPr>
          <w:bCs/>
          <w:i/>
          <w:iCs/>
          <w:color w:val="000000" w:themeColor="text1"/>
        </w:rPr>
        <w:t>morum</w:t>
      </w:r>
      <w:proofErr w:type="spellEnd"/>
      <w:r w:rsidRPr="00771E6E">
        <w:rPr>
          <w:bCs/>
          <w:i/>
          <w:iCs/>
          <w:color w:val="000000" w:themeColor="text1"/>
        </w:rPr>
        <w:t xml:space="preserve"> quoque </w:t>
      </w:r>
      <w:proofErr w:type="spellStart"/>
      <w:r w:rsidRPr="00771E6E">
        <w:rPr>
          <w:bCs/>
          <w:i/>
          <w:iCs/>
          <w:color w:val="000000" w:themeColor="text1"/>
        </w:rPr>
        <w:t>maximae</w:t>
      </w:r>
      <w:proofErr w:type="spellEnd"/>
      <w:r w:rsidRPr="00771E6E">
        <w:rPr>
          <w:bCs/>
          <w:i/>
          <w:iCs/>
          <w:color w:val="000000" w:themeColor="text1"/>
        </w:rPr>
        <w:t xml:space="preserve"> permutations </w:t>
      </w:r>
      <w:proofErr w:type="spellStart"/>
      <w:r w:rsidRPr="00771E6E">
        <w:rPr>
          <w:bCs/>
          <w:i/>
          <w:iCs/>
          <w:color w:val="000000" w:themeColor="text1"/>
        </w:rPr>
        <w:t>fiunt</w:t>
      </w:r>
      <w:proofErr w:type="spellEnd"/>
      <w:r w:rsidRPr="00771E6E">
        <w:rPr>
          <w:bCs/>
          <w:iCs/>
          <w:color w:val="000000" w:themeColor="text1"/>
        </w:rPr>
        <w:t>), affecting their disposition, either in a positive or in a negative manner.</w:t>
      </w:r>
      <w:r w:rsidRPr="00771E6E">
        <w:rPr>
          <w:rStyle w:val="FootnoteReference"/>
        </w:rPr>
        <w:footnoteReference w:id="188"/>
      </w:r>
      <w:r w:rsidRPr="00771E6E">
        <w:rPr>
          <w:bCs/>
          <w:iCs/>
          <w:color w:val="000000" w:themeColor="text1"/>
        </w:rPr>
        <w:t xml:space="preserve"> The author then presents several examples from history of how music could calm or arouse the soul.</w:t>
      </w:r>
      <w:r w:rsidRPr="00771E6E">
        <w:rPr>
          <w:rStyle w:val="FootnoteReference"/>
        </w:rPr>
        <w:footnoteReference w:id="189"/>
      </w:r>
      <w:r w:rsidRPr="00771E6E">
        <w:rPr>
          <w:bCs/>
          <w:iCs/>
          <w:color w:val="000000" w:themeColor="text1"/>
        </w:rPr>
        <w:t xml:space="preserve"> </w:t>
      </w:r>
    </w:p>
    <w:p w14:paraId="02F82CE1" w14:textId="77777777" w:rsidR="001840E8" w:rsidRPr="00771E6E" w:rsidRDefault="001840E8" w:rsidP="001840E8">
      <w:pPr>
        <w:ind w:firstLine="720"/>
        <w:rPr>
          <w:bCs/>
          <w:iCs/>
          <w:color w:val="000000" w:themeColor="text1"/>
        </w:rPr>
      </w:pPr>
      <w:r w:rsidRPr="00771E6E">
        <w:rPr>
          <w:bCs/>
          <w:iCs/>
          <w:color w:val="000000" w:themeColor="text1"/>
        </w:rPr>
        <w:t>Boethius identified and described what he considered to be three different types of music: cosmic music</w:t>
      </w:r>
      <w:r w:rsidRPr="00771E6E">
        <w:rPr>
          <w:bCs/>
          <w:i/>
          <w:iCs/>
          <w:color w:val="000000" w:themeColor="text1"/>
        </w:rPr>
        <w:t xml:space="preserve"> </w:t>
      </w:r>
      <w:r w:rsidRPr="00771E6E">
        <w:rPr>
          <w:bCs/>
          <w:iCs/>
          <w:color w:val="000000" w:themeColor="text1"/>
        </w:rPr>
        <w:t>(</w:t>
      </w:r>
      <w:proofErr w:type="spellStart"/>
      <w:r w:rsidRPr="00771E6E">
        <w:rPr>
          <w:bCs/>
          <w:i/>
          <w:iCs/>
          <w:color w:val="000000" w:themeColor="text1"/>
        </w:rPr>
        <w:t>musica</w:t>
      </w:r>
      <w:proofErr w:type="spellEnd"/>
      <w:r w:rsidRPr="00771E6E">
        <w:rPr>
          <w:bCs/>
          <w:i/>
          <w:iCs/>
          <w:color w:val="000000" w:themeColor="text1"/>
        </w:rPr>
        <w:t xml:space="preserve"> </w:t>
      </w:r>
      <w:proofErr w:type="spellStart"/>
      <w:r w:rsidRPr="00771E6E">
        <w:rPr>
          <w:bCs/>
          <w:i/>
          <w:iCs/>
          <w:color w:val="000000" w:themeColor="text1"/>
        </w:rPr>
        <w:t>mundana</w:t>
      </w:r>
      <w:proofErr w:type="spellEnd"/>
      <w:r w:rsidRPr="00771E6E">
        <w:rPr>
          <w:bCs/>
          <w:iCs/>
          <w:color w:val="000000" w:themeColor="text1"/>
        </w:rPr>
        <w:t>), human music</w:t>
      </w:r>
      <w:r w:rsidRPr="00771E6E">
        <w:rPr>
          <w:bCs/>
          <w:i/>
          <w:iCs/>
          <w:color w:val="000000" w:themeColor="text1"/>
        </w:rPr>
        <w:t xml:space="preserve"> </w:t>
      </w:r>
      <w:r w:rsidRPr="00771E6E">
        <w:rPr>
          <w:bCs/>
          <w:iCs/>
          <w:color w:val="000000" w:themeColor="text1"/>
        </w:rPr>
        <w:t>(</w:t>
      </w:r>
      <w:proofErr w:type="spellStart"/>
      <w:r w:rsidRPr="00771E6E">
        <w:rPr>
          <w:bCs/>
          <w:i/>
          <w:iCs/>
          <w:color w:val="000000" w:themeColor="text1"/>
        </w:rPr>
        <w:t>musica</w:t>
      </w:r>
      <w:proofErr w:type="spellEnd"/>
      <w:r w:rsidRPr="00771E6E">
        <w:rPr>
          <w:bCs/>
          <w:i/>
          <w:iCs/>
          <w:color w:val="000000" w:themeColor="text1"/>
        </w:rPr>
        <w:t xml:space="preserve"> </w:t>
      </w:r>
      <w:proofErr w:type="spellStart"/>
      <w:r w:rsidRPr="00771E6E">
        <w:rPr>
          <w:bCs/>
          <w:i/>
          <w:iCs/>
          <w:color w:val="000000" w:themeColor="text1"/>
        </w:rPr>
        <w:t>humana</w:t>
      </w:r>
      <w:proofErr w:type="spellEnd"/>
      <w:r w:rsidRPr="00771E6E">
        <w:rPr>
          <w:bCs/>
          <w:iCs/>
          <w:color w:val="000000" w:themeColor="text1"/>
        </w:rPr>
        <w:t>) and instrumental music</w:t>
      </w:r>
      <w:r w:rsidRPr="00771E6E">
        <w:rPr>
          <w:bCs/>
          <w:i/>
          <w:iCs/>
          <w:color w:val="000000" w:themeColor="text1"/>
        </w:rPr>
        <w:t xml:space="preserve"> </w:t>
      </w:r>
      <w:r w:rsidRPr="00771E6E">
        <w:rPr>
          <w:bCs/>
          <w:iCs/>
          <w:color w:val="000000" w:themeColor="text1"/>
        </w:rPr>
        <w:t>(</w:t>
      </w:r>
      <w:proofErr w:type="spellStart"/>
      <w:r w:rsidRPr="00771E6E">
        <w:rPr>
          <w:bCs/>
          <w:i/>
          <w:iCs/>
          <w:color w:val="000000" w:themeColor="text1"/>
        </w:rPr>
        <w:t>musica</w:t>
      </w:r>
      <w:proofErr w:type="spellEnd"/>
      <w:r w:rsidRPr="00771E6E">
        <w:rPr>
          <w:bCs/>
          <w:i/>
          <w:iCs/>
          <w:color w:val="000000" w:themeColor="text1"/>
        </w:rPr>
        <w:t xml:space="preserve"> </w:t>
      </w:r>
      <w:proofErr w:type="spellStart"/>
      <w:r w:rsidRPr="00771E6E">
        <w:rPr>
          <w:bCs/>
          <w:i/>
          <w:iCs/>
          <w:color w:val="000000" w:themeColor="text1"/>
        </w:rPr>
        <w:t>quae</w:t>
      </w:r>
      <w:proofErr w:type="spellEnd"/>
      <w:r w:rsidRPr="00771E6E">
        <w:rPr>
          <w:bCs/>
          <w:i/>
          <w:iCs/>
          <w:color w:val="000000" w:themeColor="text1"/>
        </w:rPr>
        <w:t xml:space="preserve"> in </w:t>
      </w:r>
      <w:proofErr w:type="spellStart"/>
      <w:r w:rsidRPr="00771E6E">
        <w:rPr>
          <w:bCs/>
          <w:i/>
          <w:iCs/>
          <w:color w:val="000000" w:themeColor="text1"/>
        </w:rPr>
        <w:t>quibusdam</w:t>
      </w:r>
      <w:proofErr w:type="spellEnd"/>
      <w:r w:rsidRPr="00771E6E">
        <w:rPr>
          <w:bCs/>
          <w:i/>
          <w:iCs/>
          <w:color w:val="000000" w:themeColor="text1"/>
        </w:rPr>
        <w:t xml:space="preserve"> </w:t>
      </w:r>
      <w:proofErr w:type="spellStart"/>
      <w:r w:rsidRPr="00771E6E">
        <w:rPr>
          <w:bCs/>
          <w:i/>
          <w:iCs/>
          <w:color w:val="000000" w:themeColor="text1"/>
        </w:rPr>
        <w:t>constituta</w:t>
      </w:r>
      <w:proofErr w:type="spellEnd"/>
      <w:r w:rsidRPr="00771E6E">
        <w:rPr>
          <w:bCs/>
          <w:i/>
          <w:iCs/>
          <w:color w:val="000000" w:themeColor="text1"/>
        </w:rPr>
        <w:t xml:space="preserve"> </w:t>
      </w:r>
      <w:proofErr w:type="spellStart"/>
      <w:r w:rsidRPr="00771E6E">
        <w:rPr>
          <w:bCs/>
          <w:i/>
          <w:iCs/>
          <w:color w:val="000000" w:themeColor="text1"/>
        </w:rPr>
        <w:t>est</w:t>
      </w:r>
      <w:proofErr w:type="spellEnd"/>
      <w:r w:rsidRPr="00771E6E">
        <w:rPr>
          <w:bCs/>
          <w:i/>
          <w:iCs/>
          <w:color w:val="000000" w:themeColor="text1"/>
        </w:rPr>
        <w:t xml:space="preserve"> </w:t>
      </w:r>
      <w:proofErr w:type="spellStart"/>
      <w:r w:rsidRPr="00771E6E">
        <w:rPr>
          <w:bCs/>
          <w:i/>
          <w:iCs/>
          <w:color w:val="000000" w:themeColor="text1"/>
        </w:rPr>
        <w:t>instrumentis</w:t>
      </w:r>
      <w:proofErr w:type="spellEnd"/>
      <w:r w:rsidRPr="00771E6E">
        <w:rPr>
          <w:bCs/>
          <w:iCs/>
          <w:color w:val="000000" w:themeColor="text1"/>
        </w:rPr>
        <w:t>).</w:t>
      </w:r>
      <w:r w:rsidRPr="00771E6E">
        <w:rPr>
          <w:rStyle w:val="FootnoteReference"/>
        </w:rPr>
        <w:footnoteReference w:id="190"/>
      </w:r>
      <w:r w:rsidRPr="00771E6E">
        <w:rPr>
          <w:bCs/>
          <w:iCs/>
          <w:color w:val="000000" w:themeColor="text1"/>
        </w:rPr>
        <w:t xml:space="preserve"> The first is the music produced by heavenly bodies, the second can be perceived by discerning one’s inner self and soul, while the third is found in instruments, and is produced by strings, breath and percussion.</w:t>
      </w:r>
      <w:r w:rsidRPr="00771E6E">
        <w:rPr>
          <w:rStyle w:val="FootnoteReference"/>
        </w:rPr>
        <w:footnoteReference w:id="191"/>
      </w:r>
      <w:r w:rsidRPr="00771E6E">
        <w:rPr>
          <w:bCs/>
          <w:iCs/>
          <w:color w:val="000000" w:themeColor="text1"/>
        </w:rPr>
        <w:t xml:space="preserve"> For the purpose of this study the notion of </w:t>
      </w:r>
      <w:proofErr w:type="spellStart"/>
      <w:r w:rsidRPr="00771E6E">
        <w:rPr>
          <w:bCs/>
          <w:i/>
          <w:iCs/>
          <w:color w:val="000000" w:themeColor="text1"/>
        </w:rPr>
        <w:t>musica</w:t>
      </w:r>
      <w:proofErr w:type="spellEnd"/>
      <w:r w:rsidRPr="00771E6E">
        <w:rPr>
          <w:bCs/>
          <w:i/>
          <w:iCs/>
          <w:color w:val="000000" w:themeColor="text1"/>
        </w:rPr>
        <w:t xml:space="preserve"> </w:t>
      </w:r>
      <w:proofErr w:type="spellStart"/>
      <w:r w:rsidRPr="00771E6E">
        <w:rPr>
          <w:bCs/>
          <w:i/>
          <w:iCs/>
          <w:color w:val="000000" w:themeColor="text1"/>
        </w:rPr>
        <w:t>humana</w:t>
      </w:r>
      <w:proofErr w:type="spellEnd"/>
      <w:r w:rsidRPr="00771E6E">
        <w:rPr>
          <w:bCs/>
          <w:i/>
          <w:iCs/>
          <w:color w:val="000000" w:themeColor="text1"/>
        </w:rPr>
        <w:t xml:space="preserve"> </w:t>
      </w:r>
      <w:r w:rsidRPr="00771E6E">
        <w:rPr>
          <w:bCs/>
          <w:iCs/>
          <w:color w:val="000000" w:themeColor="text1"/>
        </w:rPr>
        <w:t>is particularly important, for Boethius describes it as the harmony (</w:t>
      </w:r>
      <w:proofErr w:type="spellStart"/>
      <w:r w:rsidRPr="00771E6E">
        <w:rPr>
          <w:bCs/>
          <w:i/>
          <w:iCs/>
          <w:color w:val="000000" w:themeColor="text1"/>
        </w:rPr>
        <w:t>coaptatio</w:t>
      </w:r>
      <w:proofErr w:type="spellEnd"/>
      <w:r w:rsidRPr="00771E6E">
        <w:rPr>
          <w:bCs/>
          <w:iCs/>
          <w:color w:val="000000" w:themeColor="text1"/>
        </w:rPr>
        <w:t>)</w:t>
      </w:r>
      <w:r w:rsidRPr="00771E6E">
        <w:rPr>
          <w:bCs/>
          <w:i/>
          <w:iCs/>
          <w:color w:val="000000" w:themeColor="text1"/>
        </w:rPr>
        <w:t xml:space="preserve"> </w:t>
      </w:r>
      <w:r w:rsidRPr="00771E6E">
        <w:rPr>
          <w:bCs/>
          <w:iCs/>
          <w:color w:val="000000" w:themeColor="text1"/>
        </w:rPr>
        <w:t>that “unites the incorporeal nature of reason with the body.”</w:t>
      </w:r>
      <w:r w:rsidRPr="00771E6E">
        <w:rPr>
          <w:rStyle w:val="FootnoteReference"/>
        </w:rPr>
        <w:footnoteReference w:id="192"/>
      </w:r>
      <w:r w:rsidRPr="00771E6E">
        <w:rPr>
          <w:bCs/>
          <w:iCs/>
          <w:color w:val="000000" w:themeColor="text1"/>
        </w:rPr>
        <w:t xml:space="preserve"> Therefore, the notion of </w:t>
      </w:r>
      <w:r w:rsidRPr="00771E6E">
        <w:rPr>
          <w:bCs/>
          <w:i/>
          <w:iCs/>
          <w:color w:val="000000" w:themeColor="text1"/>
        </w:rPr>
        <w:t xml:space="preserve">music </w:t>
      </w:r>
      <w:proofErr w:type="spellStart"/>
      <w:r w:rsidRPr="00771E6E">
        <w:rPr>
          <w:bCs/>
          <w:i/>
          <w:iCs/>
          <w:color w:val="000000" w:themeColor="text1"/>
        </w:rPr>
        <w:t>humana</w:t>
      </w:r>
      <w:proofErr w:type="spellEnd"/>
      <w:r w:rsidRPr="00771E6E">
        <w:rPr>
          <w:bCs/>
          <w:i/>
          <w:iCs/>
          <w:color w:val="000000" w:themeColor="text1"/>
        </w:rPr>
        <w:t xml:space="preserve"> </w:t>
      </w:r>
      <w:r w:rsidRPr="00771E6E">
        <w:rPr>
          <w:bCs/>
          <w:iCs/>
          <w:color w:val="000000" w:themeColor="text1"/>
        </w:rPr>
        <w:t xml:space="preserve">is charged with ethical significance, having the purpose of attaining a virtuous life through the </w:t>
      </w:r>
      <w:proofErr w:type="spellStart"/>
      <w:r w:rsidRPr="00771E6E">
        <w:rPr>
          <w:bCs/>
          <w:iCs/>
          <w:color w:val="000000" w:themeColor="text1"/>
        </w:rPr>
        <w:t>harmonisation</w:t>
      </w:r>
      <w:proofErr w:type="spellEnd"/>
      <w:r w:rsidRPr="00771E6E">
        <w:rPr>
          <w:bCs/>
          <w:iCs/>
          <w:color w:val="000000" w:themeColor="text1"/>
        </w:rPr>
        <w:t xml:space="preserve"> of the body with the soul.</w:t>
      </w:r>
      <w:r w:rsidRPr="00771E6E">
        <w:rPr>
          <w:rStyle w:val="FootnoteReference"/>
        </w:rPr>
        <w:footnoteReference w:id="193"/>
      </w:r>
      <w:r w:rsidRPr="00771E6E">
        <w:rPr>
          <w:bCs/>
          <w:iCs/>
          <w:color w:val="000000" w:themeColor="text1"/>
        </w:rPr>
        <w:t xml:space="preserve"> This led to the idea that the human voice, the sounding instrument of divine creation, was worthy of being part of </w:t>
      </w:r>
      <w:proofErr w:type="spellStart"/>
      <w:r w:rsidRPr="00771E6E">
        <w:rPr>
          <w:bCs/>
          <w:i/>
          <w:iCs/>
          <w:color w:val="000000" w:themeColor="text1"/>
        </w:rPr>
        <w:t>musica</w:t>
      </w:r>
      <w:proofErr w:type="spellEnd"/>
      <w:r w:rsidRPr="00771E6E">
        <w:rPr>
          <w:bCs/>
          <w:i/>
          <w:iCs/>
          <w:color w:val="000000" w:themeColor="text1"/>
        </w:rPr>
        <w:t xml:space="preserve"> </w:t>
      </w:r>
      <w:proofErr w:type="spellStart"/>
      <w:r w:rsidRPr="00771E6E">
        <w:rPr>
          <w:bCs/>
          <w:i/>
          <w:iCs/>
          <w:color w:val="000000" w:themeColor="text1"/>
        </w:rPr>
        <w:t>humana</w:t>
      </w:r>
      <w:proofErr w:type="spellEnd"/>
      <w:r w:rsidRPr="00771E6E">
        <w:rPr>
          <w:bCs/>
          <w:iCs/>
          <w:color w:val="000000" w:themeColor="text1"/>
        </w:rPr>
        <w:t>, and that singing was the highest perceivable form of music.</w:t>
      </w:r>
      <w:r w:rsidRPr="00771E6E">
        <w:rPr>
          <w:rStyle w:val="FootnoteReference"/>
        </w:rPr>
        <w:footnoteReference w:id="194"/>
      </w:r>
    </w:p>
    <w:p w14:paraId="05DE5323" w14:textId="77777777" w:rsidR="001840E8" w:rsidRPr="00771E6E" w:rsidRDefault="001840E8" w:rsidP="001840E8">
      <w:pPr>
        <w:ind w:firstLine="720"/>
      </w:pPr>
      <w:r w:rsidRPr="00771E6E">
        <w:rPr>
          <w:bCs/>
          <w:iCs/>
          <w:color w:val="000000" w:themeColor="text1"/>
        </w:rPr>
        <w:lastRenderedPageBreak/>
        <w:t xml:space="preserve">The concept that music is capable of inducing specific feelings in its listeners is echoed in the writings of </w:t>
      </w:r>
      <w:proofErr w:type="spellStart"/>
      <w:r w:rsidRPr="00771E6E">
        <w:rPr>
          <w:bCs/>
          <w:iCs/>
          <w:color w:val="000000" w:themeColor="text1"/>
        </w:rPr>
        <w:t>Marsilio</w:t>
      </w:r>
      <w:proofErr w:type="spellEnd"/>
      <w:r w:rsidRPr="00771E6E">
        <w:rPr>
          <w:bCs/>
          <w:iCs/>
          <w:color w:val="000000" w:themeColor="text1"/>
        </w:rPr>
        <w:t xml:space="preserve"> Ficino, who was himself a musician.</w:t>
      </w:r>
      <w:r w:rsidRPr="00771E6E">
        <w:rPr>
          <w:rStyle w:val="FootnoteReference"/>
        </w:rPr>
        <w:footnoteReference w:id="195"/>
      </w:r>
      <w:r w:rsidRPr="00771E6E">
        <w:rPr>
          <w:bCs/>
          <w:iCs/>
          <w:color w:val="000000" w:themeColor="text1"/>
        </w:rPr>
        <w:t xml:space="preserve"> In his </w:t>
      </w:r>
      <w:r w:rsidRPr="00771E6E">
        <w:rPr>
          <w:bCs/>
          <w:i/>
          <w:iCs/>
          <w:color w:val="000000" w:themeColor="text1"/>
        </w:rPr>
        <w:t xml:space="preserve">De vita libri </w:t>
      </w:r>
      <w:proofErr w:type="spellStart"/>
      <w:r w:rsidRPr="00771E6E">
        <w:rPr>
          <w:bCs/>
          <w:i/>
          <w:iCs/>
          <w:color w:val="000000" w:themeColor="text1"/>
        </w:rPr>
        <w:t>tres</w:t>
      </w:r>
      <w:proofErr w:type="spellEnd"/>
      <w:r w:rsidRPr="00771E6E">
        <w:rPr>
          <w:bCs/>
          <w:iCs/>
          <w:color w:val="000000" w:themeColor="text1"/>
        </w:rPr>
        <w:t xml:space="preserve"> (Three books on life), </w:t>
      </w:r>
      <w:r w:rsidRPr="00771E6E">
        <w:t xml:space="preserve">written in 1489 and published several times in Italy from 1490 onwards, Ficino gives music the role of mediator between the body, the soul and the universe, which were thought to correspond to one another by virtue of harmony and movement. The twenty-first chapter of the third book is devoted entirely to the way in which songs should be used in conjunction with astrological knowledge in order to attract </w:t>
      </w:r>
      <w:proofErr w:type="spellStart"/>
      <w:r w:rsidRPr="00771E6E">
        <w:t>favourable</w:t>
      </w:r>
      <w:proofErr w:type="spellEnd"/>
      <w:r w:rsidRPr="00771E6E">
        <w:t xml:space="preserve"> heavenly influence. </w:t>
      </w:r>
      <w:r w:rsidRPr="00771E6E">
        <w:rPr>
          <w:bCs/>
          <w:iCs/>
          <w:color w:val="000000" w:themeColor="text1"/>
        </w:rPr>
        <w:t xml:space="preserve">Ficino outlines some rules to follow in order to </w:t>
      </w:r>
      <w:proofErr w:type="spellStart"/>
      <w:r w:rsidRPr="00771E6E">
        <w:rPr>
          <w:bCs/>
          <w:iCs/>
          <w:color w:val="000000" w:themeColor="text1"/>
        </w:rPr>
        <w:t>harmonise</w:t>
      </w:r>
      <w:proofErr w:type="spellEnd"/>
      <w:r w:rsidRPr="00771E6E">
        <w:rPr>
          <w:bCs/>
          <w:iCs/>
          <w:color w:val="000000" w:themeColor="text1"/>
        </w:rPr>
        <w:t xml:space="preserve"> tunes to corresponding stars, so that a “celestial power” (</w:t>
      </w:r>
      <w:proofErr w:type="spellStart"/>
      <w:r w:rsidRPr="00771E6E">
        <w:rPr>
          <w:bCs/>
          <w:i/>
          <w:iCs/>
          <w:color w:val="000000" w:themeColor="text1"/>
        </w:rPr>
        <w:t>coelestem</w:t>
      </w:r>
      <w:proofErr w:type="spellEnd"/>
      <w:r w:rsidRPr="00771E6E">
        <w:rPr>
          <w:bCs/>
          <w:i/>
          <w:iCs/>
          <w:color w:val="000000" w:themeColor="text1"/>
        </w:rPr>
        <w:t xml:space="preserve"> </w:t>
      </w:r>
      <w:proofErr w:type="spellStart"/>
      <w:r w:rsidRPr="00771E6E">
        <w:rPr>
          <w:bCs/>
          <w:i/>
          <w:iCs/>
          <w:color w:val="000000" w:themeColor="text1"/>
        </w:rPr>
        <w:t>virtutem</w:t>
      </w:r>
      <w:proofErr w:type="spellEnd"/>
      <w:r w:rsidRPr="00771E6E">
        <w:rPr>
          <w:bCs/>
          <w:iCs/>
          <w:color w:val="000000" w:themeColor="text1"/>
        </w:rPr>
        <w:t>)</w:t>
      </w:r>
      <w:r w:rsidRPr="00771E6E">
        <w:rPr>
          <w:bCs/>
          <w:i/>
          <w:iCs/>
          <w:color w:val="000000" w:themeColor="text1"/>
        </w:rPr>
        <w:t xml:space="preserve"> </w:t>
      </w:r>
      <w:r w:rsidRPr="00771E6E">
        <w:rPr>
          <w:bCs/>
          <w:iCs/>
          <w:color w:val="000000" w:themeColor="text1"/>
        </w:rPr>
        <w:t>can be invoked by imitating them in music.</w:t>
      </w:r>
      <w:r w:rsidRPr="00771E6E">
        <w:rPr>
          <w:rStyle w:val="FootnoteReference"/>
        </w:rPr>
        <w:footnoteReference w:id="196"/>
      </w:r>
      <w:r w:rsidRPr="00771E6E">
        <w:rPr>
          <w:bCs/>
          <w:iCs/>
          <w:color w:val="000000" w:themeColor="text1"/>
        </w:rPr>
        <w:t xml:space="preserve"> He goes on to state that song, being a powerful means of imitation, “wonderfully arouses our spirit upwards to the celestial influence and the celestial influence downwards to our spirit.”</w:t>
      </w:r>
      <w:r w:rsidRPr="00771E6E">
        <w:rPr>
          <w:rStyle w:val="FootnoteReference"/>
        </w:rPr>
        <w:footnoteReference w:id="197"/>
      </w:r>
      <w:r w:rsidRPr="00771E6E">
        <w:rPr>
          <w:bCs/>
          <w:iCs/>
          <w:color w:val="000000" w:themeColor="text1"/>
        </w:rPr>
        <w:t xml:space="preserve"> Ficino continues by bestowing music </w:t>
      </w:r>
      <w:r w:rsidRPr="00771E6E">
        <w:t>with a healing power that goes even further than medicine, and becomes divine.</w:t>
      </w:r>
      <w:r w:rsidRPr="00771E6E">
        <w:rPr>
          <w:rStyle w:val="FootnoteReference"/>
        </w:rPr>
        <w:footnoteReference w:id="198"/>
      </w:r>
      <w:r w:rsidRPr="00771E6E">
        <w:t xml:space="preserve"> </w:t>
      </w:r>
    </w:p>
    <w:p w14:paraId="3D281D51" w14:textId="77777777" w:rsidR="001840E8" w:rsidRPr="00771E6E" w:rsidRDefault="001840E8" w:rsidP="001840E8">
      <w:pPr>
        <w:ind w:firstLine="720"/>
      </w:pPr>
      <w:r w:rsidRPr="00771E6E">
        <w:t xml:space="preserve">According to Ficino’s theories, through music a musician’s soul would be drawn closer to the divine harmony, and this energy would be then transmitted to the musician’s listeners. Music was therefore thought to be useful in inducing sympathetic responses among the heavens, the soul and audible music, which would resonate powerfully together. The impact that music was thought to have on the human soul is perhaps best explained in Ficino’s letter </w:t>
      </w:r>
      <w:r w:rsidRPr="00771E6E">
        <w:rPr>
          <w:i/>
        </w:rPr>
        <w:t xml:space="preserve">De </w:t>
      </w:r>
      <w:proofErr w:type="spellStart"/>
      <w:r w:rsidRPr="00771E6E">
        <w:rPr>
          <w:i/>
        </w:rPr>
        <w:t>divino</w:t>
      </w:r>
      <w:proofErr w:type="spellEnd"/>
      <w:r w:rsidRPr="00771E6E">
        <w:rPr>
          <w:i/>
        </w:rPr>
        <w:t xml:space="preserve"> </w:t>
      </w:r>
      <w:proofErr w:type="spellStart"/>
      <w:r w:rsidRPr="00771E6E">
        <w:rPr>
          <w:i/>
        </w:rPr>
        <w:t>furore</w:t>
      </w:r>
      <w:proofErr w:type="spellEnd"/>
      <w:r w:rsidRPr="00771E6E">
        <w:rPr>
          <w:i/>
        </w:rPr>
        <w:t xml:space="preserve"> </w:t>
      </w:r>
      <w:r w:rsidRPr="00771E6E">
        <w:t xml:space="preserve">addressed to the poet </w:t>
      </w:r>
      <w:proofErr w:type="spellStart"/>
      <w:r w:rsidRPr="00771E6E">
        <w:t>Peregrino</w:t>
      </w:r>
      <w:proofErr w:type="spellEnd"/>
      <w:r w:rsidRPr="00771E6E">
        <w:t xml:space="preserve"> </w:t>
      </w:r>
      <w:proofErr w:type="spellStart"/>
      <w:r w:rsidRPr="00771E6E">
        <w:t>Agli</w:t>
      </w:r>
      <w:proofErr w:type="spellEnd"/>
      <w:r w:rsidRPr="00771E6E">
        <w:t xml:space="preserve">, in which he states that, </w:t>
      </w:r>
    </w:p>
    <w:p w14:paraId="46F96E5A" w14:textId="77777777" w:rsidR="001840E8" w:rsidRPr="00771E6E" w:rsidRDefault="001840E8" w:rsidP="001840E8">
      <w:pPr>
        <w:ind w:firstLine="720"/>
      </w:pPr>
    </w:p>
    <w:p w14:paraId="6A0B5D9E" w14:textId="77777777" w:rsidR="001840E8" w:rsidRPr="00771E6E" w:rsidRDefault="001840E8" w:rsidP="00AF799D">
      <w:pPr>
        <w:pStyle w:val="IntenseQuote"/>
      </w:pPr>
      <w:r w:rsidRPr="00771E6E">
        <w:t>By the ears … the soul receives the echoes of that incomparable music, by which it is led back to the deep and silent memory of the harmony which it previously enjoyed. The whole soul then kindles with desire to fly back to its rightful home, so that it may enjoy that true music again.</w:t>
      </w:r>
      <w:r w:rsidRPr="00771E6E">
        <w:rPr>
          <w:rStyle w:val="FootnoteReference"/>
        </w:rPr>
        <w:footnoteReference w:id="199"/>
      </w:r>
    </w:p>
    <w:p w14:paraId="511357F4" w14:textId="77777777" w:rsidR="001840E8" w:rsidRPr="00771E6E" w:rsidRDefault="001840E8" w:rsidP="001840E8"/>
    <w:p w14:paraId="6E221882" w14:textId="77777777" w:rsidR="001840E8" w:rsidRPr="00771E6E" w:rsidRDefault="001840E8" w:rsidP="001840E8">
      <w:r w:rsidRPr="00771E6E">
        <w:t xml:space="preserve">In another letter, entitled </w:t>
      </w:r>
      <w:r w:rsidRPr="00771E6E">
        <w:rPr>
          <w:i/>
        </w:rPr>
        <w:t xml:space="preserve">De </w:t>
      </w:r>
      <w:proofErr w:type="spellStart"/>
      <w:r w:rsidRPr="00771E6E">
        <w:rPr>
          <w:i/>
        </w:rPr>
        <w:t>musica</w:t>
      </w:r>
      <w:proofErr w:type="spellEnd"/>
      <w:r w:rsidRPr="00771E6E">
        <w:t xml:space="preserve">, written to Antonio </w:t>
      </w:r>
      <w:proofErr w:type="spellStart"/>
      <w:r w:rsidRPr="00771E6E">
        <w:t>Canigiani</w:t>
      </w:r>
      <w:proofErr w:type="spellEnd"/>
      <w:r w:rsidRPr="00771E6E">
        <w:t xml:space="preserve">, Ficino explains that, </w:t>
      </w:r>
    </w:p>
    <w:p w14:paraId="2D133082" w14:textId="77777777" w:rsidR="001840E8" w:rsidRPr="00771E6E" w:rsidRDefault="001840E8" w:rsidP="001840E8">
      <w:pPr>
        <w:ind w:left="709" w:firstLine="11"/>
      </w:pPr>
    </w:p>
    <w:p w14:paraId="5438B9AD" w14:textId="77777777" w:rsidR="001840E8" w:rsidRPr="00771E6E" w:rsidRDefault="001840E8" w:rsidP="00AF799D">
      <w:pPr>
        <w:pStyle w:val="IntenseQuote"/>
      </w:pPr>
      <w:r w:rsidRPr="00771E6E">
        <w:t xml:space="preserve">Sound and song arise from consideration in the mind, the impulse of fantasy and the desire of the heart, and in disturbing the air and lending measure to it they vibrate the airy spirit of the listener, which is the link between body and soul. Thus, sound and song easily arouse the fantasy, affect the heart and reach the inmost recesses of the mind; they still, and also set in motion, the </w:t>
      </w:r>
      <w:proofErr w:type="spellStart"/>
      <w:r w:rsidRPr="00771E6E">
        <w:t>humours</w:t>
      </w:r>
      <w:proofErr w:type="spellEnd"/>
      <w:r w:rsidRPr="00771E6E">
        <w:t xml:space="preserve"> and the limbs of the body.</w:t>
      </w:r>
      <w:r w:rsidRPr="00771E6E">
        <w:rPr>
          <w:rStyle w:val="FootnoteReference"/>
        </w:rPr>
        <w:footnoteReference w:id="200"/>
      </w:r>
    </w:p>
    <w:p w14:paraId="1F380282" w14:textId="77777777" w:rsidR="001840E8" w:rsidRPr="00771E6E" w:rsidRDefault="001840E8" w:rsidP="001840E8">
      <w:pPr>
        <w:ind w:left="709" w:firstLine="11"/>
      </w:pPr>
    </w:p>
    <w:p w14:paraId="42C4F4D7" w14:textId="77777777" w:rsidR="001840E8" w:rsidRPr="00771E6E" w:rsidRDefault="001840E8" w:rsidP="001840E8">
      <w:pPr>
        <w:rPr>
          <w:color w:val="141414"/>
        </w:rPr>
      </w:pPr>
      <w:r w:rsidRPr="00771E6E">
        <w:t>Ficino was able to read ancient Greek sources directly, and between 1464 and 1469 he translated the entire body of Plato’s work into Latin, which was published for the first time and made available to the public in 1484.</w:t>
      </w:r>
      <w:r w:rsidRPr="00771E6E">
        <w:rPr>
          <w:rStyle w:val="FootnoteReference"/>
        </w:rPr>
        <w:footnoteReference w:id="201"/>
      </w:r>
      <w:r w:rsidRPr="00771E6E">
        <w:t xml:space="preserve"> Plato was one of the ancient sources most often cited by late fifteenth- and sixteenth-century scholars and, in his writing, it is again possible to detect references to the link between music and morality, such as the power that music was believed to have in moral education. For example, in the third book of his </w:t>
      </w:r>
      <w:r w:rsidRPr="00771E6E">
        <w:rPr>
          <w:i/>
        </w:rPr>
        <w:t>Republic</w:t>
      </w:r>
      <w:r w:rsidRPr="00771E6E">
        <w:t>, Plato states that “rhythm and harmony most of all insinuate themselves into the inmost part of the soul … and they make a man graceful if he is correctly reared, if not, the opposite.”</w:t>
      </w:r>
      <w:r w:rsidRPr="00771E6E">
        <w:rPr>
          <w:rStyle w:val="FootnoteReference"/>
        </w:rPr>
        <w:footnoteReference w:id="202"/>
      </w:r>
      <w:r w:rsidRPr="00771E6E">
        <w:t xml:space="preserve"> Plato reiterates these concepts in the second book of his </w:t>
      </w:r>
      <w:r w:rsidRPr="00771E6E">
        <w:rPr>
          <w:i/>
        </w:rPr>
        <w:t>Laws</w:t>
      </w:r>
      <w:r w:rsidRPr="00771E6E">
        <w:t>, in which he again confirms the central role played by music in the upbringing of children, declaring that “</w:t>
      </w:r>
      <w:proofErr w:type="spellStart"/>
      <w:r w:rsidRPr="00771E6E">
        <w:rPr>
          <w:color w:val="141414"/>
        </w:rPr>
        <w:t>choristry</w:t>
      </w:r>
      <w:proofErr w:type="spellEnd"/>
      <w:r w:rsidRPr="00771E6E">
        <w:rPr>
          <w:color w:val="141414"/>
        </w:rPr>
        <w:t xml:space="preserve"> as a whole is identical with education as a whole.”</w:t>
      </w:r>
      <w:r w:rsidRPr="00771E6E">
        <w:rPr>
          <w:rStyle w:val="FootnoteReference"/>
        </w:rPr>
        <w:footnoteReference w:id="203"/>
      </w:r>
    </w:p>
    <w:p w14:paraId="18F1BE1D" w14:textId="77777777" w:rsidR="001840E8" w:rsidRPr="00771E6E" w:rsidRDefault="001840E8" w:rsidP="001840E8">
      <w:pPr>
        <w:ind w:firstLine="720"/>
      </w:pPr>
      <w:r w:rsidRPr="00771E6E">
        <w:rPr>
          <w:color w:val="141414"/>
        </w:rPr>
        <w:t xml:space="preserve">Along with Plato, other popular authorities on music included Aristotle and his </w:t>
      </w:r>
      <w:r w:rsidRPr="00771E6E">
        <w:rPr>
          <w:i/>
          <w:color w:val="141414"/>
        </w:rPr>
        <w:t>Politics</w:t>
      </w:r>
      <w:r w:rsidRPr="00771E6E">
        <w:rPr>
          <w:color w:val="141414"/>
        </w:rPr>
        <w:t>,</w:t>
      </w:r>
      <w:r w:rsidRPr="00771E6E">
        <w:rPr>
          <w:rStyle w:val="FootnoteReference"/>
        </w:rPr>
        <w:footnoteReference w:id="204"/>
      </w:r>
      <w:r w:rsidRPr="00771E6E">
        <w:rPr>
          <w:color w:val="141414"/>
        </w:rPr>
        <w:t xml:space="preserve"> as well as Biblical accounts, such as the episode in which </w:t>
      </w:r>
      <w:r w:rsidRPr="00771E6E">
        <w:t>the skilled lyre-player David was sent to play for Saul to relieve his torment (Samuel</w:t>
      </w:r>
      <w:r w:rsidRPr="00771E6E">
        <w:rPr>
          <w:i/>
        </w:rPr>
        <w:t xml:space="preserve"> </w:t>
      </w:r>
      <w:r w:rsidRPr="00771E6E">
        <w:t xml:space="preserve">I,16: 14-23), and the book of </w:t>
      </w:r>
      <w:r w:rsidRPr="00771E6E">
        <w:rPr>
          <w:i/>
        </w:rPr>
        <w:t>Psalms</w:t>
      </w:r>
      <w:r w:rsidRPr="00771E6E">
        <w:t xml:space="preserve">, which includes one hundred and fifty songs thought to be composed by David himself, and were used extensively by Renaissance writers to corroborate the importance of music. Both humanists and musical professionals repeated these ideas without question and quoted them in their writing to support their own theories. </w:t>
      </w:r>
    </w:p>
    <w:p w14:paraId="0D17287E" w14:textId="77777777" w:rsidR="001840E8" w:rsidRPr="00771E6E" w:rsidRDefault="001840E8" w:rsidP="001840E8">
      <w:pPr>
        <w:tabs>
          <w:tab w:val="left" w:pos="1311"/>
        </w:tabs>
        <w:ind w:firstLine="709"/>
        <w:rPr>
          <w:color w:val="141414"/>
        </w:rPr>
      </w:pPr>
      <w:r w:rsidRPr="00771E6E">
        <w:rPr>
          <w:bCs/>
          <w:iCs/>
          <w:color w:val="000000" w:themeColor="text1"/>
        </w:rPr>
        <w:lastRenderedPageBreak/>
        <w:t>Starting from Plato’s ideas, Ficino interpreted music produced by human beings (both vocal and instrumental) as an imitation of divine music (of God and the celestial spheres).</w:t>
      </w:r>
      <w:r w:rsidRPr="00771E6E">
        <w:rPr>
          <w:rStyle w:val="FootnoteReference"/>
        </w:rPr>
        <w:footnoteReference w:id="205"/>
      </w:r>
      <w:r w:rsidRPr="00771E6E">
        <w:rPr>
          <w:bCs/>
          <w:iCs/>
          <w:color w:val="000000" w:themeColor="text1"/>
        </w:rPr>
        <w:t xml:space="preserve"> This view also echoes Saint Augustine’s ideas as expressed in his treatise </w:t>
      </w:r>
      <w:r w:rsidRPr="00771E6E">
        <w:rPr>
          <w:bCs/>
          <w:i/>
          <w:iCs/>
          <w:color w:val="000000" w:themeColor="text1"/>
        </w:rPr>
        <w:t xml:space="preserve">De </w:t>
      </w:r>
      <w:proofErr w:type="spellStart"/>
      <w:r w:rsidRPr="00771E6E">
        <w:rPr>
          <w:bCs/>
          <w:i/>
          <w:iCs/>
          <w:color w:val="000000" w:themeColor="text1"/>
        </w:rPr>
        <w:t>Musica</w:t>
      </w:r>
      <w:proofErr w:type="spellEnd"/>
      <w:r w:rsidRPr="00771E6E">
        <w:rPr>
          <w:bCs/>
          <w:iCs/>
          <w:color w:val="000000" w:themeColor="text1"/>
        </w:rPr>
        <w:t xml:space="preserve">, from which Ficino borrows when discussing the immortal soul in his </w:t>
      </w:r>
      <w:proofErr w:type="spellStart"/>
      <w:r w:rsidRPr="00771E6E">
        <w:rPr>
          <w:bCs/>
          <w:i/>
          <w:iCs/>
          <w:color w:val="000000" w:themeColor="text1"/>
        </w:rPr>
        <w:t>Theologia</w:t>
      </w:r>
      <w:proofErr w:type="spellEnd"/>
      <w:r w:rsidRPr="00771E6E">
        <w:rPr>
          <w:bCs/>
          <w:iCs/>
          <w:color w:val="000000" w:themeColor="text1"/>
        </w:rPr>
        <w:t xml:space="preserve"> </w:t>
      </w:r>
      <w:proofErr w:type="spellStart"/>
      <w:r w:rsidRPr="00771E6E">
        <w:rPr>
          <w:bCs/>
          <w:i/>
          <w:iCs/>
          <w:color w:val="000000" w:themeColor="text1"/>
        </w:rPr>
        <w:t>Platonica</w:t>
      </w:r>
      <w:proofErr w:type="spellEnd"/>
      <w:r w:rsidRPr="00771E6E">
        <w:rPr>
          <w:bCs/>
          <w:iCs/>
          <w:color w:val="000000" w:themeColor="text1"/>
        </w:rPr>
        <w:t>.</w:t>
      </w:r>
      <w:r w:rsidRPr="00771E6E">
        <w:rPr>
          <w:rStyle w:val="FootnoteReference"/>
        </w:rPr>
        <w:footnoteReference w:id="206"/>
      </w:r>
      <w:r w:rsidRPr="00771E6E">
        <w:rPr>
          <w:bCs/>
          <w:iCs/>
          <w:color w:val="000000" w:themeColor="text1"/>
        </w:rPr>
        <w:t xml:space="preserve"> In addition to linking music to the divine, Saint Augustine was also an important early Christian source on the use of music in the liturgy. </w:t>
      </w:r>
      <w:r w:rsidRPr="00771E6E">
        <w:t xml:space="preserve">In Book 9 of his </w:t>
      </w:r>
      <w:proofErr w:type="spellStart"/>
      <w:r w:rsidRPr="00771E6E">
        <w:rPr>
          <w:i/>
        </w:rPr>
        <w:t>Confessiones</w:t>
      </w:r>
      <w:proofErr w:type="spellEnd"/>
      <w:r w:rsidRPr="00771E6E">
        <w:t xml:space="preserve">, he </w:t>
      </w:r>
      <w:r w:rsidRPr="00771E6E">
        <w:rPr>
          <w:color w:val="141414"/>
        </w:rPr>
        <w:t>confesses to God:</w:t>
      </w:r>
    </w:p>
    <w:p w14:paraId="4C7927F7" w14:textId="77777777" w:rsidR="001840E8" w:rsidRPr="00771E6E" w:rsidRDefault="001840E8" w:rsidP="001840E8">
      <w:pPr>
        <w:tabs>
          <w:tab w:val="left" w:pos="1311"/>
        </w:tabs>
        <w:ind w:firstLine="709"/>
        <w:rPr>
          <w:color w:val="141414"/>
        </w:rPr>
      </w:pPr>
    </w:p>
    <w:p w14:paraId="5EFEFF6D" w14:textId="77777777" w:rsidR="001840E8" w:rsidRPr="00771E6E" w:rsidRDefault="001840E8" w:rsidP="00AF799D">
      <w:pPr>
        <w:pStyle w:val="IntenseQuote"/>
      </w:pPr>
      <w:r w:rsidRPr="00771E6E">
        <w:t>How abundantly did I weep to hear those hymns and canticles of thine, being touched to the very quick by the voices of thy sweet church song! Those voices flowed into mine ears, and thy truth pleasingly distilled into my heart, which caused the affections of my devotion to overflow, and my tears to run over, and happy did I find myself therein.</w:t>
      </w:r>
      <w:r w:rsidRPr="00771E6E">
        <w:rPr>
          <w:rStyle w:val="FootnoteReference"/>
        </w:rPr>
        <w:footnoteReference w:id="207"/>
      </w:r>
      <w:r w:rsidRPr="00771E6E">
        <w:t xml:space="preserve"> </w:t>
      </w:r>
    </w:p>
    <w:p w14:paraId="7799EA7C" w14:textId="77777777" w:rsidR="001840E8" w:rsidRPr="00771E6E" w:rsidRDefault="001840E8" w:rsidP="001840E8">
      <w:pPr>
        <w:tabs>
          <w:tab w:val="left" w:pos="1311"/>
        </w:tabs>
        <w:ind w:left="709"/>
      </w:pPr>
    </w:p>
    <w:p w14:paraId="66C59AD8" w14:textId="77777777" w:rsidR="001840E8" w:rsidRPr="00771E6E" w:rsidRDefault="001840E8" w:rsidP="001840E8">
      <w:pPr>
        <w:tabs>
          <w:tab w:val="left" w:pos="1311"/>
        </w:tabs>
      </w:pPr>
      <w:r w:rsidRPr="00771E6E">
        <w:rPr>
          <w:bCs/>
          <w:iCs/>
          <w:color w:val="000000" w:themeColor="text1"/>
        </w:rPr>
        <w:t xml:space="preserve">He </w:t>
      </w:r>
      <w:r w:rsidRPr="00771E6E">
        <w:t>clearly declares his endorsement of music in ecclesiastical settings in Book 10, in which he states:</w:t>
      </w:r>
    </w:p>
    <w:p w14:paraId="45D23DCA" w14:textId="77777777" w:rsidR="001840E8" w:rsidRPr="00771E6E" w:rsidRDefault="001840E8" w:rsidP="001840E8">
      <w:pPr>
        <w:tabs>
          <w:tab w:val="left" w:pos="1311"/>
        </w:tabs>
        <w:ind w:firstLine="709"/>
      </w:pPr>
    </w:p>
    <w:p w14:paraId="2D9948BF" w14:textId="77777777" w:rsidR="001840E8" w:rsidRPr="00771E6E" w:rsidRDefault="001840E8" w:rsidP="00AF799D">
      <w:pPr>
        <w:pStyle w:val="IntenseQuote"/>
      </w:pPr>
      <w:r w:rsidRPr="00771E6E">
        <w:t>Thus float I between peril of pleasure, and an approved profitable custom: inclined the more (though herein I pronounce no irrevocable opinion) to allow of the old usage of singing in the Church; that so by the delight taken in at the ears, the weaker minds be roused up into some feeling of devotion.</w:t>
      </w:r>
      <w:r w:rsidRPr="00771E6E">
        <w:rPr>
          <w:rStyle w:val="FootnoteReference"/>
        </w:rPr>
        <w:footnoteReference w:id="208"/>
      </w:r>
    </w:p>
    <w:p w14:paraId="6C88A379" w14:textId="77777777" w:rsidR="001840E8" w:rsidRPr="00771E6E" w:rsidRDefault="001840E8" w:rsidP="001840E8">
      <w:pPr>
        <w:tabs>
          <w:tab w:val="left" w:pos="1311"/>
        </w:tabs>
        <w:ind w:firstLine="709"/>
        <w:rPr>
          <w:color w:val="141414"/>
        </w:rPr>
      </w:pPr>
    </w:p>
    <w:p w14:paraId="50F43BDD" w14:textId="77777777" w:rsidR="001840E8" w:rsidRPr="00771E6E" w:rsidRDefault="001840E8" w:rsidP="001840E8">
      <w:pPr>
        <w:tabs>
          <w:tab w:val="left" w:pos="1311"/>
        </w:tabs>
        <w:rPr>
          <w:color w:val="141414"/>
        </w:rPr>
      </w:pPr>
      <w:r w:rsidRPr="00771E6E">
        <w:rPr>
          <w:color w:val="141414"/>
        </w:rPr>
        <w:t xml:space="preserve">As Saint Augustine’s </w:t>
      </w:r>
      <w:proofErr w:type="spellStart"/>
      <w:r w:rsidRPr="00771E6E">
        <w:rPr>
          <w:i/>
          <w:color w:val="141414"/>
        </w:rPr>
        <w:t>Confessiones</w:t>
      </w:r>
      <w:proofErr w:type="spellEnd"/>
      <w:r w:rsidRPr="00771E6E">
        <w:rPr>
          <w:i/>
          <w:color w:val="141414"/>
        </w:rPr>
        <w:t xml:space="preserve"> </w:t>
      </w:r>
      <w:r w:rsidRPr="00771E6E">
        <w:rPr>
          <w:color w:val="141414"/>
        </w:rPr>
        <w:t>were printed in Milan in 1475, his ideas would have been available to the literate public not only via the interpretations of fifteenth- and sixteenth-century scholars, but also directly.</w:t>
      </w:r>
    </w:p>
    <w:p w14:paraId="44A95E22" w14:textId="77777777" w:rsidR="001840E8" w:rsidRPr="00771E6E" w:rsidRDefault="001840E8" w:rsidP="001840E8">
      <w:pPr>
        <w:ind w:firstLine="720"/>
      </w:pPr>
      <w:r w:rsidRPr="00771E6E">
        <w:t xml:space="preserve">The fact that music was thought to have a powerful resonance with the soul is noted in the treatise </w:t>
      </w:r>
      <w:r w:rsidRPr="00771E6E">
        <w:rPr>
          <w:i/>
        </w:rPr>
        <w:t xml:space="preserve">De </w:t>
      </w:r>
      <w:proofErr w:type="spellStart"/>
      <w:r w:rsidRPr="00771E6E">
        <w:rPr>
          <w:i/>
        </w:rPr>
        <w:t>studiis</w:t>
      </w:r>
      <w:proofErr w:type="spellEnd"/>
      <w:r w:rsidRPr="00771E6E">
        <w:rPr>
          <w:i/>
        </w:rPr>
        <w:t xml:space="preserve"> et </w:t>
      </w:r>
      <w:proofErr w:type="spellStart"/>
      <w:r w:rsidRPr="00771E6E">
        <w:rPr>
          <w:i/>
        </w:rPr>
        <w:t>litteris</w:t>
      </w:r>
      <w:proofErr w:type="spellEnd"/>
      <w:r w:rsidRPr="00771E6E">
        <w:rPr>
          <w:i/>
        </w:rPr>
        <w:t xml:space="preserve"> liber</w:t>
      </w:r>
      <w:r w:rsidRPr="00771E6E">
        <w:t xml:space="preserve">, written by the historian Leonardo Bruni between 1422 and 1429, in which he admits that sometimes, during Mass, only the poetical refrain would wake him from his sleep, and declares that “it is for this reason that certain of the ancients believed the soul to be a number and a harmony … all things in accordance with </w:t>
      </w:r>
      <w:r w:rsidRPr="00771E6E">
        <w:lastRenderedPageBreak/>
        <w:t>nature enjoyed that which was most similar and related to themselves, and there was nothing which … delighted our souls as harmony and number.”</w:t>
      </w:r>
      <w:r w:rsidRPr="00771E6E">
        <w:rPr>
          <w:rStyle w:val="FootnoteReference"/>
        </w:rPr>
        <w:footnoteReference w:id="209"/>
      </w:r>
      <w:r w:rsidRPr="00771E6E">
        <w:t xml:space="preserve"> </w:t>
      </w:r>
    </w:p>
    <w:p w14:paraId="308D17D1" w14:textId="77777777" w:rsidR="001840E8" w:rsidRPr="00771E6E" w:rsidRDefault="001840E8" w:rsidP="001840E8">
      <w:pPr>
        <w:ind w:firstLine="720"/>
      </w:pPr>
      <w:r w:rsidRPr="00771E6E">
        <w:t xml:space="preserve">Music was thought to have the ability to influence the listener in many other positive ways. </w:t>
      </w:r>
      <w:proofErr w:type="spellStart"/>
      <w:r w:rsidRPr="00771E6E">
        <w:t>Vergerio</w:t>
      </w:r>
      <w:proofErr w:type="spellEnd"/>
      <w:r w:rsidRPr="00771E6E">
        <w:t xml:space="preserve"> in his </w:t>
      </w:r>
      <w:r w:rsidRPr="00771E6E">
        <w:rPr>
          <w:i/>
        </w:rPr>
        <w:t xml:space="preserve">De </w:t>
      </w:r>
      <w:proofErr w:type="spellStart"/>
      <w:r w:rsidRPr="00771E6E">
        <w:rPr>
          <w:i/>
        </w:rPr>
        <w:t>ingenuis</w:t>
      </w:r>
      <w:proofErr w:type="spellEnd"/>
      <w:r w:rsidRPr="00771E6E">
        <w:rPr>
          <w:i/>
        </w:rPr>
        <w:t xml:space="preserve"> </w:t>
      </w:r>
      <w:proofErr w:type="spellStart"/>
      <w:r w:rsidRPr="00771E6E">
        <w:rPr>
          <w:i/>
        </w:rPr>
        <w:t>moribus</w:t>
      </w:r>
      <w:proofErr w:type="spellEnd"/>
      <w:r w:rsidRPr="00771E6E">
        <w:rPr>
          <w:i/>
        </w:rPr>
        <w:t xml:space="preserve"> et </w:t>
      </w:r>
      <w:proofErr w:type="spellStart"/>
      <w:r w:rsidRPr="00771E6E">
        <w:rPr>
          <w:i/>
        </w:rPr>
        <w:t>liberalibus</w:t>
      </w:r>
      <w:proofErr w:type="spellEnd"/>
      <w:r w:rsidRPr="00771E6E">
        <w:rPr>
          <w:i/>
        </w:rPr>
        <w:t xml:space="preserve"> </w:t>
      </w:r>
      <w:proofErr w:type="spellStart"/>
      <w:r w:rsidRPr="00771E6E">
        <w:rPr>
          <w:i/>
        </w:rPr>
        <w:t>studiis</w:t>
      </w:r>
      <w:proofErr w:type="spellEnd"/>
      <w:r w:rsidRPr="00771E6E">
        <w:rPr>
          <w:i/>
        </w:rPr>
        <w:t xml:space="preserve"> </w:t>
      </w:r>
      <w:proofErr w:type="spellStart"/>
      <w:r w:rsidRPr="00771E6E">
        <w:rPr>
          <w:i/>
        </w:rPr>
        <w:t>adulescentiae</w:t>
      </w:r>
      <w:proofErr w:type="spellEnd"/>
      <w:r w:rsidRPr="00771E6E">
        <w:t xml:space="preserve">, after having cited Socrates’ commitment to learning music and to encouraging young people to learn it themselves, stressed that this interest was not “to stimulate licentious </w:t>
      </w:r>
      <w:proofErr w:type="spellStart"/>
      <w:r w:rsidRPr="00771E6E">
        <w:t>behaviour</w:t>
      </w:r>
      <w:proofErr w:type="spellEnd"/>
      <w:r w:rsidRPr="00771E6E">
        <w:t xml:space="preserve"> but to moderate the movement of the soul under the rule of reason.”</w:t>
      </w:r>
      <w:r w:rsidRPr="00771E6E">
        <w:rPr>
          <w:rStyle w:val="FootnoteReference"/>
        </w:rPr>
        <w:footnoteReference w:id="210"/>
      </w:r>
      <w:r w:rsidRPr="00771E6E">
        <w:t xml:space="preserve"> Later in his treatise, in imitation of ancient Greek accounts of the differing effects of the ancient musical modes, </w:t>
      </w:r>
      <w:proofErr w:type="spellStart"/>
      <w:r w:rsidRPr="00771E6E">
        <w:t>Vergerio</w:t>
      </w:r>
      <w:proofErr w:type="spellEnd"/>
      <w:r w:rsidRPr="00771E6E">
        <w:t xml:space="preserve"> lists the effects of the different modes that were familiar to him, each identified by their geographical provenance: Sicilian modes rest and relax, French modes excite and motivate, while Italian ones are between these two.</w:t>
      </w:r>
      <w:r w:rsidRPr="00771E6E">
        <w:rPr>
          <w:rStyle w:val="FootnoteReference"/>
        </w:rPr>
        <w:footnoteReference w:id="211"/>
      </w:r>
      <w:r w:rsidRPr="00771E6E">
        <w:t xml:space="preserve"> In another passage, </w:t>
      </w:r>
      <w:proofErr w:type="spellStart"/>
      <w:r w:rsidRPr="00771E6E">
        <w:t>Vergerio</w:t>
      </w:r>
      <w:proofErr w:type="spellEnd"/>
      <w:r w:rsidRPr="00771E6E">
        <w:t xml:space="preserve"> reports that music is “highly effective in relaxing the mind and calming the passions.”</w:t>
      </w:r>
      <w:r w:rsidRPr="00771E6E">
        <w:rPr>
          <w:rStyle w:val="FootnoteReference"/>
        </w:rPr>
        <w:footnoteReference w:id="212"/>
      </w:r>
    </w:p>
    <w:p w14:paraId="2FD7821F" w14:textId="77777777" w:rsidR="001840E8" w:rsidRPr="00771E6E" w:rsidRDefault="001840E8" w:rsidP="001840E8">
      <w:pPr>
        <w:ind w:firstLine="720"/>
      </w:pPr>
      <w:r w:rsidRPr="00771E6E">
        <w:t>The many positive effects of music on the listener were listed in a specialist treatise dedicated entirely to this topic, appropriately entitled</w:t>
      </w:r>
      <w:r w:rsidRPr="00771E6E">
        <w:rPr>
          <w:i/>
        </w:rPr>
        <w:t xml:space="preserve"> </w:t>
      </w:r>
      <w:proofErr w:type="spellStart"/>
      <w:r w:rsidRPr="00771E6E">
        <w:rPr>
          <w:i/>
        </w:rPr>
        <w:t>Complexus</w:t>
      </w:r>
      <w:proofErr w:type="spellEnd"/>
      <w:r w:rsidRPr="00771E6E">
        <w:rPr>
          <w:i/>
        </w:rPr>
        <w:t xml:space="preserve"> </w:t>
      </w:r>
      <w:proofErr w:type="spellStart"/>
      <w:r w:rsidRPr="00771E6E">
        <w:rPr>
          <w:i/>
        </w:rPr>
        <w:t>effectuum</w:t>
      </w:r>
      <w:proofErr w:type="spellEnd"/>
      <w:r w:rsidRPr="00771E6E">
        <w:rPr>
          <w:i/>
        </w:rPr>
        <w:t xml:space="preserve"> </w:t>
      </w:r>
      <w:proofErr w:type="spellStart"/>
      <w:r w:rsidRPr="00771E6E">
        <w:rPr>
          <w:i/>
        </w:rPr>
        <w:t>musices</w:t>
      </w:r>
      <w:proofErr w:type="spellEnd"/>
      <w:r w:rsidRPr="00771E6E">
        <w:rPr>
          <w:i/>
        </w:rPr>
        <w:t xml:space="preserve"> </w:t>
      </w:r>
      <w:r w:rsidRPr="00771E6E">
        <w:t>(A Compendium of Music’s Effects), written by the composer and music theorist Johannes Tinctoris around 1473 and dedicated to his Neapolitan pupil Beatrice of Aragon. The first part of this treatise lists as many as twenty different effects of music, and he expands upon each one in the subsequent pages. The effects described vary greatly, and, in brief, include moral and religious benefits, improvement in mood, and talismanic and medical properties. Tinctoris does not limit music to only having a “psychological” effect on the mind of the listener (such as to enhance joy or to banish sorrow), but also states that music could be effective in physically healing the sick, as stated in the fourteenth item in his list.</w:t>
      </w:r>
      <w:r w:rsidRPr="00771E6E">
        <w:rPr>
          <w:rStyle w:val="FootnoteReference"/>
        </w:rPr>
        <w:footnoteReference w:id="213"/>
      </w:r>
      <w:r w:rsidRPr="00771E6E">
        <w:t xml:space="preserve"> </w:t>
      </w:r>
      <w:r w:rsidRPr="00771E6E">
        <w:rPr>
          <w:bCs/>
          <w:iCs/>
          <w:color w:val="000000" w:themeColor="text1"/>
        </w:rPr>
        <w:t xml:space="preserve">Similar effects were also noted by Carlo </w:t>
      </w:r>
      <w:proofErr w:type="spellStart"/>
      <w:r w:rsidRPr="00771E6E">
        <w:rPr>
          <w:bCs/>
          <w:iCs/>
          <w:color w:val="000000" w:themeColor="text1"/>
        </w:rPr>
        <w:t>Valgulio</w:t>
      </w:r>
      <w:proofErr w:type="spellEnd"/>
      <w:r w:rsidRPr="00771E6E">
        <w:rPr>
          <w:bCs/>
          <w:iCs/>
          <w:color w:val="000000" w:themeColor="text1"/>
        </w:rPr>
        <w:t xml:space="preserve">, from Brescia, secretary of the papal treasurer and Ficino’s friend, in his </w:t>
      </w:r>
      <w:r w:rsidRPr="00771E6E">
        <w:rPr>
          <w:bCs/>
          <w:i/>
          <w:iCs/>
          <w:color w:val="000000" w:themeColor="text1"/>
        </w:rPr>
        <w:t xml:space="preserve">Contra </w:t>
      </w:r>
      <w:proofErr w:type="spellStart"/>
      <w:r w:rsidRPr="00771E6E">
        <w:rPr>
          <w:bCs/>
          <w:i/>
          <w:iCs/>
          <w:color w:val="000000" w:themeColor="text1"/>
        </w:rPr>
        <w:t>vituperatorem</w:t>
      </w:r>
      <w:proofErr w:type="spellEnd"/>
      <w:r w:rsidRPr="00771E6E">
        <w:rPr>
          <w:bCs/>
          <w:i/>
          <w:iCs/>
          <w:color w:val="000000" w:themeColor="text1"/>
        </w:rPr>
        <w:t xml:space="preserve"> </w:t>
      </w:r>
      <w:proofErr w:type="spellStart"/>
      <w:r w:rsidRPr="00771E6E">
        <w:rPr>
          <w:bCs/>
          <w:i/>
          <w:iCs/>
          <w:color w:val="000000" w:themeColor="text1"/>
        </w:rPr>
        <w:t>musicae</w:t>
      </w:r>
      <w:proofErr w:type="spellEnd"/>
      <w:r w:rsidRPr="00771E6E">
        <w:rPr>
          <w:bCs/>
          <w:iCs/>
          <w:color w:val="000000" w:themeColor="text1"/>
        </w:rPr>
        <w:t xml:space="preserve"> (</w:t>
      </w:r>
      <w:proofErr w:type="spellStart"/>
      <w:r w:rsidRPr="00771E6E">
        <w:rPr>
          <w:bCs/>
          <w:iCs/>
          <w:color w:val="000000" w:themeColor="text1"/>
        </w:rPr>
        <w:t>Risposte</w:t>
      </w:r>
      <w:proofErr w:type="spellEnd"/>
      <w:r w:rsidRPr="00771E6E">
        <w:rPr>
          <w:bCs/>
          <w:iCs/>
          <w:color w:val="000000" w:themeColor="text1"/>
        </w:rPr>
        <w:t xml:space="preserve"> to a Slanderer of </w:t>
      </w:r>
      <w:r w:rsidRPr="00771E6E">
        <w:rPr>
          <w:bCs/>
          <w:iCs/>
          <w:color w:val="000000" w:themeColor="text1"/>
        </w:rPr>
        <w:lastRenderedPageBreak/>
        <w:t>Music)</w:t>
      </w:r>
      <w:r w:rsidRPr="00771E6E">
        <w:rPr>
          <w:bCs/>
          <w:i/>
          <w:iCs/>
          <w:color w:val="000000" w:themeColor="text1"/>
        </w:rPr>
        <w:t xml:space="preserve"> </w:t>
      </w:r>
      <w:r w:rsidRPr="00771E6E">
        <w:rPr>
          <w:bCs/>
          <w:iCs/>
          <w:color w:val="000000" w:themeColor="text1"/>
        </w:rPr>
        <w:t xml:space="preserve">printed in Brescia in 1509. </w:t>
      </w:r>
      <w:proofErr w:type="spellStart"/>
      <w:r w:rsidRPr="00771E6E">
        <w:rPr>
          <w:bCs/>
          <w:iCs/>
          <w:color w:val="000000" w:themeColor="text1"/>
        </w:rPr>
        <w:t>Valgulio’s</w:t>
      </w:r>
      <w:proofErr w:type="spellEnd"/>
      <w:r w:rsidRPr="00771E6E">
        <w:rPr>
          <w:bCs/>
          <w:iCs/>
          <w:color w:val="000000" w:themeColor="text1"/>
        </w:rPr>
        <w:t xml:space="preserve"> defense of music begins by listing its qualities and positive effects, among which are benefits for the listener’s mind, and music’s capacity “to rouse the lazy and slothful to virtue.”</w:t>
      </w:r>
      <w:r w:rsidRPr="00771E6E">
        <w:rPr>
          <w:rStyle w:val="FootnoteReference"/>
        </w:rPr>
        <w:footnoteReference w:id="214"/>
      </w:r>
    </w:p>
    <w:p w14:paraId="79A7A6E4" w14:textId="77777777" w:rsidR="001840E8" w:rsidRPr="00771E6E" w:rsidRDefault="001840E8" w:rsidP="001840E8">
      <w:pPr>
        <w:ind w:firstLine="720"/>
      </w:pPr>
      <w:r w:rsidRPr="00771E6E">
        <w:t xml:space="preserve">Renaissance sources, both from ecclesiastical and secular environments, stress the important role of music in moral training. For example, the bishop Paolo </w:t>
      </w:r>
      <w:proofErr w:type="spellStart"/>
      <w:r w:rsidRPr="00771E6E">
        <w:t>Cortesi</w:t>
      </w:r>
      <w:proofErr w:type="spellEnd"/>
      <w:r w:rsidRPr="00771E6E">
        <w:t xml:space="preserve">, in his </w:t>
      </w:r>
      <w:r w:rsidRPr="00771E6E">
        <w:rPr>
          <w:i/>
        </w:rPr>
        <w:t xml:space="preserve">De </w:t>
      </w:r>
      <w:proofErr w:type="spellStart"/>
      <w:r w:rsidRPr="00771E6E">
        <w:rPr>
          <w:i/>
        </w:rPr>
        <w:t>Cardinalatu</w:t>
      </w:r>
      <w:proofErr w:type="spellEnd"/>
      <w:r w:rsidRPr="00771E6E">
        <w:t>, suggests cardinals should seek out music both for enjoyment during their leisure time and for educative purposes.</w:t>
      </w:r>
      <w:r w:rsidRPr="00771E6E">
        <w:rPr>
          <w:rStyle w:val="FootnoteReference"/>
        </w:rPr>
        <w:footnoteReference w:id="215"/>
      </w:r>
      <w:r w:rsidRPr="00771E6E">
        <w:t xml:space="preserve"> In addition to its function in training clergymen, music was also prescribed as part of the education of young people, because of its connection to morality. This idea was already known from ancient sources, such as Quintilian, who stressed the importance of the study of music in the education of the orator.</w:t>
      </w:r>
      <w:r w:rsidRPr="00771E6E">
        <w:rPr>
          <w:rStyle w:val="FootnoteReference"/>
        </w:rPr>
        <w:footnoteReference w:id="216"/>
      </w:r>
      <w:r w:rsidRPr="00771E6E">
        <w:t xml:space="preserve"> Music education is also advocated by </w:t>
      </w:r>
      <w:proofErr w:type="spellStart"/>
      <w:r w:rsidRPr="00771E6E">
        <w:t>Piccolomini</w:t>
      </w:r>
      <w:proofErr w:type="spellEnd"/>
      <w:r w:rsidRPr="00771E6E">
        <w:t xml:space="preserve">, in his treatise devoted to the education of boys, in which he states that: “[Music] is surely not an art to be despised, nor should its use be censured … </w:t>
      </w:r>
      <w:proofErr w:type="gramStart"/>
      <w:r w:rsidRPr="00771E6E">
        <w:t>Therefore</w:t>
      </w:r>
      <w:proofErr w:type="gramEnd"/>
      <w:r w:rsidRPr="00771E6E">
        <w:t xml:space="preserve"> a moderate knowledge of this art ought not to be shunned, if good instructors may be found.”</w:t>
      </w:r>
      <w:r w:rsidRPr="00771E6E">
        <w:rPr>
          <w:rStyle w:val="FootnoteReference"/>
        </w:rPr>
        <w:t xml:space="preserve"> </w:t>
      </w:r>
      <w:r w:rsidRPr="00771E6E">
        <w:rPr>
          <w:rStyle w:val="FootnoteReference"/>
        </w:rPr>
        <w:footnoteReference w:id="217"/>
      </w:r>
    </w:p>
    <w:p w14:paraId="2FBA6B8B" w14:textId="77777777" w:rsidR="001840E8" w:rsidRPr="00771E6E" w:rsidRDefault="001840E8" w:rsidP="001840E8">
      <w:pPr>
        <w:ind w:firstLine="720"/>
        <w:rPr>
          <w:bCs/>
          <w:iCs/>
          <w:color w:val="000000" w:themeColor="text1"/>
        </w:rPr>
      </w:pPr>
      <w:r w:rsidRPr="00771E6E">
        <w:rPr>
          <w:bCs/>
          <w:iCs/>
          <w:color w:val="000000" w:themeColor="text1"/>
        </w:rPr>
        <w:t xml:space="preserve">In his </w:t>
      </w:r>
      <w:r w:rsidRPr="00771E6E">
        <w:rPr>
          <w:bCs/>
          <w:i/>
          <w:iCs/>
          <w:color w:val="000000" w:themeColor="text1"/>
        </w:rPr>
        <w:t xml:space="preserve">Contra </w:t>
      </w:r>
      <w:proofErr w:type="spellStart"/>
      <w:r w:rsidRPr="00771E6E">
        <w:rPr>
          <w:bCs/>
          <w:i/>
          <w:iCs/>
          <w:color w:val="000000" w:themeColor="text1"/>
        </w:rPr>
        <w:t>vituperatorem</w:t>
      </w:r>
      <w:proofErr w:type="spellEnd"/>
      <w:r w:rsidRPr="00771E6E">
        <w:rPr>
          <w:bCs/>
          <w:i/>
          <w:iCs/>
          <w:color w:val="000000" w:themeColor="text1"/>
        </w:rPr>
        <w:t xml:space="preserve"> </w:t>
      </w:r>
      <w:proofErr w:type="spellStart"/>
      <w:r w:rsidRPr="00771E6E">
        <w:rPr>
          <w:bCs/>
          <w:i/>
          <w:iCs/>
          <w:color w:val="000000" w:themeColor="text1"/>
        </w:rPr>
        <w:t>musicae</w:t>
      </w:r>
      <w:proofErr w:type="spellEnd"/>
      <w:r w:rsidRPr="00771E6E">
        <w:rPr>
          <w:bCs/>
          <w:iCs/>
          <w:color w:val="000000" w:themeColor="text1"/>
        </w:rPr>
        <w:t xml:space="preserve">, </w:t>
      </w:r>
      <w:proofErr w:type="spellStart"/>
      <w:r w:rsidRPr="00771E6E">
        <w:rPr>
          <w:bCs/>
          <w:iCs/>
          <w:color w:val="000000" w:themeColor="text1"/>
        </w:rPr>
        <w:t>Valgulio</w:t>
      </w:r>
      <w:proofErr w:type="spellEnd"/>
      <w:r w:rsidRPr="00771E6E">
        <w:rPr>
          <w:bCs/>
          <w:iCs/>
          <w:color w:val="000000" w:themeColor="text1"/>
        </w:rPr>
        <w:t xml:space="preserve"> repeats Plato’s and Aristotle’s idea that music should be taught to children.</w:t>
      </w:r>
      <w:r w:rsidRPr="00771E6E">
        <w:rPr>
          <w:rStyle w:val="FootnoteReference"/>
        </w:rPr>
        <w:footnoteReference w:id="218"/>
      </w:r>
      <w:r w:rsidRPr="00771E6E">
        <w:rPr>
          <w:bCs/>
          <w:iCs/>
          <w:color w:val="000000" w:themeColor="text1"/>
        </w:rPr>
        <w:t xml:space="preserve"> Particularly, the author reports that these ancient writers advocated the study of this subject so that “children learn and get used to righteous loving and righteous hating: that is, to pursue virtue with love and vice with hatred.”</w:t>
      </w:r>
      <w:r w:rsidRPr="00771E6E">
        <w:rPr>
          <w:rStyle w:val="FootnoteReference"/>
        </w:rPr>
        <w:footnoteReference w:id="219"/>
      </w:r>
      <w:r w:rsidRPr="00771E6E">
        <w:t xml:space="preserve"> In addition, </w:t>
      </w:r>
      <w:proofErr w:type="spellStart"/>
      <w:r w:rsidRPr="00771E6E">
        <w:rPr>
          <w:bCs/>
          <w:iCs/>
          <w:color w:val="000000" w:themeColor="text1"/>
        </w:rPr>
        <w:t>Gaffurius</w:t>
      </w:r>
      <w:proofErr w:type="spellEnd"/>
      <w:r w:rsidRPr="00771E6E">
        <w:rPr>
          <w:bCs/>
          <w:iCs/>
          <w:color w:val="000000" w:themeColor="text1"/>
        </w:rPr>
        <w:t xml:space="preserve">, at the very beginning of his </w:t>
      </w:r>
      <w:proofErr w:type="spellStart"/>
      <w:r w:rsidRPr="00771E6E">
        <w:rPr>
          <w:bCs/>
          <w:i/>
          <w:iCs/>
          <w:color w:val="000000" w:themeColor="text1"/>
        </w:rPr>
        <w:t>Practica</w:t>
      </w:r>
      <w:proofErr w:type="spellEnd"/>
      <w:r w:rsidRPr="00771E6E">
        <w:rPr>
          <w:bCs/>
          <w:i/>
          <w:iCs/>
          <w:color w:val="000000" w:themeColor="text1"/>
        </w:rPr>
        <w:t xml:space="preserve"> </w:t>
      </w:r>
      <w:proofErr w:type="spellStart"/>
      <w:r w:rsidRPr="00771E6E">
        <w:rPr>
          <w:bCs/>
          <w:i/>
          <w:iCs/>
          <w:color w:val="000000" w:themeColor="text1"/>
        </w:rPr>
        <w:t>Musicae</w:t>
      </w:r>
      <w:proofErr w:type="spellEnd"/>
      <w:r w:rsidRPr="00771E6E">
        <w:rPr>
          <w:bCs/>
          <w:iCs/>
          <w:color w:val="000000" w:themeColor="text1"/>
        </w:rPr>
        <w:t xml:space="preserve"> (indeed, on the first page of the first chapter), when defending the practical application of music versus its theoretical study, stresses the fact that for the ancient Pythagoreans, Platonists and Peripatetics, “the practice of singing and playing is highly recommended for the education of youth.”</w:t>
      </w:r>
      <w:r w:rsidRPr="00771E6E">
        <w:rPr>
          <w:rStyle w:val="FootnoteReference"/>
        </w:rPr>
        <w:footnoteReference w:id="220"/>
      </w:r>
      <w:r w:rsidRPr="00771E6E">
        <w:rPr>
          <w:bCs/>
          <w:iCs/>
          <w:color w:val="000000" w:themeColor="text1"/>
        </w:rPr>
        <w:t xml:space="preserve"> </w:t>
      </w:r>
    </w:p>
    <w:p w14:paraId="1DBC90EF" w14:textId="77777777" w:rsidR="001840E8" w:rsidRPr="00771E6E" w:rsidRDefault="001840E8" w:rsidP="001840E8">
      <w:pPr>
        <w:ind w:firstLine="720"/>
        <w:rPr>
          <w:bCs/>
          <w:color w:val="000000" w:themeColor="text1"/>
        </w:rPr>
      </w:pPr>
      <w:proofErr w:type="spellStart"/>
      <w:r w:rsidRPr="00771E6E">
        <w:t>Gaffurius</w:t>
      </w:r>
      <w:proofErr w:type="spellEnd"/>
      <w:r w:rsidRPr="00771E6E">
        <w:t xml:space="preserve"> was not the only music theorist to recommend musical practice for young people. Tinctoris also touched upon this topic, expanding on the </w:t>
      </w:r>
      <w:proofErr w:type="spellStart"/>
      <w:r w:rsidRPr="00771E6E">
        <w:t>moralising</w:t>
      </w:r>
      <w:proofErr w:type="spellEnd"/>
      <w:r w:rsidRPr="00771E6E">
        <w:t xml:space="preserve"> qualities of </w:t>
      </w:r>
      <w:r w:rsidRPr="00771E6E">
        <w:lastRenderedPageBreak/>
        <w:t xml:space="preserve">music by describing this as a basis for the education of children, while considering the adults that they would eventually become. Quoting from Aristotle’s </w:t>
      </w:r>
      <w:r w:rsidRPr="00771E6E">
        <w:rPr>
          <w:i/>
        </w:rPr>
        <w:t>Politics</w:t>
      </w:r>
      <w:r w:rsidRPr="00771E6E">
        <w:t>, he stated that “the young should give themselves to the practice of the art of music so that, as old men, they can judge and enjoy it correctly”.</w:t>
      </w:r>
      <w:r w:rsidRPr="00771E6E">
        <w:rPr>
          <w:rStyle w:val="FootnoteReference"/>
        </w:rPr>
        <w:footnoteReference w:id="221"/>
      </w:r>
    </w:p>
    <w:p w14:paraId="6610E7B4" w14:textId="77777777" w:rsidR="001840E8" w:rsidRPr="00771E6E" w:rsidRDefault="001840E8" w:rsidP="001840E8">
      <w:pPr>
        <w:ind w:firstLine="720"/>
        <w:rPr>
          <w:color w:val="141414"/>
        </w:rPr>
      </w:pPr>
      <w:r w:rsidRPr="00771E6E">
        <w:rPr>
          <w:bCs/>
          <w:iCs/>
          <w:color w:val="000000" w:themeColor="text1"/>
        </w:rPr>
        <w:t xml:space="preserve">However, not all types of music were equally advisable. </w:t>
      </w:r>
      <w:r w:rsidRPr="00771E6E">
        <w:rPr>
          <w:color w:val="141414"/>
        </w:rPr>
        <w:t xml:space="preserve">Quintilian, in his </w:t>
      </w:r>
      <w:proofErr w:type="spellStart"/>
      <w:r w:rsidRPr="00771E6E">
        <w:rPr>
          <w:i/>
          <w:color w:val="141414"/>
        </w:rPr>
        <w:t>Institutio</w:t>
      </w:r>
      <w:proofErr w:type="spellEnd"/>
      <w:r w:rsidRPr="00771E6E">
        <w:rPr>
          <w:i/>
          <w:color w:val="141414"/>
        </w:rPr>
        <w:t xml:space="preserve"> </w:t>
      </w:r>
      <w:proofErr w:type="spellStart"/>
      <w:r w:rsidRPr="00771E6E">
        <w:rPr>
          <w:i/>
          <w:color w:val="141414"/>
        </w:rPr>
        <w:t>Oratoria</w:t>
      </w:r>
      <w:proofErr w:type="spellEnd"/>
      <w:r w:rsidRPr="00771E6E">
        <w:rPr>
          <w:color w:val="141414"/>
        </w:rPr>
        <w:t>, specifies that it is the music of the ancients, sung by brave men, and also used to sing the praises of the brave, which he thinks worthy of being learned, as opposed to the type of music used in theatres.</w:t>
      </w:r>
      <w:r w:rsidRPr="00771E6E">
        <w:rPr>
          <w:rStyle w:val="FootnoteReference"/>
        </w:rPr>
        <w:footnoteReference w:id="222"/>
      </w:r>
      <w:r w:rsidRPr="00771E6E">
        <w:rPr>
          <w:color w:val="141414"/>
        </w:rPr>
        <w:t xml:space="preserve"> </w:t>
      </w:r>
    </w:p>
    <w:p w14:paraId="3195DE26" w14:textId="77777777" w:rsidR="001840E8" w:rsidRPr="00771E6E" w:rsidRDefault="001840E8" w:rsidP="001840E8">
      <w:pPr>
        <w:ind w:firstLine="720"/>
      </w:pPr>
      <w:r w:rsidRPr="00771E6E">
        <w:rPr>
          <w:color w:val="141414"/>
        </w:rPr>
        <w:t>Quintilian’s opinion on music greatly influenced fifteenth and sixteenth-century musical thought.</w:t>
      </w:r>
      <w:r w:rsidRPr="00771E6E">
        <w:rPr>
          <w:rStyle w:val="FootnoteReference"/>
        </w:rPr>
        <w:footnoteReference w:id="223"/>
      </w:r>
      <w:r w:rsidRPr="00771E6E">
        <w:rPr>
          <w:color w:val="141414"/>
        </w:rPr>
        <w:t xml:space="preserve"> Humanist treatises during this period were keen to praise </w:t>
      </w:r>
      <w:r w:rsidRPr="00771E6E">
        <w:t xml:space="preserve">ancient types of music but, at the same time, show a strong deprecation of amorous compositions. Sources thus make the distinction between types of music that should be listened to, and types that were to be avoided, as the wrong type could direct a person towards sin or a loss of morality. </w:t>
      </w:r>
      <w:r w:rsidRPr="00771E6E">
        <w:rPr>
          <w:color w:val="141414"/>
        </w:rPr>
        <w:t xml:space="preserve">This view on music can be found, for example, in </w:t>
      </w:r>
      <w:proofErr w:type="spellStart"/>
      <w:r w:rsidRPr="00771E6E">
        <w:rPr>
          <w:bCs/>
          <w:iCs/>
          <w:color w:val="000000" w:themeColor="text1"/>
        </w:rPr>
        <w:t>Gaffurius</w:t>
      </w:r>
      <w:proofErr w:type="spellEnd"/>
      <w:r w:rsidRPr="00771E6E">
        <w:rPr>
          <w:bCs/>
          <w:iCs/>
          <w:color w:val="000000" w:themeColor="text1"/>
        </w:rPr>
        <w:t xml:space="preserve">’ writings. In the dedicatory letter of his </w:t>
      </w:r>
      <w:proofErr w:type="spellStart"/>
      <w:r w:rsidRPr="00771E6E">
        <w:rPr>
          <w:bCs/>
          <w:i/>
          <w:iCs/>
          <w:color w:val="000000" w:themeColor="text1"/>
        </w:rPr>
        <w:t>Practica</w:t>
      </w:r>
      <w:proofErr w:type="spellEnd"/>
      <w:r w:rsidRPr="00771E6E">
        <w:rPr>
          <w:bCs/>
          <w:i/>
          <w:iCs/>
          <w:color w:val="000000" w:themeColor="text1"/>
        </w:rPr>
        <w:t xml:space="preserve"> </w:t>
      </w:r>
      <w:proofErr w:type="spellStart"/>
      <w:r w:rsidRPr="00771E6E">
        <w:rPr>
          <w:bCs/>
          <w:i/>
          <w:iCs/>
          <w:color w:val="000000" w:themeColor="text1"/>
        </w:rPr>
        <w:t>Musicae</w:t>
      </w:r>
      <w:proofErr w:type="spellEnd"/>
      <w:r w:rsidRPr="00771E6E">
        <w:rPr>
          <w:bCs/>
          <w:iCs/>
          <w:color w:val="000000" w:themeColor="text1"/>
        </w:rPr>
        <w:t>, he</w:t>
      </w:r>
      <w:r w:rsidRPr="00771E6E">
        <w:rPr>
          <w:bCs/>
          <w:i/>
          <w:iCs/>
          <w:color w:val="000000" w:themeColor="text1"/>
        </w:rPr>
        <w:t xml:space="preserve"> </w:t>
      </w:r>
      <w:r w:rsidRPr="00771E6E">
        <w:rPr>
          <w:bCs/>
          <w:iCs/>
          <w:color w:val="000000" w:themeColor="text1"/>
        </w:rPr>
        <w:t>clarifies that, when he talks about music, he does not mean “that theatrical and effeminate music which destroys rather than forms public morals, but rather that moderate, manly music celebrated by the ancient heroes, that music which was presented at the table of kings and festive banquets when the guests … sang famous deeds of famous men, which was certainly a great inducement to kindle their eagerness for brave deeds.”</w:t>
      </w:r>
      <w:r w:rsidRPr="00771E6E">
        <w:rPr>
          <w:rStyle w:val="FootnoteReference"/>
        </w:rPr>
        <w:footnoteReference w:id="224"/>
      </w:r>
    </w:p>
    <w:p w14:paraId="5D783803" w14:textId="77777777" w:rsidR="001840E8" w:rsidRPr="00771E6E" w:rsidRDefault="001840E8" w:rsidP="001840E8">
      <w:pPr>
        <w:ind w:firstLine="720"/>
      </w:pPr>
      <w:r w:rsidRPr="00771E6E">
        <w:t xml:space="preserve">The use of music by ancient and illustrious men is also mentioned by Pier Paolo </w:t>
      </w:r>
      <w:proofErr w:type="spellStart"/>
      <w:r w:rsidRPr="00771E6E">
        <w:t>Vergerio</w:t>
      </w:r>
      <w:proofErr w:type="spellEnd"/>
      <w:r w:rsidRPr="00771E6E">
        <w:t>. He notes that the Pythagoreans used to relax by singing and playing the lute, as did Achilles during battle by “singing [the] praises of mighty men … not love songs.”</w:t>
      </w:r>
      <w:r w:rsidRPr="00771E6E">
        <w:rPr>
          <w:rStyle w:val="FootnoteReference"/>
        </w:rPr>
        <w:footnoteReference w:id="225"/>
      </w:r>
      <w:r w:rsidRPr="00771E6E">
        <w:t xml:space="preserve"> Similarly, </w:t>
      </w:r>
      <w:proofErr w:type="spellStart"/>
      <w:r w:rsidRPr="00771E6E">
        <w:t>Piccolomini</w:t>
      </w:r>
      <w:proofErr w:type="spellEnd"/>
      <w:r w:rsidRPr="00771E6E">
        <w:t xml:space="preserve"> suggests what he considers to be the appropriate use of music, </w:t>
      </w:r>
      <w:r w:rsidRPr="00771E6E">
        <w:lastRenderedPageBreak/>
        <w:t>stating that “musical harmony which is neither immoderate nor sensuous greatly refreshes the spirit and cheers the mind for enduring hardship.”</w:t>
      </w:r>
      <w:r w:rsidRPr="00771E6E">
        <w:rPr>
          <w:rStyle w:val="FootnoteReference"/>
        </w:rPr>
        <w:footnoteReference w:id="226"/>
      </w:r>
    </w:p>
    <w:p w14:paraId="6809AD9E" w14:textId="77777777" w:rsidR="001840E8" w:rsidRPr="00771E6E" w:rsidRDefault="001840E8" w:rsidP="001840E8">
      <w:pPr>
        <w:ind w:firstLine="720"/>
      </w:pPr>
      <w:r w:rsidRPr="00771E6E">
        <w:rPr>
          <w:iCs/>
        </w:rPr>
        <w:t>Humanist writers tend to praise music only when its potential lasciviousness was controlled.</w:t>
      </w:r>
      <w:r w:rsidRPr="00771E6E">
        <w:t xml:space="preserve"> </w:t>
      </w:r>
      <w:r w:rsidRPr="00771E6E">
        <w:rPr>
          <w:iCs/>
        </w:rPr>
        <w:t xml:space="preserve">For the teacher </w:t>
      </w:r>
      <w:proofErr w:type="spellStart"/>
      <w:r w:rsidRPr="00771E6E">
        <w:t>Vittorino</w:t>
      </w:r>
      <w:proofErr w:type="spellEnd"/>
      <w:r w:rsidRPr="00771E6E">
        <w:t xml:space="preserve"> da Feltre music was to be praised only when it stimulated spiritual growth.</w:t>
      </w:r>
      <w:r w:rsidRPr="00771E6E">
        <w:rPr>
          <w:rStyle w:val="FootnoteReference"/>
        </w:rPr>
        <w:footnoteReference w:id="227"/>
      </w:r>
      <w:r w:rsidRPr="00771E6E">
        <w:t xml:space="preserve"> </w:t>
      </w:r>
      <w:proofErr w:type="spellStart"/>
      <w:r w:rsidRPr="00771E6E">
        <w:t>Vegio</w:t>
      </w:r>
      <w:proofErr w:type="spellEnd"/>
      <w:r w:rsidRPr="00771E6E">
        <w:t xml:space="preserve"> </w:t>
      </w:r>
      <w:proofErr w:type="spellStart"/>
      <w:r w:rsidRPr="00771E6E">
        <w:t>recognised</w:t>
      </w:r>
      <w:proofErr w:type="spellEnd"/>
      <w:r w:rsidRPr="00771E6E">
        <w:t xml:space="preserve"> the importance that music had in the ancient Greek era, but on the other hand he cautions that “the greatest watchfulness is needed</w:t>
      </w:r>
      <w:r w:rsidRPr="00771E6E">
        <w:rPr>
          <w:iCs/>
        </w:rPr>
        <w:t xml:space="preserve"> </w:t>
      </w:r>
      <w:r w:rsidRPr="00771E6E">
        <w:t xml:space="preserve">in teaching music, for we see so many promising youths lose all </w:t>
      </w:r>
      <w:proofErr w:type="spellStart"/>
      <w:r w:rsidRPr="00771E6E">
        <w:t>vigour</w:t>
      </w:r>
      <w:proofErr w:type="spellEnd"/>
      <w:r w:rsidRPr="00771E6E">
        <w:t xml:space="preserve"> of mind and character in their absorption in unworthy harmonies.”</w:t>
      </w:r>
      <w:r w:rsidRPr="00771E6E">
        <w:rPr>
          <w:rStyle w:val="FootnoteReference"/>
        </w:rPr>
        <w:footnoteReference w:id="228"/>
      </w:r>
      <w:r w:rsidRPr="00771E6E">
        <w:t xml:space="preserve"> </w:t>
      </w:r>
    </w:p>
    <w:p w14:paraId="56568121" w14:textId="77777777" w:rsidR="001840E8" w:rsidRPr="00771E6E" w:rsidRDefault="001840E8" w:rsidP="001840E8">
      <w:pPr>
        <w:ind w:firstLine="720"/>
      </w:pPr>
      <w:r w:rsidRPr="00771E6E">
        <w:t xml:space="preserve">Music, or more specifically, the sense of hearing, is also among the topics touched upon by Giovanni </w:t>
      </w:r>
      <w:proofErr w:type="spellStart"/>
      <w:r w:rsidRPr="00771E6E">
        <w:t>Dominici</w:t>
      </w:r>
      <w:proofErr w:type="spellEnd"/>
      <w:r w:rsidRPr="00771E6E">
        <w:t xml:space="preserve"> in his treatise on family care. In a discussion on the use of the five senses to regulate the body, he outlines precisely what was thought to be advisable for children to hear. They should “open [their] ears to listen to the divine commandments, the celestial advice, the divine praise, the holy doctrine, the misery of the afflicted, [and] the melodies that birds sweetly sing to their Lord”; whereas they should avoid listening to “fables and songs … serpentine tongues of scandalmongers … heretics … people possessed by the devil … preachers seeking their own glory, or commentators of pagans.”</w:t>
      </w:r>
      <w:r w:rsidRPr="00771E6E">
        <w:rPr>
          <w:rStyle w:val="FootnoteReference"/>
        </w:rPr>
        <w:footnoteReference w:id="229"/>
      </w:r>
      <w:r w:rsidRPr="00771E6E">
        <w:t xml:space="preserve"> As one might expect from a clergyman, everything that is not connected with religion should be shunned: melodies addressed to the Lord are in, secular songs are out. In keeping with this idea, </w:t>
      </w:r>
      <w:proofErr w:type="spellStart"/>
      <w:r w:rsidRPr="00771E6E">
        <w:t>Dominici</w:t>
      </w:r>
      <w:proofErr w:type="spellEnd"/>
      <w:r w:rsidRPr="00771E6E">
        <w:t xml:space="preserve"> encourages children to sing to God, “keeping mind and voice as far as possible in harmony.”</w:t>
      </w:r>
      <w:r w:rsidRPr="00771E6E">
        <w:rPr>
          <w:rStyle w:val="FootnoteReference"/>
        </w:rPr>
        <w:footnoteReference w:id="230"/>
      </w:r>
      <w:r w:rsidRPr="00771E6E">
        <w:t xml:space="preserve"> </w:t>
      </w:r>
    </w:p>
    <w:p w14:paraId="4FA4BD0F" w14:textId="77777777" w:rsidR="001840E8" w:rsidRPr="00771E6E" w:rsidRDefault="001840E8" w:rsidP="001840E8">
      <w:pPr>
        <w:ind w:firstLine="720"/>
      </w:pPr>
      <w:r w:rsidRPr="00771E6E">
        <w:t xml:space="preserve">Children from aristocratic and wealthy households could benefit from private secular tutors, who would teach them scholarly subjects in their domestic environment. This phenomenon, which became more and more popular particularly in Florence, applied not only to </w:t>
      </w:r>
      <w:r w:rsidR="00395AAD" w:rsidRPr="00771E6E">
        <w:t>L</w:t>
      </w:r>
      <w:r w:rsidRPr="00771E6E">
        <w:t xml:space="preserve">iterature and </w:t>
      </w:r>
      <w:r w:rsidR="00395AAD" w:rsidRPr="00771E6E">
        <w:t>h</w:t>
      </w:r>
      <w:r w:rsidRPr="00771E6E">
        <w:t xml:space="preserve">istory, but also to the teaching of </w:t>
      </w:r>
      <w:r w:rsidR="00395AAD" w:rsidRPr="00771E6E">
        <w:t>M</w:t>
      </w:r>
      <w:r w:rsidRPr="00771E6E">
        <w:t>usic.</w:t>
      </w:r>
      <w:r w:rsidRPr="00771E6E">
        <w:rPr>
          <w:rStyle w:val="FootnoteReference"/>
        </w:rPr>
        <w:footnoteReference w:id="231"/>
      </w:r>
      <w:r w:rsidRPr="00771E6E">
        <w:t xml:space="preserve"> This could have included either learning how to play a musical instrument, or how to dance. For example, </w:t>
      </w:r>
      <w:proofErr w:type="spellStart"/>
      <w:r w:rsidRPr="00771E6E">
        <w:t>Cresci</w:t>
      </w:r>
      <w:proofErr w:type="spellEnd"/>
      <w:r w:rsidRPr="00771E6E">
        <w:t xml:space="preserve">, adoptive son of Andrea </w:t>
      </w:r>
      <w:proofErr w:type="spellStart"/>
      <w:r w:rsidRPr="00771E6E">
        <w:t>Cresci</w:t>
      </w:r>
      <w:proofErr w:type="spellEnd"/>
      <w:r w:rsidRPr="00771E6E">
        <w:t xml:space="preserve">, was taught how to dance in 1474, as was Alfonso, </w:t>
      </w:r>
      <w:r w:rsidRPr="00771E6E">
        <w:lastRenderedPageBreak/>
        <w:t xml:space="preserve">son of Filippo </w:t>
      </w:r>
      <w:proofErr w:type="spellStart"/>
      <w:r w:rsidRPr="00771E6E">
        <w:t>Strozzi</w:t>
      </w:r>
      <w:proofErr w:type="spellEnd"/>
      <w:r w:rsidRPr="00771E6E">
        <w:t>, in 1481.</w:t>
      </w:r>
      <w:r w:rsidRPr="00771E6E">
        <w:rPr>
          <w:rStyle w:val="FootnoteReference"/>
        </w:rPr>
        <w:footnoteReference w:id="232"/>
      </w:r>
      <w:r w:rsidRPr="00771E6E">
        <w:t xml:space="preserve"> </w:t>
      </w:r>
      <w:r w:rsidRPr="00771E6E">
        <w:rPr>
          <w:iCs/>
        </w:rPr>
        <w:t>Leon Battista Alberti, son of a musician, learned how to play a range of instruments,</w:t>
      </w:r>
      <w:r w:rsidRPr="00771E6E">
        <w:rPr>
          <w:rStyle w:val="FootnoteReference"/>
        </w:rPr>
        <w:footnoteReference w:id="233"/>
      </w:r>
      <w:r w:rsidRPr="00771E6E">
        <w:rPr>
          <w:iCs/>
        </w:rPr>
        <w:t xml:space="preserve"> while </w:t>
      </w:r>
      <w:r w:rsidRPr="00771E6E">
        <w:t xml:space="preserve">the young Lorenzo </w:t>
      </w:r>
      <w:proofErr w:type="spellStart"/>
      <w:r w:rsidRPr="00771E6E">
        <w:t>il</w:t>
      </w:r>
      <w:proofErr w:type="spellEnd"/>
      <w:r w:rsidRPr="00771E6E">
        <w:t xml:space="preserve"> Magnifico was taught how to play the </w:t>
      </w:r>
      <w:r w:rsidRPr="00771E6E">
        <w:rPr>
          <w:iCs/>
        </w:rPr>
        <w:t>viola</w:t>
      </w:r>
      <w:r w:rsidR="00395AAD" w:rsidRPr="00771E6E">
        <w:rPr>
          <w:iCs/>
        </w:rPr>
        <w:t xml:space="preserve"> or </w:t>
      </w:r>
      <w:r w:rsidR="00395AAD" w:rsidRPr="00771E6E">
        <w:rPr>
          <w:i/>
        </w:rPr>
        <w:t>lira da braccio</w:t>
      </w:r>
      <w:r w:rsidRPr="00771E6E">
        <w:t xml:space="preserve"> by a tutor called Giuliano, known as </w:t>
      </w:r>
      <w:proofErr w:type="spellStart"/>
      <w:r w:rsidRPr="00771E6E">
        <w:t>Catellaccio</w:t>
      </w:r>
      <w:proofErr w:type="spellEnd"/>
      <w:r w:rsidRPr="00771E6E">
        <w:t>, an instrument that he continued to play in adulthood.</w:t>
      </w:r>
      <w:r w:rsidRPr="00771E6E">
        <w:rPr>
          <w:rStyle w:val="FootnoteReference"/>
        </w:rPr>
        <w:footnoteReference w:id="234"/>
      </w:r>
      <w:r w:rsidRPr="00771E6E">
        <w:t xml:space="preserve"> </w:t>
      </w:r>
      <w:r w:rsidRPr="00771E6E">
        <w:rPr>
          <w:iCs/>
        </w:rPr>
        <w:t xml:space="preserve">An adult Francesco </w:t>
      </w:r>
      <w:proofErr w:type="spellStart"/>
      <w:r w:rsidRPr="00771E6E">
        <w:rPr>
          <w:iCs/>
        </w:rPr>
        <w:t>Guicciardini</w:t>
      </w:r>
      <w:proofErr w:type="spellEnd"/>
      <w:r w:rsidRPr="00771E6E">
        <w:rPr>
          <w:iCs/>
        </w:rPr>
        <w:t xml:space="preserve"> expressed regret for not having wanted to receive some musical training in his youth, as these skills, among others, would give someone dignity and </w:t>
      </w:r>
      <w:proofErr w:type="spellStart"/>
      <w:r w:rsidRPr="00771E6E">
        <w:rPr>
          <w:iCs/>
        </w:rPr>
        <w:t>honour</w:t>
      </w:r>
      <w:proofErr w:type="spellEnd"/>
      <w:r w:rsidRPr="00771E6E">
        <w:t>.</w:t>
      </w:r>
      <w:r w:rsidRPr="00771E6E">
        <w:rPr>
          <w:rStyle w:val="FootnoteReference"/>
        </w:rPr>
        <w:footnoteReference w:id="235"/>
      </w:r>
      <w:r w:rsidRPr="00771E6E">
        <w:t xml:space="preserve"> </w:t>
      </w:r>
    </w:p>
    <w:p w14:paraId="7DF5BBC4" w14:textId="77777777" w:rsidR="001840E8" w:rsidRPr="00771E6E" w:rsidRDefault="001840E8" w:rsidP="001840E8">
      <w:pPr>
        <w:ind w:firstLine="720"/>
      </w:pPr>
      <w:r w:rsidRPr="00771E6E">
        <w:t xml:space="preserve">Not only boys, but also girls could be taught how to sing and dance by private teachers. Among them, Caterina and Constanza, daughters of </w:t>
      </w:r>
      <w:proofErr w:type="spellStart"/>
      <w:r w:rsidRPr="00771E6E">
        <w:t>Paliano</w:t>
      </w:r>
      <w:proofErr w:type="spellEnd"/>
      <w:r w:rsidRPr="00771E6E">
        <w:t xml:space="preserve"> di Falco </w:t>
      </w:r>
      <w:proofErr w:type="spellStart"/>
      <w:r w:rsidRPr="00771E6E">
        <w:t>Paliani</w:t>
      </w:r>
      <w:proofErr w:type="spellEnd"/>
      <w:r w:rsidRPr="00771E6E">
        <w:t xml:space="preserve">, learned how to dance in 1421; and </w:t>
      </w:r>
      <w:proofErr w:type="spellStart"/>
      <w:r w:rsidRPr="00771E6E">
        <w:t>Sveva</w:t>
      </w:r>
      <w:proofErr w:type="spellEnd"/>
      <w:r w:rsidRPr="00771E6E">
        <w:t xml:space="preserve">, daughter of </w:t>
      </w:r>
      <w:proofErr w:type="spellStart"/>
      <w:r w:rsidRPr="00771E6E">
        <w:t>Doffo</w:t>
      </w:r>
      <w:proofErr w:type="spellEnd"/>
      <w:r w:rsidRPr="00771E6E">
        <w:t xml:space="preserve"> di </w:t>
      </w:r>
      <w:proofErr w:type="spellStart"/>
      <w:r w:rsidRPr="00771E6E">
        <w:t>Nepo</w:t>
      </w:r>
      <w:proofErr w:type="spellEnd"/>
      <w:r w:rsidRPr="00771E6E">
        <w:t xml:space="preserve"> </w:t>
      </w:r>
      <w:proofErr w:type="spellStart"/>
      <w:r w:rsidRPr="00771E6E">
        <w:t>Spini</w:t>
      </w:r>
      <w:proofErr w:type="spellEnd"/>
      <w:r w:rsidRPr="00771E6E">
        <w:t xml:space="preserve">, received singing classes in 1418; while Alessandra di Bartolomeo </w:t>
      </w:r>
      <w:proofErr w:type="spellStart"/>
      <w:r w:rsidRPr="00771E6E">
        <w:t>Sassetti</w:t>
      </w:r>
      <w:proofErr w:type="spellEnd"/>
      <w:r w:rsidRPr="00771E6E">
        <w:t xml:space="preserve"> was taught how to dance in 1476, and then to play the organ in 1477.</w:t>
      </w:r>
      <w:r w:rsidRPr="00771E6E">
        <w:rPr>
          <w:rStyle w:val="FootnoteReference"/>
        </w:rPr>
        <w:footnoteReference w:id="236"/>
      </w:r>
      <w:r w:rsidRPr="00771E6E">
        <w:t xml:space="preserve"> However, due to music’s association with lasciviousness, it should be noted that women were not always encouraged to engage with musical performance.</w:t>
      </w:r>
      <w:r w:rsidRPr="00771E6E">
        <w:rPr>
          <w:rStyle w:val="FootnoteReference"/>
        </w:rPr>
        <w:footnoteReference w:id="237"/>
      </w:r>
      <w:r w:rsidRPr="00771E6E">
        <w:t xml:space="preserve"> Vividly, the moralist Giovanni di </w:t>
      </w:r>
      <w:proofErr w:type="spellStart"/>
      <w:r w:rsidRPr="00771E6E">
        <w:t>Dio</w:t>
      </w:r>
      <w:proofErr w:type="spellEnd"/>
      <w:r w:rsidRPr="00771E6E">
        <w:t xml:space="preserve">, in a treatise published in Venice in 1471, states that an </w:t>
      </w:r>
      <w:proofErr w:type="spellStart"/>
      <w:r w:rsidRPr="00771E6E">
        <w:t>honourable</w:t>
      </w:r>
      <w:proofErr w:type="spellEnd"/>
      <w:r w:rsidRPr="00771E6E">
        <w:t xml:space="preserve"> unmarried woman would certainly not be praised for, among other things, “being able to sing and play [music] like a whore.”</w:t>
      </w:r>
      <w:r w:rsidRPr="00771E6E">
        <w:rPr>
          <w:rStyle w:val="FootnoteReference"/>
        </w:rPr>
        <w:footnoteReference w:id="238"/>
      </w:r>
      <w:r w:rsidRPr="00771E6E">
        <w:rPr>
          <w:rStyle w:val="CommentReference"/>
          <w:lang w:eastAsia="en-GB"/>
        </w:rPr>
        <w:t xml:space="preserve"> </w:t>
      </w:r>
      <w:r w:rsidRPr="00771E6E">
        <w:t xml:space="preserve"> Around 1454, Saint Antonino, in his </w:t>
      </w:r>
      <w:r w:rsidRPr="00771E6E">
        <w:rPr>
          <w:i/>
        </w:rPr>
        <w:t xml:space="preserve">Opera a ben vivere </w:t>
      </w:r>
      <w:r w:rsidRPr="00771E6E">
        <w:t>(A Work to Live Well by), advises his female readers to avoid attending dances, as far as possible, among other activities, and to cover earthly musical sounds and songs with heavenly angelic music and the choirs of virgin Saints.</w:t>
      </w:r>
      <w:r w:rsidRPr="00771E6E">
        <w:rPr>
          <w:rStyle w:val="FootnoteReference"/>
        </w:rPr>
        <w:footnoteReference w:id="239"/>
      </w:r>
      <w:r w:rsidRPr="00771E6E">
        <w:t xml:space="preserve"> Music tutors were reputed to pay undesirable attention to their female </w:t>
      </w:r>
      <w:r w:rsidRPr="00771E6E">
        <w:lastRenderedPageBreak/>
        <w:t>pupils.</w:t>
      </w:r>
      <w:r w:rsidRPr="00771E6E">
        <w:rPr>
          <w:rStyle w:val="FootnoteReference"/>
        </w:rPr>
        <w:footnoteReference w:id="240"/>
      </w:r>
      <w:r w:rsidRPr="00771E6E">
        <w:t xml:space="preserve"> For this reason, a century earlier, Francesco da </w:t>
      </w:r>
      <w:proofErr w:type="spellStart"/>
      <w:r w:rsidRPr="00771E6E">
        <w:t>Barberino</w:t>
      </w:r>
      <w:proofErr w:type="spellEnd"/>
      <w:r w:rsidRPr="00771E6E">
        <w:t xml:space="preserve"> invited women who engaged with music (either singing or playing instruments) to do it in a discreet and honest way, and only when summoned by family members and removed from the gaze of other men but </w:t>
      </w:r>
      <w:r w:rsidR="00766BA0" w:rsidRPr="00771E6E">
        <w:t>their husbands</w:t>
      </w:r>
      <w:r w:rsidRPr="00771E6E">
        <w:t>.</w:t>
      </w:r>
      <w:r w:rsidRPr="00771E6E">
        <w:rPr>
          <w:rStyle w:val="FootnoteReference"/>
        </w:rPr>
        <w:footnoteReference w:id="241"/>
      </w:r>
      <w:r w:rsidRPr="00771E6E">
        <w:t xml:space="preserve"> These enduring opinions about the dangers of music for female audiences and practitioners became more and more numerous in the sixteenth century. It is apparent, for example, in Pietro Aretino’s assertion that “music, songs and letters</w:t>
      </w:r>
      <w:r w:rsidR="00766BA0" w:rsidRPr="00771E6E">
        <w:t xml:space="preserve"> that women know</w:t>
      </w:r>
      <w:r w:rsidRPr="00771E6E">
        <w:t xml:space="preserve"> are </w:t>
      </w:r>
      <w:r w:rsidR="00766BA0" w:rsidRPr="00771E6E">
        <w:t xml:space="preserve">the </w:t>
      </w:r>
      <w:r w:rsidRPr="00771E6E">
        <w:t>key</w:t>
      </w:r>
      <w:r w:rsidR="00766BA0" w:rsidRPr="00771E6E">
        <w:t>s</w:t>
      </w:r>
      <w:r w:rsidRPr="00771E6E">
        <w:t xml:space="preserve"> t</w:t>
      </w:r>
      <w:r w:rsidR="00766BA0" w:rsidRPr="00771E6E">
        <w:t>hat</w:t>
      </w:r>
      <w:r w:rsidRPr="00771E6E">
        <w:t xml:space="preserve"> unlock the gates of </w:t>
      </w:r>
      <w:r w:rsidR="00766BA0" w:rsidRPr="00771E6E">
        <w:t>their</w:t>
      </w:r>
      <w:r w:rsidRPr="00771E6E">
        <w:t xml:space="preserve"> chastity”</w:t>
      </w:r>
      <w:r w:rsidRPr="00771E6E">
        <w:rPr>
          <w:rStyle w:val="FootnoteReference"/>
        </w:rPr>
        <w:footnoteReference w:id="242"/>
      </w:r>
      <w:r w:rsidRPr="00771E6E">
        <w:t xml:space="preserve"> and in Pietro </w:t>
      </w:r>
      <w:proofErr w:type="spellStart"/>
      <w:r w:rsidRPr="00771E6E">
        <w:t>Bembo’s</w:t>
      </w:r>
      <w:proofErr w:type="spellEnd"/>
      <w:r w:rsidRPr="00771E6E">
        <w:t xml:space="preserve"> warning to his daughter in 1541 that “playing music is for a woman a vain and frivolous thing”, highly incompatible with the desirable virtue of chastity.</w:t>
      </w:r>
      <w:r w:rsidRPr="00771E6E">
        <w:rPr>
          <w:rStyle w:val="FootnoteReference"/>
        </w:rPr>
        <w:footnoteReference w:id="243"/>
      </w:r>
      <w:r w:rsidRPr="00771E6E">
        <w:t xml:space="preserve"> However, despite the troublesome association of music with licentious </w:t>
      </w:r>
      <w:proofErr w:type="spellStart"/>
      <w:r w:rsidRPr="00771E6E">
        <w:t>behaviour</w:t>
      </w:r>
      <w:proofErr w:type="spellEnd"/>
      <w:r w:rsidRPr="00771E6E">
        <w:t>, daughters of wealthy families would still often receive at least some music training.</w:t>
      </w:r>
    </w:p>
    <w:p w14:paraId="57314DCE" w14:textId="77777777" w:rsidR="001840E8" w:rsidRPr="00771E6E" w:rsidRDefault="001840E8" w:rsidP="001840E8">
      <w:pPr>
        <w:ind w:firstLine="720"/>
      </w:pPr>
      <w:r w:rsidRPr="00771E6E">
        <w:t xml:space="preserve">Sometimes there was no need to employ a private teacher, and children were taught music directly by their parents. This is, for example, the case of Benvenuto Cellini, better known for his work as a goldsmith and sculptor, who was taught music as a child by his father, despite his aversion towards it. He narrates this experience in his autobiography, stating that “My father began teaching me to play the recorder and to sing; and though I was at the very young age when little children like to play with a </w:t>
      </w:r>
      <w:r w:rsidR="00766BA0" w:rsidRPr="00771E6E">
        <w:t>little recorder</w:t>
      </w:r>
      <w:r w:rsidRPr="00771E6E">
        <w:t xml:space="preserve"> and such </w:t>
      </w:r>
      <w:r w:rsidR="00766BA0" w:rsidRPr="00771E6E">
        <w:t>pastimes</w:t>
      </w:r>
      <w:r w:rsidRPr="00771E6E">
        <w:t xml:space="preserve">, I had an overwhelming dislike for it, and played and sang only to obey </w:t>
      </w:r>
      <w:r w:rsidR="00766BA0" w:rsidRPr="00771E6E">
        <w:t>[</w:t>
      </w:r>
      <w:r w:rsidRPr="00771E6E">
        <w:t>my father</w:t>
      </w:r>
      <w:r w:rsidR="00766BA0" w:rsidRPr="00771E6E">
        <w:t>]</w:t>
      </w:r>
      <w:r w:rsidRPr="00771E6E">
        <w:t>.”</w:t>
      </w:r>
      <w:r w:rsidRPr="00771E6E">
        <w:rPr>
          <w:rStyle w:val="FootnoteReference"/>
        </w:rPr>
        <w:t xml:space="preserve"> </w:t>
      </w:r>
      <w:r w:rsidRPr="00771E6E">
        <w:rPr>
          <w:rStyle w:val="FootnoteReference"/>
        </w:rPr>
        <w:footnoteReference w:id="244"/>
      </w:r>
      <w:r w:rsidRPr="00771E6E">
        <w:t xml:space="preserve"> Cellini persevered, taking music lessons until the age of fifteen, and was later even recruited to play for Pope Clement VII.</w:t>
      </w:r>
      <w:r w:rsidRPr="00771E6E">
        <w:rPr>
          <w:rStyle w:val="FootnoteReference"/>
        </w:rPr>
        <w:footnoteReference w:id="245"/>
      </w:r>
      <w:r w:rsidRPr="00771E6E">
        <w:t xml:space="preserve"> In addition to these cases, even those children who did not receive professional musical training lived in an environment permeated with music. For example, the practice of singing lullabies to children was so widespread that Giovanni </w:t>
      </w:r>
      <w:proofErr w:type="spellStart"/>
      <w:r w:rsidRPr="00771E6E">
        <w:t>Dominici</w:t>
      </w:r>
      <w:proofErr w:type="spellEnd"/>
      <w:r w:rsidRPr="00771E6E">
        <w:t xml:space="preserve"> </w:t>
      </w:r>
      <w:proofErr w:type="spellStart"/>
      <w:r w:rsidRPr="00771E6E">
        <w:t>criticised</w:t>
      </w:r>
      <w:proofErr w:type="spellEnd"/>
      <w:r w:rsidRPr="00771E6E">
        <w:t xml:space="preserve"> this and other coddling habits as unnecessary </w:t>
      </w:r>
      <w:r w:rsidRPr="00771E6E">
        <w:lastRenderedPageBreak/>
        <w:t>and overindulgent.</w:t>
      </w:r>
      <w:r w:rsidRPr="00771E6E">
        <w:rPr>
          <w:rStyle w:val="FootnoteReference"/>
        </w:rPr>
        <w:footnoteReference w:id="246"/>
      </w:r>
      <w:r w:rsidRPr="00771E6E">
        <w:t xml:space="preserve"> This practice was also connected to lactation, as shown in Giovanni </w:t>
      </w:r>
      <w:proofErr w:type="spellStart"/>
      <w:r w:rsidRPr="00771E6E">
        <w:t>Pontano’s</w:t>
      </w:r>
      <w:proofErr w:type="spellEnd"/>
      <w:r w:rsidRPr="00771E6E">
        <w:t xml:space="preserve"> twelfth Latin lullaby, in which a mother tells her son: “suck, yes, and I’ll sing you a little lullaby. </w:t>
      </w:r>
      <w:proofErr w:type="spellStart"/>
      <w:r w:rsidRPr="00771E6E">
        <w:t>Lul</w:t>
      </w:r>
      <w:proofErr w:type="spellEnd"/>
      <w:r w:rsidRPr="00771E6E">
        <w:t xml:space="preserve">… Lullaby/ </w:t>
      </w:r>
      <w:proofErr w:type="spellStart"/>
      <w:r w:rsidRPr="00771E6E">
        <w:t>D’you</w:t>
      </w:r>
      <w:proofErr w:type="spellEnd"/>
      <w:r w:rsidRPr="00771E6E">
        <w:t xml:space="preserve"> not know it, pet, your lullaby, your little lullaby?”</w:t>
      </w:r>
      <w:r w:rsidRPr="00771E6E">
        <w:rPr>
          <w:rStyle w:val="FootnoteReference"/>
        </w:rPr>
        <w:footnoteReference w:id="247"/>
      </w:r>
      <w:r w:rsidRPr="00771E6E">
        <w:t xml:space="preserve"> </w:t>
      </w:r>
    </w:p>
    <w:p w14:paraId="1982BE91" w14:textId="77777777" w:rsidR="001840E8" w:rsidRPr="00771E6E" w:rsidRDefault="001840E8" w:rsidP="001840E8">
      <w:pPr>
        <w:ind w:firstLine="720"/>
        <w:rPr>
          <w:iCs/>
        </w:rPr>
      </w:pPr>
      <w:r w:rsidRPr="00771E6E">
        <w:t>Musical education was greatly sought after and was frequently recommended in treatises and writings.</w:t>
      </w:r>
      <w:r w:rsidRPr="00771E6E">
        <w:rPr>
          <w:rStyle w:val="FootnoteReference"/>
        </w:rPr>
        <w:footnoteReference w:id="248"/>
      </w:r>
      <w:r w:rsidRPr="00771E6E">
        <w:t xml:space="preserve"> </w:t>
      </w:r>
      <w:proofErr w:type="spellStart"/>
      <w:r w:rsidRPr="00771E6E">
        <w:t>Sassuolo</w:t>
      </w:r>
      <w:proofErr w:type="spellEnd"/>
      <w:r w:rsidRPr="00771E6E">
        <w:t xml:space="preserve"> da Prato, teacher in Mantua from 1437, defends music studies in a letter to one of his friends, describing music as an invention of the Muses and praising it for being a pleasant discipline to learn from the very start of the learning process. To </w:t>
      </w:r>
      <w:proofErr w:type="spellStart"/>
      <w:r w:rsidRPr="00771E6E">
        <w:t>emphasise</w:t>
      </w:r>
      <w:proofErr w:type="spellEnd"/>
      <w:r w:rsidRPr="00771E6E">
        <w:t xml:space="preserve"> the importance of this subject, the author reminds the reader that in ancient Greece one would not be considered literate if he did not have at least some knowledge of music.</w:t>
      </w:r>
      <w:r w:rsidRPr="00771E6E">
        <w:rPr>
          <w:rStyle w:val="FootnoteReference"/>
        </w:rPr>
        <w:footnoteReference w:id="249"/>
      </w:r>
      <w:r w:rsidRPr="00771E6E">
        <w:t xml:space="preserve"> Music education in school was also recommended by Matteo Palmieri in his </w:t>
      </w:r>
      <w:r w:rsidRPr="00771E6E">
        <w:rPr>
          <w:i/>
          <w:iCs/>
        </w:rPr>
        <w:t xml:space="preserve">Vita </w:t>
      </w:r>
      <w:proofErr w:type="spellStart"/>
      <w:r w:rsidRPr="00771E6E">
        <w:rPr>
          <w:i/>
          <w:iCs/>
        </w:rPr>
        <w:t>Civile</w:t>
      </w:r>
      <w:proofErr w:type="spellEnd"/>
      <w:r w:rsidRPr="00771E6E">
        <w:rPr>
          <w:iCs/>
        </w:rPr>
        <w:t>, as he believed it to be helpful for the student to exercise the voice in order to improve its clarity.</w:t>
      </w:r>
      <w:r w:rsidRPr="00771E6E">
        <w:rPr>
          <w:rStyle w:val="FootnoteReference"/>
        </w:rPr>
        <w:footnoteReference w:id="250"/>
      </w:r>
    </w:p>
    <w:p w14:paraId="47D57546" w14:textId="77777777" w:rsidR="001840E8" w:rsidRPr="00771E6E" w:rsidRDefault="001840E8" w:rsidP="001840E8">
      <w:pPr>
        <w:ind w:firstLine="720"/>
        <w:rPr>
          <w:iCs/>
        </w:rPr>
      </w:pPr>
      <w:r w:rsidRPr="00771E6E">
        <w:rPr>
          <w:iCs/>
        </w:rPr>
        <w:t>It is likely that most children learned to sing before even learning how to read, and would learn to read music and text at the same time.</w:t>
      </w:r>
      <w:r w:rsidRPr="00771E6E">
        <w:rPr>
          <w:rStyle w:val="FootnoteReference"/>
        </w:rPr>
        <w:footnoteReference w:id="251"/>
      </w:r>
      <w:r w:rsidRPr="00771E6E">
        <w:rPr>
          <w:iCs/>
        </w:rPr>
        <w:t xml:space="preserve"> Musical textbooks, such as Bonaventura da Brescia’s </w:t>
      </w:r>
      <w:proofErr w:type="spellStart"/>
      <w:r w:rsidRPr="00771E6E">
        <w:rPr>
          <w:i/>
          <w:iCs/>
        </w:rPr>
        <w:t>Breviloquium</w:t>
      </w:r>
      <w:proofErr w:type="spellEnd"/>
      <w:r w:rsidRPr="00771E6E">
        <w:rPr>
          <w:i/>
          <w:iCs/>
        </w:rPr>
        <w:t xml:space="preserve"> musicale </w:t>
      </w:r>
      <w:r w:rsidRPr="00771E6E">
        <w:rPr>
          <w:iCs/>
        </w:rPr>
        <w:t xml:space="preserve">(printed 1497, and often reprinted under the title </w:t>
      </w:r>
      <w:r w:rsidRPr="00771E6E">
        <w:rPr>
          <w:i/>
          <w:iCs/>
        </w:rPr>
        <w:t xml:space="preserve">Regula </w:t>
      </w:r>
      <w:proofErr w:type="spellStart"/>
      <w:r w:rsidRPr="00771E6E">
        <w:rPr>
          <w:i/>
          <w:iCs/>
        </w:rPr>
        <w:t>musicae</w:t>
      </w:r>
      <w:proofErr w:type="spellEnd"/>
      <w:r w:rsidRPr="00771E6E">
        <w:rPr>
          <w:i/>
          <w:iCs/>
        </w:rPr>
        <w:t xml:space="preserve"> </w:t>
      </w:r>
      <w:proofErr w:type="spellStart"/>
      <w:r w:rsidRPr="00771E6E">
        <w:rPr>
          <w:i/>
          <w:iCs/>
        </w:rPr>
        <w:t>planae</w:t>
      </w:r>
      <w:proofErr w:type="spellEnd"/>
      <w:r w:rsidRPr="00771E6E">
        <w:rPr>
          <w:iCs/>
        </w:rPr>
        <w:t xml:space="preserve">), were used to teach the elements of music to children. The text begins with the </w:t>
      </w:r>
      <w:proofErr w:type="spellStart"/>
      <w:r w:rsidRPr="00771E6E">
        <w:rPr>
          <w:iCs/>
        </w:rPr>
        <w:t>Guidonian</w:t>
      </w:r>
      <w:proofErr w:type="spellEnd"/>
      <w:r w:rsidRPr="00771E6E">
        <w:rPr>
          <w:iCs/>
        </w:rPr>
        <w:t xml:space="preserve"> hand, a mnemonic pedagogical device that took its name from the music theorist Guido </w:t>
      </w:r>
      <w:proofErr w:type="spellStart"/>
      <w:r w:rsidRPr="00771E6E">
        <w:rPr>
          <w:iCs/>
        </w:rPr>
        <w:t>d’Arezzo</w:t>
      </w:r>
      <w:proofErr w:type="spellEnd"/>
      <w:r w:rsidRPr="00771E6E">
        <w:rPr>
          <w:iCs/>
        </w:rPr>
        <w:t xml:space="preserve"> (fig. 1.10). This was intended as a memory aid, linking notes to specific points on the hand which were used to help pupils remember the </w:t>
      </w:r>
      <w:proofErr w:type="spellStart"/>
      <w:r w:rsidRPr="00771E6E">
        <w:rPr>
          <w:iCs/>
        </w:rPr>
        <w:t>solmisation</w:t>
      </w:r>
      <w:proofErr w:type="spellEnd"/>
      <w:r w:rsidRPr="00771E6E">
        <w:rPr>
          <w:iCs/>
        </w:rPr>
        <w:t>.</w:t>
      </w:r>
      <w:r w:rsidRPr="00771E6E">
        <w:rPr>
          <w:rStyle w:val="FootnoteReference"/>
        </w:rPr>
        <w:footnoteReference w:id="252"/>
      </w:r>
      <w:r w:rsidRPr="00771E6E">
        <w:rPr>
          <w:iCs/>
        </w:rPr>
        <w:t xml:space="preserve"> The same teaching method is also mentioned by Tinctoris in his </w:t>
      </w:r>
      <w:proofErr w:type="spellStart"/>
      <w:r w:rsidRPr="00771E6E">
        <w:rPr>
          <w:i/>
          <w:iCs/>
        </w:rPr>
        <w:t>Expositio</w:t>
      </w:r>
      <w:proofErr w:type="spellEnd"/>
      <w:r w:rsidRPr="00771E6E">
        <w:rPr>
          <w:i/>
          <w:iCs/>
        </w:rPr>
        <w:t xml:space="preserve"> </w:t>
      </w:r>
      <w:proofErr w:type="spellStart"/>
      <w:r w:rsidRPr="00771E6E">
        <w:rPr>
          <w:i/>
          <w:iCs/>
        </w:rPr>
        <w:lastRenderedPageBreak/>
        <w:t>manus</w:t>
      </w:r>
      <w:proofErr w:type="spellEnd"/>
      <w:r w:rsidRPr="00771E6E">
        <w:rPr>
          <w:i/>
          <w:iCs/>
        </w:rPr>
        <w:t xml:space="preserve"> </w:t>
      </w:r>
      <w:r w:rsidRPr="00771E6E">
        <w:rPr>
          <w:iCs/>
        </w:rPr>
        <w:t xml:space="preserve">(Exposition of the Hand, ca. 1477), dedicated to the skilled young singer Johannes de </w:t>
      </w:r>
      <w:proofErr w:type="spellStart"/>
      <w:r w:rsidRPr="00771E6E">
        <w:rPr>
          <w:iCs/>
        </w:rPr>
        <w:t>Lotinis</w:t>
      </w:r>
      <w:proofErr w:type="spellEnd"/>
      <w:r w:rsidRPr="00771E6E">
        <w:rPr>
          <w:iCs/>
        </w:rPr>
        <w:t>, who is described as “highly proficient” (</w:t>
      </w:r>
      <w:proofErr w:type="spellStart"/>
      <w:r w:rsidRPr="00771E6E">
        <w:rPr>
          <w:i/>
          <w:iCs/>
        </w:rPr>
        <w:t>peritissimum</w:t>
      </w:r>
      <w:proofErr w:type="spellEnd"/>
      <w:r w:rsidRPr="00771E6E">
        <w:rPr>
          <w:iCs/>
        </w:rPr>
        <w:t xml:space="preserve">) in the </w:t>
      </w:r>
      <w:proofErr w:type="spellStart"/>
      <w:r w:rsidRPr="00771E6E">
        <w:rPr>
          <w:iCs/>
        </w:rPr>
        <w:t>Guidonian</w:t>
      </w:r>
      <w:proofErr w:type="spellEnd"/>
      <w:r w:rsidRPr="00771E6E">
        <w:rPr>
          <w:iCs/>
        </w:rPr>
        <w:t xml:space="preserve"> hand, as “there is no more dreadful insult with which to charge a musician than the claim that he does not know his hand.”</w:t>
      </w:r>
      <w:r w:rsidRPr="00771E6E">
        <w:rPr>
          <w:rStyle w:val="FootnoteReference"/>
        </w:rPr>
        <w:footnoteReference w:id="253"/>
      </w:r>
    </w:p>
    <w:p w14:paraId="6300EBE6" w14:textId="77777777" w:rsidR="001840E8" w:rsidRPr="00771E6E" w:rsidRDefault="001840E8" w:rsidP="001840E8">
      <w:pPr>
        <w:ind w:firstLine="720"/>
      </w:pPr>
      <w:r w:rsidRPr="00771E6E">
        <w:t>During the fifteenth and sixteenth centuries music was the subject of a debate that saw two opposing alliances.</w:t>
      </w:r>
      <w:r w:rsidRPr="00771E6E">
        <w:rPr>
          <w:rStyle w:val="FootnoteReference"/>
        </w:rPr>
        <w:footnoteReference w:id="254"/>
      </w:r>
      <w:r w:rsidRPr="00771E6E">
        <w:t xml:space="preserve"> The Spanish scholar Bartolomeo </w:t>
      </w:r>
      <w:proofErr w:type="spellStart"/>
      <w:r w:rsidRPr="00771E6E">
        <w:t>Ramis</w:t>
      </w:r>
      <w:proofErr w:type="spellEnd"/>
      <w:r w:rsidRPr="00771E6E">
        <w:t xml:space="preserve"> de </w:t>
      </w:r>
      <w:proofErr w:type="spellStart"/>
      <w:r w:rsidRPr="00771E6E">
        <w:t>Pareia</w:t>
      </w:r>
      <w:proofErr w:type="spellEnd"/>
      <w:r w:rsidRPr="00771E6E">
        <w:t xml:space="preserve"> (ca. 1440-after 1491), who taught in Bologna, published his </w:t>
      </w:r>
      <w:proofErr w:type="spellStart"/>
      <w:r w:rsidRPr="00771E6E">
        <w:rPr>
          <w:i/>
        </w:rPr>
        <w:t>Musica</w:t>
      </w:r>
      <w:proofErr w:type="spellEnd"/>
      <w:r w:rsidRPr="00771E6E">
        <w:rPr>
          <w:i/>
        </w:rPr>
        <w:t xml:space="preserve"> </w:t>
      </w:r>
      <w:proofErr w:type="spellStart"/>
      <w:r w:rsidRPr="00771E6E">
        <w:rPr>
          <w:i/>
        </w:rPr>
        <w:t>practica</w:t>
      </w:r>
      <w:proofErr w:type="spellEnd"/>
      <w:r w:rsidRPr="00771E6E">
        <w:t xml:space="preserve"> in 1482, in which he attempted to simplify </w:t>
      </w:r>
      <w:proofErr w:type="spellStart"/>
      <w:r w:rsidRPr="00771E6E">
        <w:t>Boethian</w:t>
      </w:r>
      <w:proofErr w:type="spellEnd"/>
      <w:r w:rsidRPr="00771E6E">
        <w:t xml:space="preserve"> principles, so that they would be intelligible not only to theorists, but also to practitioners. </w:t>
      </w:r>
      <w:proofErr w:type="spellStart"/>
      <w:r w:rsidRPr="00771E6E">
        <w:t>Ramis</w:t>
      </w:r>
      <w:proofErr w:type="spellEnd"/>
      <w:r w:rsidRPr="00771E6E">
        <w:t xml:space="preserve">’ innovation, which involved a new method of </w:t>
      </w:r>
      <w:proofErr w:type="spellStart"/>
      <w:r w:rsidRPr="00771E6E">
        <w:t>solmisation</w:t>
      </w:r>
      <w:proofErr w:type="spellEnd"/>
      <w:r w:rsidRPr="00771E6E">
        <w:t xml:space="preserve"> of eight notes, was </w:t>
      </w:r>
      <w:proofErr w:type="spellStart"/>
      <w:r w:rsidRPr="00771E6E">
        <w:t>criticised</w:t>
      </w:r>
      <w:proofErr w:type="spellEnd"/>
      <w:r w:rsidRPr="00771E6E">
        <w:t xml:space="preserve"> by other theorists, who were keen to perpetuate the traditional system introduced by Guido </w:t>
      </w:r>
      <w:proofErr w:type="spellStart"/>
      <w:r w:rsidRPr="00771E6E">
        <w:t>d’Arezzo</w:t>
      </w:r>
      <w:proofErr w:type="spellEnd"/>
      <w:r w:rsidRPr="00771E6E">
        <w:t>.</w:t>
      </w:r>
      <w:r w:rsidRPr="00771E6E">
        <w:rPr>
          <w:rStyle w:val="FootnoteReference"/>
        </w:rPr>
        <w:footnoteReference w:id="255"/>
      </w:r>
      <w:r w:rsidRPr="00771E6E">
        <w:t xml:space="preserve"> The mathematical teaching of music based on the use of Boethius’ </w:t>
      </w:r>
      <w:r w:rsidRPr="00771E6E">
        <w:rPr>
          <w:i/>
        </w:rPr>
        <w:t xml:space="preserve">De </w:t>
      </w:r>
      <w:proofErr w:type="spellStart"/>
      <w:r w:rsidRPr="00771E6E">
        <w:rPr>
          <w:i/>
        </w:rPr>
        <w:t>institutione</w:t>
      </w:r>
      <w:proofErr w:type="spellEnd"/>
      <w:r w:rsidRPr="00771E6E">
        <w:rPr>
          <w:i/>
        </w:rPr>
        <w:t xml:space="preserve"> </w:t>
      </w:r>
      <w:proofErr w:type="spellStart"/>
      <w:r w:rsidRPr="00771E6E">
        <w:rPr>
          <w:i/>
        </w:rPr>
        <w:t>musica</w:t>
      </w:r>
      <w:proofErr w:type="spellEnd"/>
      <w:r w:rsidRPr="00771E6E">
        <w:t xml:space="preserve"> was, by this time, seen to be obsolete and inefficient.</w:t>
      </w:r>
      <w:r w:rsidRPr="00771E6E">
        <w:rPr>
          <w:rStyle w:val="FootnoteReference"/>
        </w:rPr>
        <w:footnoteReference w:id="256"/>
      </w:r>
      <w:r w:rsidRPr="00771E6E">
        <w:t xml:space="preserve"> This shift towards a less technical study of music brought humanists closer to this discipline. This is evident in the </w:t>
      </w:r>
      <w:r w:rsidRPr="00771E6E">
        <w:rPr>
          <w:i/>
        </w:rPr>
        <w:t xml:space="preserve">De </w:t>
      </w:r>
      <w:proofErr w:type="spellStart"/>
      <w:r w:rsidRPr="00771E6E">
        <w:rPr>
          <w:i/>
        </w:rPr>
        <w:t>musica</w:t>
      </w:r>
      <w:proofErr w:type="spellEnd"/>
      <w:r w:rsidRPr="00771E6E">
        <w:rPr>
          <w:i/>
        </w:rPr>
        <w:t xml:space="preserve"> et </w:t>
      </w:r>
      <w:proofErr w:type="spellStart"/>
      <w:r w:rsidRPr="00771E6E">
        <w:rPr>
          <w:i/>
        </w:rPr>
        <w:t>poetica</w:t>
      </w:r>
      <w:proofErr w:type="spellEnd"/>
      <w:r w:rsidRPr="00771E6E">
        <w:rPr>
          <w:i/>
        </w:rPr>
        <w:t xml:space="preserve"> opusculum </w:t>
      </w:r>
      <w:r w:rsidRPr="00771E6E">
        <w:t xml:space="preserve">written by the poet Raffaele Lippo </w:t>
      </w:r>
      <w:proofErr w:type="spellStart"/>
      <w:r w:rsidRPr="00771E6E">
        <w:t>Brandolini</w:t>
      </w:r>
      <w:proofErr w:type="spellEnd"/>
      <w:r w:rsidRPr="00771E6E">
        <w:t xml:space="preserve"> in 1513 for Pope Leo X (Giovanni de’ Medici), himself a connoisseur of music.</w:t>
      </w:r>
      <w:r w:rsidRPr="00771E6E">
        <w:rPr>
          <w:rStyle w:val="FootnoteReference"/>
        </w:rPr>
        <w:footnoteReference w:id="257"/>
      </w:r>
      <w:r w:rsidRPr="00771E6E">
        <w:t xml:space="preserve"> </w:t>
      </w:r>
      <w:proofErr w:type="spellStart"/>
      <w:r w:rsidRPr="00771E6E">
        <w:t>Brandolini</w:t>
      </w:r>
      <w:proofErr w:type="spellEnd"/>
      <w:r w:rsidRPr="00771E6E">
        <w:t xml:space="preserve"> was more interested in the social and moral significance of music rather than its technical characteristics, and for this reason he uses sources that were familiar to his audience, especially Cicero and Quintilian.</w:t>
      </w:r>
      <w:r w:rsidRPr="00771E6E">
        <w:rPr>
          <w:rStyle w:val="FootnoteReference"/>
        </w:rPr>
        <w:footnoteReference w:id="258"/>
      </w:r>
      <w:r w:rsidRPr="00771E6E">
        <w:t xml:space="preserve"> </w:t>
      </w:r>
    </w:p>
    <w:p w14:paraId="3566BEDB" w14:textId="77777777" w:rsidR="001840E8" w:rsidRPr="00771E6E" w:rsidRDefault="001840E8" w:rsidP="001840E8">
      <w:pPr>
        <w:ind w:firstLine="720"/>
      </w:pPr>
      <w:r w:rsidRPr="00771E6E">
        <w:t xml:space="preserve">In keeping with other scholars of his time, </w:t>
      </w:r>
      <w:proofErr w:type="spellStart"/>
      <w:r w:rsidRPr="00771E6E">
        <w:t>Brandolini</w:t>
      </w:r>
      <w:proofErr w:type="spellEnd"/>
      <w:r w:rsidRPr="00771E6E">
        <w:t xml:space="preserve"> cites the ancients’ understanding of the importance of music, and highlights the emphasis they gave to educating young people in this subject, stating that, “they [our ancestors] did not allow the children they educated to remain ignorant of this art.”</w:t>
      </w:r>
      <w:r w:rsidRPr="00771E6E">
        <w:rPr>
          <w:rStyle w:val="FootnoteReference"/>
        </w:rPr>
        <w:footnoteReference w:id="259"/>
      </w:r>
      <w:r w:rsidRPr="00771E6E">
        <w:t xml:space="preserve"> Establishing a parallel between music and poetry, he subsequently recommends poetry for any person of any age, gender </w:t>
      </w:r>
      <w:r w:rsidRPr="00771E6E">
        <w:lastRenderedPageBreak/>
        <w:t>or rank, and states that: “poetic beauty and dignity … guides adolescents [and] trains youth.”</w:t>
      </w:r>
      <w:r w:rsidRPr="00771E6E">
        <w:rPr>
          <w:rStyle w:val="FootnoteReference"/>
        </w:rPr>
        <w:footnoteReference w:id="260"/>
      </w:r>
      <w:r w:rsidRPr="00771E6E">
        <w:t xml:space="preserve"> It is again possible to observe the moral aspect of music education in this, which was frequently present in humanists’ writings.</w:t>
      </w:r>
    </w:p>
    <w:p w14:paraId="41B4AB67" w14:textId="77777777" w:rsidR="001840E8" w:rsidRPr="00771E6E" w:rsidRDefault="001840E8" w:rsidP="001840E8">
      <w:pPr>
        <w:ind w:firstLine="720"/>
      </w:pPr>
      <w:r w:rsidRPr="00771E6E">
        <w:t xml:space="preserve">Music education at a young age continued to be advised throughout the sixteenth century. Traces of this can be found, for example, in the manuscript biography of Alfonso </w:t>
      </w:r>
      <w:proofErr w:type="spellStart"/>
      <w:r w:rsidRPr="00771E6E">
        <w:t>d’Avalos</w:t>
      </w:r>
      <w:proofErr w:type="spellEnd"/>
      <w:r w:rsidRPr="00771E6E">
        <w:t xml:space="preserve"> </w:t>
      </w:r>
      <w:proofErr w:type="spellStart"/>
      <w:r w:rsidRPr="00771E6E">
        <w:t>d’Aquino</w:t>
      </w:r>
      <w:proofErr w:type="spellEnd"/>
      <w:r w:rsidRPr="00771E6E">
        <w:t xml:space="preserve">, Marquis of </w:t>
      </w:r>
      <w:proofErr w:type="spellStart"/>
      <w:r w:rsidRPr="00771E6E">
        <w:t>Vasto</w:t>
      </w:r>
      <w:proofErr w:type="spellEnd"/>
      <w:r w:rsidRPr="00771E6E">
        <w:t xml:space="preserve"> (1502-1546), in which the author states that “the first thing, which is put into the rough mouths of children on the orders of wise fathers and of thoughtful teachers, is music, truly in imitation of Chiron, who raised the valiant Achilles in this way.”</w:t>
      </w:r>
      <w:r w:rsidRPr="00771E6E">
        <w:rPr>
          <w:rStyle w:val="FootnoteReference"/>
        </w:rPr>
        <w:footnoteReference w:id="261"/>
      </w:r>
    </w:p>
    <w:p w14:paraId="4B207212" w14:textId="77777777" w:rsidR="001840E8" w:rsidRPr="00771E6E" w:rsidRDefault="001840E8" w:rsidP="001840E8">
      <w:pPr>
        <w:ind w:firstLine="720"/>
      </w:pPr>
      <w:r w:rsidRPr="00771E6E">
        <w:t>As such, children would have been surrounded by music since the moment of birth, from the singing of lullabies by their mother or nurse, through to more formal training which would have taken place in later years.</w:t>
      </w:r>
    </w:p>
    <w:p w14:paraId="36C50CB5" w14:textId="77777777" w:rsidR="001840E8" w:rsidRPr="00771E6E" w:rsidRDefault="001840E8" w:rsidP="000F53FC">
      <w:bookmarkStart w:id="22" w:name="_Toc3145999"/>
    </w:p>
    <w:p w14:paraId="4085525F" w14:textId="77777777" w:rsidR="001840E8" w:rsidRPr="00771E6E" w:rsidRDefault="001840E8" w:rsidP="001840E8">
      <w:pPr>
        <w:rPr>
          <w:lang w:eastAsia="en-GB"/>
        </w:rPr>
      </w:pPr>
    </w:p>
    <w:p w14:paraId="55B5DF73" w14:textId="77777777" w:rsidR="001840E8" w:rsidRPr="00771E6E" w:rsidRDefault="001840E8" w:rsidP="001840E8">
      <w:pPr>
        <w:pStyle w:val="Subchapter"/>
      </w:pPr>
      <w:bookmarkStart w:id="23" w:name="_Toc3820376"/>
      <w:bookmarkStart w:id="24" w:name="_Toc4329147"/>
      <w:bookmarkStart w:id="25" w:name="_Toc20167598"/>
      <w:bookmarkStart w:id="26" w:name="_Hlk4258392"/>
      <w:bookmarkEnd w:id="22"/>
      <w:r w:rsidRPr="00771E6E">
        <w:t>1.6 Children, Music and Instruments in the Home</w:t>
      </w:r>
      <w:bookmarkEnd w:id="23"/>
      <w:bookmarkEnd w:id="24"/>
      <w:bookmarkEnd w:id="25"/>
    </w:p>
    <w:bookmarkEnd w:id="26"/>
    <w:p w14:paraId="3D4A2FEB" w14:textId="77777777" w:rsidR="001840E8" w:rsidRPr="00771E6E" w:rsidRDefault="001840E8" w:rsidP="001840E8"/>
    <w:p w14:paraId="621D2ED9" w14:textId="77777777" w:rsidR="001840E8" w:rsidRPr="00771E6E" w:rsidRDefault="001840E8" w:rsidP="001840E8">
      <w:bookmarkStart w:id="27" w:name="_Hlk4258508"/>
      <w:r w:rsidRPr="00771E6E">
        <w:t>As seen in the previous section, the learning of musical theory and practice for children was encouraged by contemporary scholars, clergymen and music theorists, to help with their moral upbringing. Children in the home were exposed to musical sounds from birth, when their mothers would sing lullabies to soothe them, a practice that could even be perceived as an emulation of the Virgin Mary, who was described by Tinctoris as singing sweet songs to calm her son</w:t>
      </w:r>
      <w:r w:rsidRPr="00771E6E">
        <w:rPr>
          <w:noProof/>
        </w:rPr>
        <w:t>.</w:t>
      </w:r>
      <w:r w:rsidRPr="00771E6E">
        <w:rPr>
          <w:rStyle w:val="FootnoteReference"/>
        </w:rPr>
        <w:footnoteReference w:id="262"/>
      </w:r>
    </w:p>
    <w:bookmarkEnd w:id="27"/>
    <w:p w14:paraId="149B2AED" w14:textId="77777777" w:rsidR="001840E8" w:rsidRPr="00771E6E" w:rsidRDefault="001840E8" w:rsidP="001840E8">
      <w:pPr>
        <w:ind w:firstLine="720"/>
      </w:pPr>
      <w:r w:rsidRPr="00771E6E">
        <w:t xml:space="preserve">In wealthy households, formal music lessons were sometimes taught by private tutors, as in the case of the young Lorenzo </w:t>
      </w:r>
      <w:proofErr w:type="spellStart"/>
      <w:r w:rsidRPr="00771E6E">
        <w:t>il</w:t>
      </w:r>
      <w:proofErr w:type="spellEnd"/>
      <w:r w:rsidRPr="00771E6E">
        <w:t xml:space="preserve"> Magnifico, who learned to play the viola or </w:t>
      </w:r>
      <w:r w:rsidRPr="00771E6E">
        <w:rPr>
          <w:i/>
        </w:rPr>
        <w:t>lira da braccio</w:t>
      </w:r>
      <w:r w:rsidRPr="00771E6E">
        <w:t xml:space="preserve"> with a tutor named Giuliano “</w:t>
      </w:r>
      <w:proofErr w:type="spellStart"/>
      <w:r w:rsidRPr="00771E6E">
        <w:t>Catellaccio</w:t>
      </w:r>
      <w:proofErr w:type="spellEnd"/>
      <w:r w:rsidRPr="00771E6E">
        <w:t>.” In a letter sent by the teacher to his former pupil on 1 December 1466, Giuliano asks Lorenzo for assistance, writing: “I seek help from you, not having any other protector, as the servant of your house that I have always been and am now, because I was your viola teacher.”</w:t>
      </w:r>
      <w:r w:rsidRPr="00771E6E">
        <w:rPr>
          <w:rStyle w:val="FootnoteReference"/>
        </w:rPr>
        <w:footnoteReference w:id="263"/>
      </w:r>
      <w:r w:rsidRPr="00771E6E">
        <w:t xml:space="preserve"> Musical instruments were </w:t>
      </w:r>
      <w:r w:rsidRPr="00771E6E">
        <w:lastRenderedPageBreak/>
        <w:t xml:space="preserve">kept in the Medici palace during Lorenzo’s rule. According to the inventory taken at his death in 1492, an incredible array of instruments </w:t>
      </w:r>
      <w:proofErr w:type="gramStart"/>
      <w:r w:rsidRPr="00771E6E">
        <w:t>were</w:t>
      </w:r>
      <w:proofErr w:type="gramEnd"/>
      <w:r w:rsidRPr="00771E6E">
        <w:t xml:space="preserve"> stored in the palace. This included four positive organs, one portative organ, five harpsichords in various sizes (of which one was adapted to serve as an organ), three clavichords, a viola with keys “in the manner of a clavichord” (perhaps a hurdy-gurdy, or a </w:t>
      </w:r>
      <w:proofErr w:type="spellStart"/>
      <w:r w:rsidRPr="00771E6E">
        <w:t>cetra</w:t>
      </w:r>
      <w:proofErr w:type="spellEnd"/>
      <w:r w:rsidRPr="00771E6E">
        <w:t xml:space="preserve"> with prominent frets), a harp, two lutes (one of which is described as broken), three large </w:t>
      </w:r>
      <w:proofErr w:type="spellStart"/>
      <w:r w:rsidRPr="00771E6E">
        <w:rPr>
          <w:iCs/>
        </w:rPr>
        <w:t>viole</w:t>
      </w:r>
      <w:proofErr w:type="spellEnd"/>
      <w:r w:rsidRPr="00771E6E">
        <w:t xml:space="preserve"> to be identified with </w:t>
      </w:r>
      <w:r w:rsidRPr="00771E6E">
        <w:rPr>
          <w:i/>
        </w:rPr>
        <w:t>vielle</w:t>
      </w:r>
      <w:r w:rsidRPr="00771E6E">
        <w:t xml:space="preserve"> or </w:t>
      </w:r>
      <w:r w:rsidRPr="00771E6E">
        <w:rPr>
          <w:i/>
        </w:rPr>
        <w:t>lire da braccio</w:t>
      </w:r>
      <w:r w:rsidRPr="00771E6E">
        <w:t>,</w:t>
      </w:r>
      <w:r w:rsidRPr="00771E6E">
        <w:rPr>
          <w:i/>
        </w:rPr>
        <w:t xml:space="preserve"> </w:t>
      </w:r>
      <w:r w:rsidRPr="00771E6E">
        <w:t>and a total of eight recorders in two sets. All of these instruments were kept in only one room, the “chamber of two beds”, on the ground floor.</w:t>
      </w:r>
      <w:r w:rsidRPr="00771E6E">
        <w:rPr>
          <w:rStyle w:val="FootnoteReference"/>
        </w:rPr>
        <w:footnoteReference w:id="264"/>
      </w:r>
      <w:r w:rsidRPr="00771E6E">
        <w:t xml:space="preserve"> </w:t>
      </w:r>
    </w:p>
    <w:p w14:paraId="1FCA95C0" w14:textId="77777777" w:rsidR="001840E8" w:rsidRPr="00771E6E" w:rsidRDefault="001840E8" w:rsidP="001840E8">
      <w:pPr>
        <w:ind w:firstLine="720"/>
      </w:pPr>
      <w:r w:rsidRPr="00771E6E">
        <w:t xml:space="preserve">Of course, the Medici were not the only wealthy Florentine family to own musical instruments. According to an inventory carried out in 1497, a </w:t>
      </w:r>
      <w:r w:rsidRPr="00771E6E">
        <w:rPr>
          <w:iCs/>
        </w:rPr>
        <w:t>viola</w:t>
      </w:r>
      <w:r w:rsidRPr="00771E6E">
        <w:t xml:space="preserve"> was owned by the Tornabuoni family, kept in a chamber by the vestibule on the ground floor of their Florentine palace, together with two “</w:t>
      </w:r>
      <w:proofErr w:type="spellStart"/>
      <w:r w:rsidRPr="00771E6E">
        <w:t>zufoli</w:t>
      </w:r>
      <w:proofErr w:type="spellEnd"/>
      <w:r w:rsidRPr="00771E6E">
        <w:t xml:space="preserve"> da </w:t>
      </w:r>
      <w:proofErr w:type="spellStart"/>
      <w:r w:rsidRPr="00771E6E">
        <w:t>suonare</w:t>
      </w:r>
      <w:proofErr w:type="spellEnd"/>
      <w:r w:rsidRPr="00771E6E">
        <w:t xml:space="preserve">” (recorders for playing), and a decorated horn, while a large harp was kept in a room on the upper floor, and another </w:t>
      </w:r>
      <w:r w:rsidRPr="00771E6E">
        <w:rPr>
          <w:iCs/>
        </w:rPr>
        <w:t>viola</w:t>
      </w:r>
      <w:r w:rsidRPr="00771E6E">
        <w:t xml:space="preserve"> was in their countryside villa.</w:t>
      </w:r>
      <w:r w:rsidRPr="00771E6E">
        <w:rPr>
          <w:rStyle w:val="FootnoteReference"/>
        </w:rPr>
        <w:footnoteReference w:id="265"/>
      </w:r>
      <w:r w:rsidRPr="00771E6E">
        <w:t xml:space="preserve"> Additionally, Francesco </w:t>
      </w:r>
      <w:proofErr w:type="spellStart"/>
      <w:r w:rsidRPr="00771E6E">
        <w:t>Inghirrami</w:t>
      </w:r>
      <w:proofErr w:type="spellEnd"/>
      <w:r w:rsidRPr="00771E6E">
        <w:t xml:space="preserve"> also had several musical instruments distributed among various different rooms in his houses, as deta</w:t>
      </w:r>
      <w:r w:rsidR="00047ED1" w:rsidRPr="00771E6E">
        <w:t>i</w:t>
      </w:r>
      <w:r w:rsidRPr="00771E6E">
        <w:t xml:space="preserve">led in an inventory from 1471. A </w:t>
      </w:r>
      <w:proofErr w:type="spellStart"/>
      <w:r w:rsidRPr="00771E6E">
        <w:rPr>
          <w:i/>
        </w:rPr>
        <w:t>monachordo</w:t>
      </w:r>
      <w:proofErr w:type="spellEnd"/>
      <w:r w:rsidRPr="00771E6E">
        <w:t xml:space="preserve"> (clavichord) and two small organs were stored in the antechamber of his “</w:t>
      </w:r>
      <w:proofErr w:type="spellStart"/>
      <w:r w:rsidRPr="00771E6E">
        <w:t>chasa</w:t>
      </w:r>
      <w:proofErr w:type="spellEnd"/>
      <w:r w:rsidRPr="00771E6E">
        <w:t xml:space="preserve"> </w:t>
      </w:r>
      <w:proofErr w:type="spellStart"/>
      <w:r w:rsidRPr="00771E6E">
        <w:t>picchola</w:t>
      </w:r>
      <w:proofErr w:type="spellEnd"/>
      <w:r w:rsidRPr="00771E6E">
        <w:t xml:space="preserve">” (small house). Another </w:t>
      </w:r>
      <w:proofErr w:type="spellStart"/>
      <w:r w:rsidRPr="00771E6E">
        <w:rPr>
          <w:i/>
        </w:rPr>
        <w:t>monachordo</w:t>
      </w:r>
      <w:proofErr w:type="spellEnd"/>
      <w:r w:rsidRPr="00771E6E">
        <w:t xml:space="preserve">, described as “beautifully painted”, was in a large chamber in a different house. In a room on the ground floor of his residence were two large organs, while at least one book of music was kept in his chamber in the “casa </w:t>
      </w:r>
      <w:proofErr w:type="spellStart"/>
      <w:r w:rsidRPr="00771E6E">
        <w:t>grande</w:t>
      </w:r>
      <w:proofErr w:type="spellEnd"/>
      <w:r w:rsidRPr="00771E6E">
        <w:t>” (large house).</w:t>
      </w:r>
      <w:r w:rsidRPr="00771E6E">
        <w:rPr>
          <w:rStyle w:val="FootnoteReference"/>
        </w:rPr>
        <w:footnoteReference w:id="266"/>
      </w:r>
      <w:r w:rsidRPr="00771E6E">
        <w:t xml:space="preserve"> This phenomenon was not restricted to the Florentine area, as </w:t>
      </w:r>
      <w:r w:rsidRPr="00771E6E">
        <w:rPr>
          <w:color w:val="000000" w:themeColor="text1"/>
        </w:rPr>
        <w:t xml:space="preserve">an inventory of a Venetian household also records an organ, two harpsichords, five </w:t>
      </w:r>
      <w:proofErr w:type="spellStart"/>
      <w:r w:rsidRPr="00771E6E">
        <w:rPr>
          <w:color w:val="000000" w:themeColor="text1"/>
        </w:rPr>
        <w:t>viol</w:t>
      </w:r>
      <w:r w:rsidR="00047ED1" w:rsidRPr="00771E6E">
        <w:rPr>
          <w:color w:val="000000" w:themeColor="text1"/>
        </w:rPr>
        <w:t>e</w:t>
      </w:r>
      <w:proofErr w:type="spellEnd"/>
      <w:r w:rsidRPr="00771E6E">
        <w:rPr>
          <w:color w:val="000000" w:themeColor="text1"/>
        </w:rPr>
        <w:t xml:space="preserve"> and five lutes as stored in a “camera </w:t>
      </w:r>
      <w:proofErr w:type="spellStart"/>
      <w:r w:rsidRPr="00771E6E">
        <w:rPr>
          <w:color w:val="000000" w:themeColor="text1"/>
        </w:rPr>
        <w:t>grande</w:t>
      </w:r>
      <w:proofErr w:type="spellEnd"/>
      <w:r w:rsidRPr="00771E6E">
        <w:rPr>
          <w:color w:val="000000" w:themeColor="text1"/>
        </w:rPr>
        <w:t xml:space="preserve">”, along with typical </w:t>
      </w:r>
      <w:r w:rsidRPr="00771E6E">
        <w:rPr>
          <w:color w:val="000000" w:themeColor="text1"/>
        </w:rPr>
        <w:lastRenderedPageBreak/>
        <w:t>bedroom furniture, such as a bed, storage chests, a mirror and a painting of Saint Jerome.</w:t>
      </w:r>
      <w:r w:rsidRPr="00771E6E">
        <w:rPr>
          <w:rStyle w:val="FootnoteReference"/>
        </w:rPr>
        <w:footnoteReference w:id="267"/>
      </w:r>
    </w:p>
    <w:p w14:paraId="39DF9D73" w14:textId="77777777" w:rsidR="001840E8" w:rsidRPr="00771E6E" w:rsidRDefault="001840E8" w:rsidP="001840E8">
      <w:pPr>
        <w:ind w:firstLine="720"/>
      </w:pPr>
      <w:r w:rsidRPr="00771E6E">
        <w:t xml:space="preserve">The presence of musical instruments within the house meant that the young members of the house were exposed to the music played by adults, and, at the same time, that these devices were readily available if children were to learn how to play them. Stephanie R. Miller has pointed out that musical instruments were often stored in rooms on the ground floor, which was also the designated space for the adolescents of the family according to the advice given by Leon Battista Alberti in his </w:t>
      </w:r>
      <w:r w:rsidRPr="00771E6E">
        <w:rPr>
          <w:i/>
        </w:rPr>
        <w:t xml:space="preserve">De re </w:t>
      </w:r>
      <w:proofErr w:type="spellStart"/>
      <w:r w:rsidRPr="00771E6E">
        <w:rPr>
          <w:i/>
        </w:rPr>
        <w:t>aedificatoria</w:t>
      </w:r>
      <w:proofErr w:type="spellEnd"/>
      <w:r w:rsidRPr="00771E6E">
        <w:t xml:space="preserve"> (On the Art of Building). As Miller argues, </w:t>
      </w:r>
      <w:bookmarkStart w:id="28" w:name="_Hlk4258965"/>
      <w:r w:rsidRPr="00771E6E">
        <w:t>this suggests an association between young people and musical instruments.</w:t>
      </w:r>
      <w:r w:rsidRPr="00771E6E">
        <w:rPr>
          <w:rStyle w:val="FootnoteReference"/>
        </w:rPr>
        <w:footnoteReference w:id="268"/>
      </w:r>
      <w:r w:rsidRPr="00771E6E">
        <w:t xml:space="preserve"> There is also evidence that holy images would have been displayed in those same quarters, which further highlights the importance given by parents to the moral instruction of youth.</w:t>
      </w:r>
      <w:r w:rsidRPr="00771E6E">
        <w:rPr>
          <w:rStyle w:val="FootnoteReference"/>
        </w:rPr>
        <w:footnoteReference w:id="269"/>
      </w:r>
    </w:p>
    <w:bookmarkEnd w:id="28"/>
    <w:p w14:paraId="52A80F2E" w14:textId="77777777" w:rsidR="001840E8" w:rsidRPr="00771E6E" w:rsidRDefault="001840E8" w:rsidP="001840E8">
      <w:pPr>
        <w:ind w:firstLine="720"/>
        <w:rPr>
          <w:b/>
          <w:color w:val="000000" w:themeColor="text1"/>
        </w:rPr>
      </w:pPr>
      <w:r w:rsidRPr="00771E6E">
        <w:t xml:space="preserve">As discussed in the previous section, musical interest could be passed from parents to their children, such as in the case of Benvenuto Cellini, and possibly Leon Battista Alberti, who were both sons of musicians. This is also certainly true in the case of </w:t>
      </w:r>
      <w:proofErr w:type="spellStart"/>
      <w:r w:rsidRPr="00771E6E">
        <w:t>Ruberto</w:t>
      </w:r>
      <w:proofErr w:type="spellEnd"/>
      <w:r w:rsidRPr="00771E6E">
        <w:t xml:space="preserve">, son of Filippo </w:t>
      </w:r>
      <w:proofErr w:type="spellStart"/>
      <w:r w:rsidRPr="00771E6E">
        <w:t>Strozzi</w:t>
      </w:r>
      <w:proofErr w:type="spellEnd"/>
      <w:r w:rsidRPr="00771E6E">
        <w:t>, who sung publicly with his own brother Lorenzo on feast days, and</w:t>
      </w:r>
      <w:r w:rsidRPr="00771E6E">
        <w:rPr>
          <w:rStyle w:val="FootnoteReference"/>
        </w:rPr>
        <w:t xml:space="preserve"> </w:t>
      </w:r>
      <w:r w:rsidRPr="00771E6E">
        <w:t xml:space="preserve">who must have been trained in music since his youth, as he collaborated with the composer Bartolomeo </w:t>
      </w:r>
      <w:proofErr w:type="spellStart"/>
      <w:r w:rsidRPr="00771E6E">
        <w:t>degli</w:t>
      </w:r>
      <w:proofErr w:type="spellEnd"/>
      <w:r w:rsidRPr="00771E6E">
        <w:t xml:space="preserve"> </w:t>
      </w:r>
      <w:proofErr w:type="spellStart"/>
      <w:r w:rsidRPr="00771E6E">
        <w:t>Organi</w:t>
      </w:r>
      <w:proofErr w:type="spellEnd"/>
      <w:r w:rsidRPr="00771E6E">
        <w:t xml:space="preserve"> for a </w:t>
      </w:r>
      <w:proofErr w:type="spellStart"/>
      <w:r w:rsidRPr="00771E6E">
        <w:rPr>
          <w:i/>
        </w:rPr>
        <w:t>mascherata</w:t>
      </w:r>
      <w:proofErr w:type="spellEnd"/>
      <w:r w:rsidRPr="00771E6E">
        <w:t xml:space="preserve"> (a masquerade)</w:t>
      </w:r>
      <w:r w:rsidRPr="00771E6E">
        <w:rPr>
          <w:i/>
        </w:rPr>
        <w:t xml:space="preserve"> </w:t>
      </w:r>
      <w:r w:rsidRPr="00771E6E">
        <w:t>in 1507, when he was nineteen-years old.</w:t>
      </w:r>
      <w:r w:rsidRPr="00771E6E">
        <w:rPr>
          <w:rStyle w:val="FootnoteReference"/>
        </w:rPr>
        <w:footnoteReference w:id="270"/>
      </w:r>
      <w:r w:rsidRPr="00771E6E">
        <w:t xml:space="preserve"> It is also known that Girolamo Savonarola was taught how to play the lute by his grandfather Michele, as reported by his companion Fra Benedetto </w:t>
      </w:r>
      <w:proofErr w:type="spellStart"/>
      <w:r w:rsidRPr="00771E6E">
        <w:t>Luschini</w:t>
      </w:r>
      <w:proofErr w:type="spellEnd"/>
      <w:r w:rsidRPr="00771E6E">
        <w:t xml:space="preserve"> in his </w:t>
      </w:r>
      <w:proofErr w:type="spellStart"/>
      <w:r w:rsidRPr="00771E6E">
        <w:rPr>
          <w:i/>
        </w:rPr>
        <w:t>Vulnera</w:t>
      </w:r>
      <w:proofErr w:type="spellEnd"/>
      <w:r w:rsidRPr="00771E6E">
        <w:rPr>
          <w:i/>
        </w:rPr>
        <w:t xml:space="preserve"> </w:t>
      </w:r>
      <w:proofErr w:type="spellStart"/>
      <w:r w:rsidRPr="00771E6E">
        <w:rPr>
          <w:i/>
        </w:rPr>
        <w:t>Diligentis</w:t>
      </w:r>
      <w:proofErr w:type="spellEnd"/>
      <w:r w:rsidRPr="00771E6E">
        <w:t xml:space="preserve"> (The Wounds of a Friend).</w:t>
      </w:r>
      <w:r w:rsidRPr="00771E6E">
        <w:rPr>
          <w:rStyle w:val="FootnoteReference"/>
        </w:rPr>
        <w:footnoteReference w:id="271"/>
      </w:r>
      <w:r w:rsidRPr="00771E6E">
        <w:t xml:space="preserve"> The involvement of grandparents in musical activities with their grandchildren is also demonstrated by the fact that Cosimo de’ Medici went so far as to interrupt a diplomatic meeting to play the bagpipes with one of his grandsons, much to the bemusement of a group of ambassadors from Lucca who were visiting at the time.</w:t>
      </w:r>
      <w:r w:rsidRPr="00771E6E">
        <w:rPr>
          <w:rStyle w:val="FootnoteReference"/>
        </w:rPr>
        <w:footnoteReference w:id="272"/>
      </w:r>
    </w:p>
    <w:p w14:paraId="145B3FB7" w14:textId="77777777" w:rsidR="001840E8" w:rsidRPr="00771E6E" w:rsidRDefault="001840E8" w:rsidP="001840E8">
      <w:pPr>
        <w:ind w:firstLine="720"/>
        <w:rPr>
          <w:color w:val="000000" w:themeColor="text1"/>
        </w:rPr>
      </w:pPr>
      <w:bookmarkStart w:id="29" w:name="_Hlk4259165"/>
      <w:r w:rsidRPr="00771E6E">
        <w:rPr>
          <w:color w:val="000000" w:themeColor="text1"/>
        </w:rPr>
        <w:lastRenderedPageBreak/>
        <w:t>Music making, therefore, was a domestic activity that involved the whole family, and on occasions could involve other visitors as well</w:t>
      </w:r>
      <w:bookmarkEnd w:id="29"/>
      <w:r w:rsidRPr="00771E6E">
        <w:rPr>
          <w:color w:val="000000" w:themeColor="text1"/>
        </w:rPr>
        <w:t xml:space="preserve">. For example, in 1477, at a banquet </w:t>
      </w:r>
      <w:proofErr w:type="spellStart"/>
      <w:r w:rsidRPr="00771E6E">
        <w:rPr>
          <w:color w:val="000000" w:themeColor="text1"/>
        </w:rPr>
        <w:t>organised</w:t>
      </w:r>
      <w:proofErr w:type="spellEnd"/>
      <w:r w:rsidRPr="00771E6E">
        <w:rPr>
          <w:color w:val="000000" w:themeColor="text1"/>
        </w:rPr>
        <w:t xml:space="preserve"> by a member of the Florentine </w:t>
      </w:r>
      <w:proofErr w:type="spellStart"/>
      <w:r w:rsidRPr="00771E6E">
        <w:rPr>
          <w:color w:val="000000" w:themeColor="text1"/>
        </w:rPr>
        <w:t>Salutati</w:t>
      </w:r>
      <w:proofErr w:type="spellEnd"/>
      <w:r w:rsidRPr="00771E6E">
        <w:rPr>
          <w:color w:val="000000" w:themeColor="text1"/>
        </w:rPr>
        <w:t xml:space="preserve"> family living in Naples, the guests moved to the </w:t>
      </w:r>
      <w:r w:rsidRPr="00771E6E">
        <w:rPr>
          <w:i/>
          <w:color w:val="000000" w:themeColor="text1"/>
        </w:rPr>
        <w:t>camera</w:t>
      </w:r>
      <w:r w:rsidRPr="00771E6E">
        <w:rPr>
          <w:color w:val="000000" w:themeColor="text1"/>
        </w:rPr>
        <w:t xml:space="preserve"> (bedchamber) and </w:t>
      </w:r>
      <w:proofErr w:type="spellStart"/>
      <w:r w:rsidRPr="00771E6E">
        <w:rPr>
          <w:i/>
          <w:color w:val="000000" w:themeColor="text1"/>
        </w:rPr>
        <w:t>anticamera</w:t>
      </w:r>
      <w:proofErr w:type="spellEnd"/>
      <w:r w:rsidRPr="00771E6E">
        <w:rPr>
          <w:color w:val="000000" w:themeColor="text1"/>
        </w:rPr>
        <w:t xml:space="preserve"> (antechamber) to play music after finishing their meals.</w:t>
      </w:r>
      <w:r w:rsidRPr="00771E6E">
        <w:rPr>
          <w:rStyle w:val="FootnoteReference"/>
        </w:rPr>
        <w:footnoteReference w:id="273"/>
      </w:r>
      <w:r w:rsidRPr="00771E6E">
        <w:rPr>
          <w:color w:val="000000" w:themeColor="text1"/>
        </w:rPr>
        <w:t xml:space="preserve"> </w:t>
      </w:r>
      <w:bookmarkStart w:id="30" w:name="_Hlk4259252"/>
      <w:r w:rsidRPr="00771E6E">
        <w:rPr>
          <w:color w:val="000000" w:themeColor="text1"/>
        </w:rPr>
        <w:t xml:space="preserve">As this account implies, </w:t>
      </w:r>
      <w:r w:rsidR="00047ED1" w:rsidRPr="00771E6E">
        <w:rPr>
          <w:color w:val="000000" w:themeColor="text1"/>
        </w:rPr>
        <w:t xml:space="preserve">the </w:t>
      </w:r>
      <w:r w:rsidRPr="00771E6E">
        <w:rPr>
          <w:i/>
          <w:color w:val="000000" w:themeColor="text1"/>
        </w:rPr>
        <w:t xml:space="preserve">camera </w:t>
      </w:r>
      <w:r w:rsidRPr="00771E6E">
        <w:rPr>
          <w:color w:val="000000" w:themeColor="text1"/>
        </w:rPr>
        <w:t>in a Renaissance house was not only a space for resting, and was indeed used by both men and their wives for everyday activities such as keeping accounts and sewing.</w:t>
      </w:r>
      <w:r w:rsidRPr="00771E6E">
        <w:rPr>
          <w:rStyle w:val="FootnoteReference"/>
        </w:rPr>
        <w:footnoteReference w:id="274"/>
      </w:r>
      <w:r w:rsidRPr="00771E6E">
        <w:rPr>
          <w:color w:val="000000" w:themeColor="text1"/>
        </w:rPr>
        <w:t xml:space="preserve"> That musical instruments could be stored in bedrooms is confirmed </w:t>
      </w:r>
      <w:bookmarkEnd w:id="30"/>
      <w:r w:rsidRPr="00771E6E">
        <w:rPr>
          <w:color w:val="000000" w:themeColor="text1"/>
        </w:rPr>
        <w:t xml:space="preserve">by a novel written around the middle of the sixteenth century by the Sienese Pietro </w:t>
      </w:r>
      <w:proofErr w:type="spellStart"/>
      <w:r w:rsidRPr="00771E6E">
        <w:rPr>
          <w:color w:val="000000" w:themeColor="text1"/>
        </w:rPr>
        <w:t>Fortini</w:t>
      </w:r>
      <w:proofErr w:type="spellEnd"/>
      <w:r w:rsidRPr="00771E6E">
        <w:rPr>
          <w:color w:val="000000" w:themeColor="text1"/>
        </w:rPr>
        <w:t xml:space="preserve"> in which a keyboard instrument, being moved to the garden, is described as being kept in the </w:t>
      </w:r>
      <w:r w:rsidRPr="00771E6E">
        <w:rPr>
          <w:i/>
          <w:color w:val="000000" w:themeColor="text1"/>
        </w:rPr>
        <w:t>camera</w:t>
      </w:r>
      <w:r w:rsidRPr="00771E6E">
        <w:rPr>
          <w:color w:val="000000" w:themeColor="text1"/>
        </w:rPr>
        <w:t xml:space="preserve"> of a character called </w:t>
      </w:r>
      <w:proofErr w:type="spellStart"/>
      <w:r w:rsidRPr="00771E6E">
        <w:rPr>
          <w:color w:val="000000" w:themeColor="text1"/>
        </w:rPr>
        <w:t>Constansio</w:t>
      </w:r>
      <w:proofErr w:type="spellEnd"/>
      <w:r w:rsidRPr="00771E6E">
        <w:rPr>
          <w:color w:val="000000" w:themeColor="text1"/>
        </w:rPr>
        <w:t xml:space="preserve"> “to entertain himself” (</w:t>
      </w:r>
      <w:r w:rsidRPr="00771E6E">
        <w:rPr>
          <w:i/>
          <w:color w:val="000000" w:themeColor="text1"/>
        </w:rPr>
        <w:t xml:space="preserve">per </w:t>
      </w:r>
      <w:proofErr w:type="spellStart"/>
      <w:r w:rsidRPr="00771E6E">
        <w:rPr>
          <w:i/>
          <w:color w:val="000000" w:themeColor="text1"/>
        </w:rPr>
        <w:t>suo</w:t>
      </w:r>
      <w:proofErr w:type="spellEnd"/>
      <w:r w:rsidRPr="00771E6E">
        <w:rPr>
          <w:i/>
          <w:color w:val="000000" w:themeColor="text1"/>
        </w:rPr>
        <w:t xml:space="preserve"> </w:t>
      </w:r>
      <w:proofErr w:type="spellStart"/>
      <w:r w:rsidRPr="00771E6E">
        <w:rPr>
          <w:i/>
          <w:color w:val="000000" w:themeColor="text1"/>
        </w:rPr>
        <w:t>spasso</w:t>
      </w:r>
      <w:proofErr w:type="spellEnd"/>
      <w:r w:rsidRPr="00771E6E">
        <w:rPr>
          <w:color w:val="000000" w:themeColor="text1"/>
        </w:rPr>
        <w:t>).</w:t>
      </w:r>
      <w:r w:rsidRPr="00771E6E">
        <w:rPr>
          <w:rStyle w:val="FootnoteReference"/>
        </w:rPr>
        <w:footnoteReference w:id="275"/>
      </w:r>
      <w:r w:rsidRPr="00771E6E">
        <w:rPr>
          <w:color w:val="000000" w:themeColor="text1"/>
        </w:rPr>
        <w:t xml:space="preserve"> Similarly, in a play written by Pietro Aretino in 1546, one of the characters asks another to fetch his lute from a </w:t>
      </w:r>
      <w:r w:rsidRPr="00771E6E">
        <w:rPr>
          <w:i/>
          <w:color w:val="000000" w:themeColor="text1"/>
        </w:rPr>
        <w:t>camera</w:t>
      </w:r>
      <w:r w:rsidRPr="00771E6E">
        <w:rPr>
          <w:color w:val="000000" w:themeColor="text1"/>
        </w:rPr>
        <w:t>.</w:t>
      </w:r>
      <w:r w:rsidRPr="00771E6E">
        <w:rPr>
          <w:rStyle w:val="FootnoteReference"/>
        </w:rPr>
        <w:footnoteReference w:id="276"/>
      </w:r>
      <w:r w:rsidRPr="00771E6E">
        <w:rPr>
          <w:color w:val="000000" w:themeColor="text1"/>
        </w:rPr>
        <w:t xml:space="preserve"> </w:t>
      </w:r>
      <w:bookmarkStart w:id="31" w:name="_Hlk4259409"/>
    </w:p>
    <w:p w14:paraId="2E294137" w14:textId="77777777" w:rsidR="00D72D65" w:rsidRPr="00771E6E" w:rsidRDefault="001840E8" w:rsidP="00D72D65">
      <w:pPr>
        <w:pStyle w:val="CommentText"/>
      </w:pPr>
      <w:r w:rsidRPr="00771E6E">
        <w:rPr>
          <w:color w:val="000000" w:themeColor="text1"/>
        </w:rPr>
        <w:t>While documentary references to domestic musical practices are unfortunately infrequent, they are, however, complemented by a number of other sources, including depictions of music-making in paintings</w:t>
      </w:r>
      <w:bookmarkEnd w:id="31"/>
      <w:r w:rsidRPr="00771E6E">
        <w:rPr>
          <w:color w:val="000000" w:themeColor="text1"/>
        </w:rPr>
        <w:t>.</w:t>
      </w:r>
      <w:r w:rsidRPr="00771E6E">
        <w:rPr>
          <w:rStyle w:val="FootnoteReference"/>
        </w:rPr>
        <w:footnoteReference w:id="277"/>
      </w:r>
      <w:r w:rsidRPr="00771E6E">
        <w:rPr>
          <w:color w:val="000000" w:themeColor="text1"/>
        </w:rPr>
        <w:t xml:space="preserve"> </w:t>
      </w:r>
      <w:r w:rsidRPr="00771E6E">
        <w:t xml:space="preserve">A painting from around 1548, attributed to Lambert </w:t>
      </w:r>
      <w:proofErr w:type="spellStart"/>
      <w:r w:rsidRPr="00771E6E">
        <w:t>Sustris</w:t>
      </w:r>
      <w:proofErr w:type="spellEnd"/>
      <w:r w:rsidR="0076762F" w:rsidRPr="00771E6E">
        <w:t xml:space="preserve"> (Alberto de </w:t>
      </w:r>
      <w:proofErr w:type="spellStart"/>
      <w:r w:rsidR="0076762F" w:rsidRPr="00771E6E">
        <w:t>Olanda</w:t>
      </w:r>
      <w:proofErr w:type="spellEnd"/>
      <w:r w:rsidR="0076762F" w:rsidRPr="00771E6E">
        <w:t>)</w:t>
      </w:r>
      <w:r w:rsidRPr="00771E6E">
        <w:t xml:space="preserve">, a Dutch painter active in Venice (fig. 1.11), shows a remarkable example of music being played in a </w:t>
      </w:r>
      <w:r w:rsidRPr="00771E6E">
        <w:rPr>
          <w:i/>
        </w:rPr>
        <w:t>camera</w:t>
      </w:r>
      <w:r w:rsidRPr="00771E6E">
        <w:t xml:space="preserve"> and of the involvement of children in domestic music practices. </w:t>
      </w:r>
      <w:proofErr w:type="spellStart"/>
      <w:r w:rsidR="00EA4F92" w:rsidRPr="00771E6E">
        <w:t>Sustris</w:t>
      </w:r>
      <w:proofErr w:type="spellEnd"/>
      <w:r w:rsidR="00EA4F92" w:rsidRPr="00771E6E">
        <w:t xml:space="preserve"> worked in Titian’s workshop during his time in </w:t>
      </w:r>
      <w:proofErr w:type="gramStart"/>
      <w:r w:rsidR="00EA4F92" w:rsidRPr="00771E6E">
        <w:t>Venice, and</w:t>
      </w:r>
      <w:proofErr w:type="gramEnd"/>
      <w:r w:rsidR="00EA4F92" w:rsidRPr="00771E6E">
        <w:t xml:space="preserve"> would have been intimately acquainted with Titian’s style </w:t>
      </w:r>
      <w:r w:rsidR="00B317F6" w:rsidRPr="00771E6E">
        <w:t>throughout</w:t>
      </w:r>
      <w:r w:rsidR="00EA4F92" w:rsidRPr="00771E6E">
        <w:t xml:space="preserve"> his artistic development.</w:t>
      </w:r>
      <w:r w:rsidR="00EA4F92" w:rsidRPr="00771E6E">
        <w:rPr>
          <w:rStyle w:val="FootnoteReference"/>
        </w:rPr>
        <w:footnoteReference w:id="278"/>
      </w:r>
      <w:r w:rsidR="00EA4F92" w:rsidRPr="00771E6E">
        <w:t xml:space="preserve"> </w:t>
      </w:r>
      <w:r w:rsidR="00C0751C" w:rsidRPr="00771E6E">
        <w:t xml:space="preserve">The primary subject of this painting, </w:t>
      </w:r>
      <w:r w:rsidR="00C0751C" w:rsidRPr="00771E6E">
        <w:rPr>
          <w:i/>
        </w:rPr>
        <w:t>Venus in her bedchamber</w:t>
      </w:r>
      <w:r w:rsidR="00C0751C" w:rsidRPr="00771E6E">
        <w:t xml:space="preserve">, </w:t>
      </w:r>
      <w:r w:rsidR="00EA4F92" w:rsidRPr="00771E6E">
        <w:t xml:space="preserve">was clearly </w:t>
      </w:r>
      <w:r w:rsidR="00C0751C" w:rsidRPr="00771E6E">
        <w:t xml:space="preserve">inspired by Titian’s </w:t>
      </w:r>
      <w:r w:rsidR="00C0751C" w:rsidRPr="00771E6E">
        <w:rPr>
          <w:i/>
          <w:iCs/>
        </w:rPr>
        <w:t>Venus of Urbino</w:t>
      </w:r>
      <w:r w:rsidR="00EA4F92" w:rsidRPr="00771E6E">
        <w:rPr>
          <w:i/>
          <w:iCs/>
        </w:rPr>
        <w:t>,</w:t>
      </w:r>
      <w:r w:rsidR="00C0751C" w:rsidRPr="00771E6E">
        <w:t xml:space="preserve"> now in the Uffizi Gallery, Florence. </w:t>
      </w:r>
      <w:r w:rsidR="00EA4F92" w:rsidRPr="00771E6E">
        <w:t xml:space="preserve"> In addition to the obvious </w:t>
      </w:r>
      <w:r w:rsidR="00905983" w:rsidRPr="00771E6E">
        <w:t xml:space="preserve">figure of the reclining Venus in the foreground, the background of </w:t>
      </w:r>
      <w:proofErr w:type="spellStart"/>
      <w:r w:rsidR="00905983" w:rsidRPr="00771E6E">
        <w:t>Sustris</w:t>
      </w:r>
      <w:proofErr w:type="spellEnd"/>
      <w:r w:rsidR="00905983" w:rsidRPr="00771E6E">
        <w:t>’ painting also make</w:t>
      </w:r>
      <w:r w:rsidR="007977FC" w:rsidRPr="00771E6E">
        <w:t>s</w:t>
      </w:r>
      <w:r w:rsidR="00905983" w:rsidRPr="00771E6E">
        <w:t xml:space="preserve"> reference to </w:t>
      </w:r>
      <w:r w:rsidR="00EA4F92" w:rsidRPr="00771E6E">
        <w:t>the source of his inspiration.</w:t>
      </w:r>
      <w:r w:rsidR="00905983" w:rsidRPr="00771E6E">
        <w:t xml:space="preserve"> </w:t>
      </w:r>
      <w:r w:rsidR="00EA4F92" w:rsidRPr="00771E6E">
        <w:t xml:space="preserve">It does this through </w:t>
      </w:r>
      <w:r w:rsidR="00905983" w:rsidRPr="00771E6E">
        <w:t xml:space="preserve">the </w:t>
      </w:r>
      <w:r w:rsidR="00B317F6" w:rsidRPr="00771E6E">
        <w:t>window</w:t>
      </w:r>
      <w:r w:rsidR="00905983" w:rsidRPr="00771E6E">
        <w:t xml:space="preserve"> that </w:t>
      </w:r>
      <w:r w:rsidR="00B317F6" w:rsidRPr="00771E6E">
        <w:t>opens on to a</w:t>
      </w:r>
      <w:r w:rsidR="00905983" w:rsidRPr="00771E6E">
        <w:t xml:space="preserve"> view of the sky, </w:t>
      </w:r>
      <w:r w:rsidR="00B317F6" w:rsidRPr="00771E6E">
        <w:t>within</w:t>
      </w:r>
      <w:r w:rsidR="00905983" w:rsidRPr="00771E6E">
        <w:t xml:space="preserve"> which a plant in a vase rests, and </w:t>
      </w:r>
      <w:r w:rsidR="00EA4F92" w:rsidRPr="00771E6E">
        <w:t>through</w:t>
      </w:r>
      <w:r w:rsidR="00905983" w:rsidRPr="00771E6E">
        <w:t xml:space="preserve"> the two women who have opened the lid of a nearby </w:t>
      </w:r>
      <w:r w:rsidR="00905983" w:rsidRPr="00771E6E">
        <w:rPr>
          <w:i/>
        </w:rPr>
        <w:t xml:space="preserve">cassone </w:t>
      </w:r>
      <w:r w:rsidR="00905983" w:rsidRPr="00771E6E">
        <w:t xml:space="preserve">and are taking items from inside it. </w:t>
      </w:r>
      <w:r w:rsidR="000E0295" w:rsidRPr="00771E6E">
        <w:t xml:space="preserve">It is known that Titian </w:t>
      </w:r>
      <w:r w:rsidR="00AE53E2" w:rsidRPr="00771E6E">
        <w:t>kept</w:t>
      </w:r>
      <w:r w:rsidR="000E0295" w:rsidRPr="00771E6E">
        <w:t xml:space="preserve"> sketches </w:t>
      </w:r>
      <w:r w:rsidR="00AE53E2" w:rsidRPr="00771E6E">
        <w:t xml:space="preserve">and copies </w:t>
      </w:r>
      <w:r w:rsidR="000E0295" w:rsidRPr="00771E6E">
        <w:t>of his best works available for his assistants to copy</w:t>
      </w:r>
      <w:r w:rsidR="005F2B7C" w:rsidRPr="00771E6E">
        <w:t>,</w:t>
      </w:r>
      <w:r w:rsidR="005F2B7C" w:rsidRPr="00771E6E">
        <w:rPr>
          <w:rStyle w:val="FootnoteReference"/>
        </w:rPr>
        <w:footnoteReference w:id="279"/>
      </w:r>
      <w:r w:rsidR="005F2B7C" w:rsidRPr="00771E6E">
        <w:t xml:space="preserve"> and so it is likely that </w:t>
      </w:r>
      <w:proofErr w:type="spellStart"/>
      <w:r w:rsidR="005F2B7C" w:rsidRPr="00771E6E">
        <w:t>Sustris</w:t>
      </w:r>
      <w:proofErr w:type="spellEnd"/>
      <w:r w:rsidR="005F2B7C" w:rsidRPr="00771E6E">
        <w:t xml:space="preserve"> </w:t>
      </w:r>
      <w:r w:rsidR="00EA4F92" w:rsidRPr="00771E6E">
        <w:t>would have ha</w:t>
      </w:r>
      <w:r w:rsidR="00B317F6" w:rsidRPr="00771E6E">
        <w:t>d</w:t>
      </w:r>
      <w:r w:rsidR="00EA4F92" w:rsidRPr="00771E6E">
        <w:t xml:space="preserve"> ampl</w:t>
      </w:r>
      <w:r w:rsidR="00B317F6" w:rsidRPr="00771E6E">
        <w:t>e</w:t>
      </w:r>
      <w:r w:rsidR="005F2B7C" w:rsidRPr="00771E6E">
        <w:t xml:space="preserve"> opportunity to study Titian’s </w:t>
      </w:r>
      <w:r w:rsidR="005F2B7C" w:rsidRPr="00771E6E">
        <w:lastRenderedPageBreak/>
        <w:t xml:space="preserve">painting of Venus </w:t>
      </w:r>
      <w:r w:rsidR="00EA4F92" w:rsidRPr="00771E6E">
        <w:t>in detail</w:t>
      </w:r>
      <w:r w:rsidR="000E0295" w:rsidRPr="00771E6E">
        <w:t xml:space="preserve">. </w:t>
      </w:r>
      <w:r w:rsidR="00024B96" w:rsidRPr="00771E6E">
        <w:t xml:space="preserve">Titian’s </w:t>
      </w:r>
      <w:r w:rsidR="00024B96" w:rsidRPr="00771E6E">
        <w:rPr>
          <w:i/>
          <w:iCs/>
        </w:rPr>
        <w:t>Venus</w:t>
      </w:r>
      <w:r w:rsidR="00024B96" w:rsidRPr="00771E6E">
        <w:t xml:space="preserve"> paintings were incredibly popular and produced in multiple versions with slight differences</w:t>
      </w:r>
      <w:r w:rsidR="00D72D65" w:rsidRPr="00771E6E">
        <w:t xml:space="preserve">, and so, working as a painting in Titian’s workshop, it is easy to understand </w:t>
      </w:r>
      <w:proofErr w:type="spellStart"/>
      <w:r w:rsidR="00D72D65" w:rsidRPr="00771E6E">
        <w:t>Sustris</w:t>
      </w:r>
      <w:proofErr w:type="spellEnd"/>
      <w:r w:rsidR="00D72D65" w:rsidRPr="00771E6E">
        <w:t>’ desire to engage with this subject by producing his own versions of the works with which he would already have been familiar.</w:t>
      </w:r>
      <w:r w:rsidR="00024B96" w:rsidRPr="00771E6E">
        <w:t xml:space="preserve"> </w:t>
      </w:r>
      <w:r w:rsidR="002B4CAD" w:rsidRPr="00771E6E">
        <w:t>However</w:t>
      </w:r>
      <w:r w:rsidR="00B317F6" w:rsidRPr="00771E6E">
        <w:t xml:space="preserve">, </w:t>
      </w:r>
      <w:r w:rsidR="00905983" w:rsidRPr="00771E6E">
        <w:t xml:space="preserve">in his painting </w:t>
      </w:r>
      <w:proofErr w:type="spellStart"/>
      <w:r w:rsidR="00905983" w:rsidRPr="00771E6E">
        <w:t>Sustris</w:t>
      </w:r>
      <w:proofErr w:type="spellEnd"/>
      <w:r w:rsidR="00905983" w:rsidRPr="00771E6E">
        <w:t xml:space="preserve"> has added a musical element</w:t>
      </w:r>
      <w:r w:rsidR="00A6125D" w:rsidRPr="00771E6E">
        <w:t xml:space="preserve">: </w:t>
      </w:r>
      <w:r w:rsidRPr="00771E6E">
        <w:t>a woman is making music using a harpsichord resting on a table, in the presence of a child at her right side</w:t>
      </w:r>
      <w:r w:rsidR="00905983" w:rsidRPr="00771E6E">
        <w:t>.</w:t>
      </w:r>
      <w:r w:rsidRPr="00771E6E">
        <w:t xml:space="preserve"> </w:t>
      </w:r>
      <w:r w:rsidR="00872621" w:rsidRPr="00771E6E">
        <w:t xml:space="preserve">The </w:t>
      </w:r>
      <w:r w:rsidR="008B49EC" w:rsidRPr="00771E6E">
        <w:t>i</w:t>
      </w:r>
      <w:r w:rsidR="00872621" w:rsidRPr="00771E6E">
        <w:t>dea</w:t>
      </w:r>
      <w:r w:rsidR="008B49EC" w:rsidRPr="00771E6E">
        <w:t xml:space="preserve"> </w:t>
      </w:r>
      <w:r w:rsidR="00872621" w:rsidRPr="00771E6E">
        <w:t>of</w:t>
      </w:r>
      <w:r w:rsidR="008B49EC" w:rsidRPr="00771E6E">
        <w:t xml:space="preserve"> add</w:t>
      </w:r>
      <w:r w:rsidR="00872621" w:rsidRPr="00771E6E">
        <w:t>ing</w:t>
      </w:r>
      <w:r w:rsidR="008B49EC" w:rsidRPr="00771E6E">
        <w:t xml:space="preserve"> music to </w:t>
      </w:r>
      <w:r w:rsidR="00872621" w:rsidRPr="00771E6E">
        <w:t>t</w:t>
      </w:r>
      <w:r w:rsidR="008B49EC" w:rsidRPr="00771E6E">
        <w:t xml:space="preserve">his composition </w:t>
      </w:r>
      <w:r w:rsidR="00872621" w:rsidRPr="00771E6E">
        <w:t>may have come from</w:t>
      </w:r>
      <w:r w:rsidR="008B49EC" w:rsidRPr="00771E6E">
        <w:t xml:space="preserve"> </w:t>
      </w:r>
      <w:r w:rsidR="00AB5007" w:rsidRPr="00771E6E">
        <w:t xml:space="preserve">other works by </w:t>
      </w:r>
      <w:r w:rsidR="008B49EC" w:rsidRPr="00771E6E">
        <w:t>Titian</w:t>
      </w:r>
      <w:r w:rsidR="00AB5007" w:rsidRPr="00771E6E">
        <w:t xml:space="preserve"> </w:t>
      </w:r>
      <w:r w:rsidR="008B49EC" w:rsidRPr="00771E6E">
        <w:t>in which a naked Venus is accompanied by a musician.</w:t>
      </w:r>
      <w:r w:rsidR="008B49EC" w:rsidRPr="00771E6E">
        <w:rPr>
          <w:rStyle w:val="FootnoteReference"/>
        </w:rPr>
        <w:footnoteReference w:id="280"/>
      </w:r>
      <w:r w:rsidR="00AB5007" w:rsidRPr="00771E6E">
        <w:t xml:space="preserve"> </w:t>
      </w:r>
      <w:r w:rsidR="00627E6B" w:rsidRPr="00771E6E">
        <w:t xml:space="preserve">The similarities between </w:t>
      </w:r>
      <w:r w:rsidR="00AB5007" w:rsidRPr="00771E6E">
        <w:t>Venus’ hairstyle</w:t>
      </w:r>
      <w:r w:rsidR="00627E6B" w:rsidRPr="00771E6E">
        <w:t xml:space="preserve"> in each painting</w:t>
      </w:r>
      <w:r w:rsidR="00290A18" w:rsidRPr="00771E6E">
        <w:t>,</w:t>
      </w:r>
      <w:r w:rsidR="00AB5007" w:rsidRPr="00771E6E">
        <w:t xml:space="preserve"> </w:t>
      </w:r>
      <w:r w:rsidR="00290A18" w:rsidRPr="00771E6E">
        <w:t xml:space="preserve">tied back and up, </w:t>
      </w:r>
      <w:r w:rsidR="00AB5007" w:rsidRPr="00771E6E">
        <w:t>also suggest</w:t>
      </w:r>
      <w:r w:rsidR="00627E6B" w:rsidRPr="00771E6E">
        <w:t>s</w:t>
      </w:r>
      <w:r w:rsidR="00AB5007" w:rsidRPr="00771E6E">
        <w:t xml:space="preserve"> a relationship between the two compositions. However, Titian’s </w:t>
      </w:r>
      <w:r w:rsidR="00672384" w:rsidRPr="00771E6E">
        <w:t xml:space="preserve">various versions of </w:t>
      </w:r>
      <w:r w:rsidR="00AB5007" w:rsidRPr="00771E6E">
        <w:rPr>
          <w:i/>
          <w:iCs/>
        </w:rPr>
        <w:t xml:space="preserve">Venus with a </w:t>
      </w:r>
      <w:r w:rsidR="00E40373" w:rsidRPr="00771E6E">
        <w:rPr>
          <w:i/>
          <w:iCs/>
        </w:rPr>
        <w:t>Musician</w:t>
      </w:r>
      <w:r w:rsidR="00AB5007" w:rsidRPr="00771E6E">
        <w:rPr>
          <w:i/>
          <w:iCs/>
        </w:rPr>
        <w:t xml:space="preserve"> </w:t>
      </w:r>
      <w:r w:rsidR="00AB5007" w:rsidRPr="00771E6E">
        <w:t xml:space="preserve">treat the musical element in a fundamentally different </w:t>
      </w:r>
      <w:r w:rsidR="009E13F6" w:rsidRPr="00771E6E">
        <w:t>way</w:t>
      </w:r>
      <w:r w:rsidR="00AB5007" w:rsidRPr="00771E6E">
        <w:t xml:space="preserve">. </w:t>
      </w:r>
      <w:r w:rsidR="00E40373" w:rsidRPr="00771E6E">
        <w:t>In these</w:t>
      </w:r>
      <w:r w:rsidR="00AB5007" w:rsidRPr="00771E6E">
        <w:t>, a male figure play</w:t>
      </w:r>
      <w:r w:rsidR="00192158" w:rsidRPr="00771E6E">
        <w:t>s</w:t>
      </w:r>
      <w:r w:rsidR="00AB5007" w:rsidRPr="00771E6E">
        <w:t xml:space="preserve"> an organ while sitting at the edge of the same bed on which Venus reclines, and turns his gaze towards </w:t>
      </w:r>
      <w:r w:rsidR="00BF5812" w:rsidRPr="00771E6E">
        <w:t xml:space="preserve">her. </w:t>
      </w:r>
      <w:r w:rsidR="001832E3" w:rsidRPr="00771E6E">
        <w:t xml:space="preserve">Engaging with the physical senses, </w:t>
      </w:r>
      <w:r w:rsidR="00E40373" w:rsidRPr="00771E6E">
        <w:t xml:space="preserve">Titian’s paintings are erotically charged, especially those </w:t>
      </w:r>
      <w:r w:rsidR="00672384" w:rsidRPr="00771E6E">
        <w:t>in which</w:t>
      </w:r>
      <w:r w:rsidR="00E40373" w:rsidRPr="00771E6E">
        <w:t xml:space="preserve"> the figure of the goddess Venus is not immediately recognizable, and can be rather seen as a naked woman.</w:t>
      </w:r>
      <w:r w:rsidR="00E40373" w:rsidRPr="00771E6E">
        <w:rPr>
          <w:rStyle w:val="FootnoteReference"/>
        </w:rPr>
        <w:footnoteReference w:id="281"/>
      </w:r>
      <w:r w:rsidR="00E40373" w:rsidRPr="00771E6E">
        <w:t xml:space="preserve"> This, of course, leads to </w:t>
      </w:r>
      <w:r w:rsidR="000160AC" w:rsidRPr="00771E6E">
        <w:t xml:space="preserve">a reading of </w:t>
      </w:r>
      <w:r w:rsidR="00E40373" w:rsidRPr="00771E6E">
        <w:t>the role of music in these paintings</w:t>
      </w:r>
      <w:r w:rsidR="000160AC" w:rsidRPr="00771E6E">
        <w:t xml:space="preserve"> </w:t>
      </w:r>
      <w:r w:rsidR="00D72D65" w:rsidRPr="00771E6E">
        <w:t>which relates more</w:t>
      </w:r>
      <w:r w:rsidR="000160AC" w:rsidRPr="00771E6E">
        <w:t xml:space="preserve"> to</w:t>
      </w:r>
      <w:r w:rsidR="00E40373" w:rsidRPr="00771E6E">
        <w:t xml:space="preserve"> its lascivious connotations</w:t>
      </w:r>
      <w:r w:rsidR="003F7770" w:rsidRPr="00771E6E">
        <w:t xml:space="preserve"> and links to </w:t>
      </w:r>
      <w:r w:rsidR="00D72D65" w:rsidRPr="00771E6E">
        <w:t xml:space="preserve">the </w:t>
      </w:r>
      <w:r w:rsidR="003F7770" w:rsidRPr="00771E6E">
        <w:t>licentious behavior discussed in Chapter 1.5</w:t>
      </w:r>
      <w:r w:rsidR="00E40373" w:rsidRPr="00771E6E">
        <w:t>.</w:t>
      </w:r>
      <w:r w:rsidR="005240C5" w:rsidRPr="00771E6E">
        <w:rPr>
          <w:rStyle w:val="FootnoteReference"/>
        </w:rPr>
        <w:footnoteReference w:id="282"/>
      </w:r>
      <w:r w:rsidR="00E40373" w:rsidRPr="00771E6E">
        <w:t xml:space="preserve"> </w:t>
      </w:r>
      <w:r w:rsidR="003D4053" w:rsidRPr="00771E6E">
        <w:t xml:space="preserve"> </w:t>
      </w:r>
      <w:r w:rsidR="009E13F6" w:rsidRPr="00771E6E">
        <w:t>Conversely, i</w:t>
      </w:r>
      <w:r w:rsidR="00AB5007" w:rsidRPr="00771E6E">
        <w:t xml:space="preserve">n </w:t>
      </w:r>
      <w:proofErr w:type="spellStart"/>
      <w:r w:rsidR="00AB5007" w:rsidRPr="00771E6E">
        <w:t>Sustris</w:t>
      </w:r>
      <w:proofErr w:type="spellEnd"/>
      <w:r w:rsidR="009E13F6" w:rsidRPr="00771E6E">
        <w:t>’ painting</w:t>
      </w:r>
      <w:r w:rsidRPr="00771E6E">
        <w:t>, the music lesson</w:t>
      </w:r>
      <w:r w:rsidR="001B169F" w:rsidRPr="00771E6E">
        <w:t xml:space="preserve"> that is taking place in the background</w:t>
      </w:r>
      <w:r w:rsidRPr="00771E6E">
        <w:t xml:space="preserve">, not being the focus of the composition, is rather presented as </w:t>
      </w:r>
      <w:r w:rsidR="00627E6B" w:rsidRPr="00771E6E">
        <w:t xml:space="preserve">an </w:t>
      </w:r>
      <w:r w:rsidRPr="00771E6E">
        <w:t xml:space="preserve">ordinary practice in a domestic environment, </w:t>
      </w:r>
      <w:r w:rsidR="00D72D65" w:rsidRPr="00771E6E">
        <w:t>as</w:t>
      </w:r>
      <w:r w:rsidRPr="00771E6E">
        <w:t xml:space="preserve"> part of the background noise of the house</w:t>
      </w:r>
      <w:r w:rsidR="003D4053" w:rsidRPr="00771E6E">
        <w:t>, and does not seem to lend itself to a reading similar to that of Titian’s Venus paintings</w:t>
      </w:r>
      <w:r w:rsidRPr="00771E6E">
        <w:t>.</w:t>
      </w:r>
      <w:r w:rsidR="006B0844" w:rsidRPr="00771E6E">
        <w:t xml:space="preserve"> </w:t>
      </w:r>
      <w:r w:rsidR="00627E6B" w:rsidRPr="00771E6E">
        <w:t>It is possible that</w:t>
      </w:r>
      <w:r w:rsidR="00D72D65" w:rsidRPr="00771E6E">
        <w:t xml:space="preserve"> </w:t>
      </w:r>
      <w:proofErr w:type="spellStart"/>
      <w:r w:rsidR="00D72D65" w:rsidRPr="00771E6E">
        <w:t>Sustris</w:t>
      </w:r>
      <w:proofErr w:type="spellEnd"/>
      <w:r w:rsidR="00627E6B" w:rsidRPr="00771E6E">
        <w:t>, despite</w:t>
      </w:r>
      <w:r w:rsidR="003D4053" w:rsidRPr="00771E6E">
        <w:t xml:space="preserve"> </w:t>
      </w:r>
      <w:r w:rsidR="00D72D65" w:rsidRPr="00771E6E">
        <w:t xml:space="preserve">most </w:t>
      </w:r>
      <w:r w:rsidR="003D4053" w:rsidRPr="00771E6E">
        <w:t xml:space="preserve">likely taking inspiration </w:t>
      </w:r>
      <w:r w:rsidR="00627E6B" w:rsidRPr="00771E6E">
        <w:t>from</w:t>
      </w:r>
      <w:r w:rsidR="003D4053" w:rsidRPr="00771E6E">
        <w:t xml:space="preserve"> the presence of music in Titian’s works, decided to re-elaborate the subject </w:t>
      </w:r>
      <w:r w:rsidR="00627E6B" w:rsidRPr="00771E6E">
        <w:t>in a way that would avoid</w:t>
      </w:r>
      <w:r w:rsidR="003D4053" w:rsidRPr="00771E6E">
        <w:t xml:space="preserve"> any negative connotation, replacing the male player with a woman and a child, and placing them in the background, as a common </w:t>
      </w:r>
      <w:r w:rsidR="003F6253" w:rsidRPr="00771E6E">
        <w:t xml:space="preserve">and more </w:t>
      </w:r>
      <w:r w:rsidR="0032288E" w:rsidRPr="00771E6E">
        <w:t>desirable</w:t>
      </w:r>
      <w:r w:rsidR="003F6253" w:rsidRPr="00771E6E">
        <w:t xml:space="preserve"> </w:t>
      </w:r>
      <w:r w:rsidR="003D4053" w:rsidRPr="00771E6E">
        <w:t xml:space="preserve">domestic activity. </w:t>
      </w:r>
    </w:p>
    <w:p w14:paraId="0BA80775" w14:textId="22E6F491" w:rsidR="001840E8" w:rsidRPr="00771E6E" w:rsidRDefault="00D72D65" w:rsidP="00D72D65">
      <w:pPr>
        <w:pStyle w:val="CommentText"/>
        <w:ind w:firstLine="720"/>
      </w:pPr>
      <w:r w:rsidRPr="00771E6E">
        <w:lastRenderedPageBreak/>
        <w:t>A</w:t>
      </w:r>
      <w:r w:rsidR="0055667B" w:rsidRPr="00771E6E">
        <w:t xml:space="preserve">lthough </w:t>
      </w:r>
      <w:proofErr w:type="spellStart"/>
      <w:r w:rsidR="00E478D8" w:rsidRPr="00771E6E">
        <w:t>Sustris</w:t>
      </w:r>
      <w:proofErr w:type="spellEnd"/>
      <w:r w:rsidR="00E478D8" w:rsidRPr="00771E6E">
        <w:t xml:space="preserve"> worked in Venice around the middle of the </w:t>
      </w:r>
      <w:proofErr w:type="gramStart"/>
      <w:r w:rsidR="00E478D8" w:rsidRPr="00771E6E">
        <w:t>sixteenth-century</w:t>
      </w:r>
      <w:proofErr w:type="gramEnd"/>
      <w:r w:rsidR="00E478D8" w:rsidRPr="00771E6E">
        <w:t>,</w:t>
      </w:r>
      <w:r w:rsidR="0055667B" w:rsidRPr="00771E6E">
        <w:t xml:space="preserve"> i</w:t>
      </w:r>
      <w:r w:rsidR="002B4CAD" w:rsidRPr="00771E6E">
        <w:t>t can be reasonably assumed that th</w:t>
      </w:r>
      <w:r w:rsidRPr="00771E6E">
        <w:t xml:space="preserve">e music-making in the </w:t>
      </w:r>
      <w:r w:rsidR="002B4CAD" w:rsidRPr="00771E6E">
        <w:t>scene is to some degree representative of common practice in the preceding decades in Florence as well.</w:t>
      </w:r>
    </w:p>
    <w:p w14:paraId="4832BAEB" w14:textId="77777777" w:rsidR="001840E8" w:rsidRPr="00771E6E" w:rsidRDefault="001840E8" w:rsidP="001840E8">
      <w:pPr>
        <w:ind w:firstLine="720"/>
      </w:pPr>
      <w:bookmarkStart w:id="32" w:name="_Hlk4259573"/>
      <w:r w:rsidRPr="00771E6E">
        <w:t xml:space="preserve">From the 1500s onwards, portraits highlighting the sitter’s musical knowledge became more and more frequent, and this also holds true for children and adolescents. </w:t>
      </w:r>
      <w:bookmarkEnd w:id="32"/>
      <w:r w:rsidRPr="00771E6E">
        <w:t xml:space="preserve">As this particular period corresponded with the emergence of a new genre of secular polyphonic composition called the madrigal, Victor Coelho has suggested that portraits of young lutenists from this time may be linked to the practice of singing adaptations of these for solo voice and lute accompaniment in domestic spaces; and the </w:t>
      </w:r>
      <w:proofErr w:type="spellStart"/>
      <w:r w:rsidRPr="00771E6E">
        <w:t>frottola</w:t>
      </w:r>
      <w:proofErr w:type="spellEnd"/>
      <w:r w:rsidRPr="00771E6E">
        <w:t xml:space="preserve"> of the 1490s and early 1500s is associated with a like performance practice.</w:t>
      </w:r>
      <w:r w:rsidRPr="00771E6E">
        <w:rPr>
          <w:rStyle w:val="FootnoteReference"/>
        </w:rPr>
        <w:footnoteReference w:id="283"/>
      </w:r>
      <w:r w:rsidRPr="00771E6E">
        <w:t xml:space="preserve"> The portraits of young lute players made by Francesco </w:t>
      </w:r>
      <w:proofErr w:type="spellStart"/>
      <w:r w:rsidRPr="00771E6E">
        <w:t>Salviati</w:t>
      </w:r>
      <w:proofErr w:type="spellEnd"/>
      <w:r w:rsidRPr="00771E6E">
        <w:t xml:space="preserve"> around 1527 (fig. 1.12) and </w:t>
      </w:r>
      <w:proofErr w:type="spellStart"/>
      <w:r w:rsidRPr="00771E6E">
        <w:t>Agnolo</w:t>
      </w:r>
      <w:proofErr w:type="spellEnd"/>
      <w:r w:rsidRPr="00771E6E">
        <w:t xml:space="preserve"> </w:t>
      </w:r>
      <w:proofErr w:type="spellStart"/>
      <w:r w:rsidRPr="00771E6E">
        <w:t>Bronzino</w:t>
      </w:r>
      <w:proofErr w:type="spellEnd"/>
      <w:r w:rsidRPr="00771E6E">
        <w:t xml:space="preserve"> in 1532-1534 (fig. 1.13) are most likely a product of this culture of lute-song.</w:t>
      </w:r>
      <w:r w:rsidRPr="00771E6E">
        <w:rPr>
          <w:rStyle w:val="FootnoteReference"/>
        </w:rPr>
        <w:footnoteReference w:id="284"/>
      </w:r>
      <w:r w:rsidRPr="00771E6E">
        <w:t xml:space="preserve"> </w:t>
      </w:r>
    </w:p>
    <w:p w14:paraId="5D3991AD" w14:textId="28FBFFA8" w:rsidR="001840E8" w:rsidRPr="00771E6E" w:rsidRDefault="001840E8" w:rsidP="001840E8">
      <w:pPr>
        <w:ind w:firstLine="720"/>
        <w:rPr>
          <w:bCs/>
        </w:rPr>
      </w:pPr>
      <w:r w:rsidRPr="00771E6E">
        <w:t xml:space="preserve">These paintings show adolescents with their musical instrument; </w:t>
      </w:r>
      <w:r w:rsidR="00EC1A7E" w:rsidRPr="00771E6E">
        <w:t>but</w:t>
      </w:r>
      <w:r w:rsidRPr="00771E6E">
        <w:t xml:space="preserve"> portraits of younger children were also painted. In an example from the Venetian area, two boys likely to be identified as the two brothers Gerolamo </w:t>
      </w:r>
      <w:proofErr w:type="spellStart"/>
      <w:r w:rsidRPr="00771E6E">
        <w:t>Melchiorre</w:t>
      </w:r>
      <w:proofErr w:type="spellEnd"/>
      <w:r w:rsidRPr="00771E6E">
        <w:t xml:space="preserve"> and Francesco Santo da Pesaro are portrayed by Titian, possibly with the help of his workshop, around 1540-1545 (fig. 1.14).</w:t>
      </w:r>
      <w:r w:rsidRPr="00771E6E">
        <w:rPr>
          <w:rStyle w:val="FootnoteReference"/>
        </w:rPr>
        <w:footnoteReference w:id="285"/>
      </w:r>
      <w:r w:rsidRPr="00771E6E">
        <w:t xml:space="preserve"> The two children, portrayed half-length, are standing behind a table. Both children look outwards to meet the viewers’ gaze, a strategy to enhance the involvement in the scene that will be discussed in the following chapter on musical angels. </w:t>
      </w:r>
      <w:r w:rsidR="00047ED1" w:rsidRPr="00771E6E">
        <w:t>This technique</w:t>
      </w:r>
      <w:r w:rsidRPr="00771E6E">
        <w:t xml:space="preserve"> was used by Titian in at least one other painting, the portrait of the </w:t>
      </w:r>
      <w:proofErr w:type="spellStart"/>
      <w:r w:rsidRPr="00771E6E">
        <w:t>Vendramin</w:t>
      </w:r>
      <w:proofErr w:type="spellEnd"/>
      <w:r w:rsidRPr="00771E6E">
        <w:t xml:space="preserve"> family, in which, again, a child looks out of the frame. The attention of the viewer is drawn to the open book depicted on the table in the foreground, upon which musical notation appears, although it does not appear to be indicating an identifiable work.</w:t>
      </w:r>
      <w:r w:rsidRPr="00771E6E">
        <w:rPr>
          <w:rStyle w:val="FootnoteReference"/>
        </w:rPr>
        <w:footnoteReference w:id="286"/>
      </w:r>
      <w:r w:rsidRPr="00771E6E">
        <w:t xml:space="preserve">  Both children show ownership of the musical elements in the picture: while the boy on the right is resting his left hand on the book of music, his companion is holding the neck of a lute. While, prior to this, children were portrayed together with their parents or other adults, in this case the painter innovatively elevates them to be independent subjects in their own right.</w:t>
      </w:r>
      <w:r w:rsidRPr="00771E6E">
        <w:rPr>
          <w:rStyle w:val="FootnoteReference"/>
        </w:rPr>
        <w:footnoteReference w:id="287"/>
      </w:r>
      <w:r w:rsidRPr="00771E6E">
        <w:t xml:space="preserve"> Titian’s workshop produced </w:t>
      </w:r>
      <w:r w:rsidRPr="00771E6E">
        <w:rPr>
          <w:bCs/>
        </w:rPr>
        <w:t xml:space="preserve">at least one other painting with children accompanied by musical </w:t>
      </w:r>
      <w:r w:rsidRPr="00771E6E">
        <w:rPr>
          <w:bCs/>
        </w:rPr>
        <w:lastRenderedPageBreak/>
        <w:t xml:space="preserve">elements. In the </w:t>
      </w:r>
      <w:r w:rsidRPr="00771E6E">
        <w:rPr>
          <w:bCs/>
          <w:i/>
        </w:rPr>
        <w:t>Music Lesson</w:t>
      </w:r>
      <w:r w:rsidRPr="00771E6E">
        <w:rPr>
          <w:bCs/>
        </w:rPr>
        <w:t xml:space="preserve"> kept in the National Gallery in London, which will be discussed in more detail later on, a child is singing from a music book guided by his master who is beating the musical time, while two adult male figures play a bass viol and a recorder (fig. 3.27).</w:t>
      </w:r>
    </w:p>
    <w:p w14:paraId="04967E8E" w14:textId="5E19A34E" w:rsidR="001840E8" w:rsidRPr="00771E6E" w:rsidRDefault="001840E8" w:rsidP="001840E8">
      <w:pPr>
        <w:ind w:firstLine="720"/>
        <w:rPr>
          <w:bCs/>
        </w:rPr>
      </w:pPr>
      <w:bookmarkStart w:id="33" w:name="_Hlk4260085"/>
      <w:r w:rsidRPr="00771E6E">
        <w:rPr>
          <w:bCs/>
        </w:rPr>
        <w:t xml:space="preserve">With the help of inventories, records relating to music tuition, and descriptions and portraits of youthful performers, it is possible to reconstruct young people’s affinity with music as a practical skill in Italy in this period. Music, and musical education, would often have been a domestic </w:t>
      </w:r>
      <w:r w:rsidR="00032DE5" w:rsidRPr="00771E6E">
        <w:rPr>
          <w:bCs/>
        </w:rPr>
        <w:t>pursuit</w:t>
      </w:r>
      <w:r w:rsidRPr="00771E6E">
        <w:rPr>
          <w:bCs/>
        </w:rPr>
        <w:t xml:space="preserve">, and musical activity would have taken place in </w:t>
      </w:r>
      <w:proofErr w:type="spellStart"/>
      <w:r w:rsidRPr="00771E6E">
        <w:rPr>
          <w:bCs/>
          <w:i/>
        </w:rPr>
        <w:t>camere</w:t>
      </w:r>
      <w:proofErr w:type="spellEnd"/>
      <w:r w:rsidRPr="00771E6E">
        <w:rPr>
          <w:bCs/>
        </w:rPr>
        <w:t xml:space="preserve"> and other domestic spaces. The children of the household would therefore have been in continual contact with musical instruments, and children would have contributed to the broader musical atmosphere by learning how to play instruments and sing, often from a young age. It is also apparent that music education often involved the assistance of older family members, who would have been heavily invested in the child’s wider moral development and the protection of the family’s reputation. This serves to highlight just how integral these musical practices would have been in domestic life.</w:t>
      </w:r>
    </w:p>
    <w:bookmarkEnd w:id="33"/>
    <w:p w14:paraId="1C81C5DC" w14:textId="77777777" w:rsidR="001840E8" w:rsidRPr="00771E6E" w:rsidRDefault="001840E8" w:rsidP="001840E8"/>
    <w:p w14:paraId="39904C35" w14:textId="77777777" w:rsidR="001840E8" w:rsidRPr="00771E6E" w:rsidRDefault="001840E8" w:rsidP="001840E8">
      <w:bookmarkStart w:id="34" w:name="_Hlk4260132"/>
      <w:r w:rsidRPr="00771E6E">
        <w:t xml:space="preserve">It is clear that moral education was considered vitally important in Renaissance Italy, and would have been one of the most important civic duties a citizen would perform, protecting their family’s name and reputation, and ensuring that the principles and values which were considered fundamental for virtuous conduct were successfully imparted to the next generation. These principles were derived from a wide range of different sources, of both religious and secular origin, some of which were contemporary while other were drawn from texts passed down from antiquity.  </w:t>
      </w:r>
    </w:p>
    <w:p w14:paraId="6FC86B70" w14:textId="2764AC65" w:rsidR="001840E8" w:rsidRPr="00771E6E" w:rsidRDefault="0016371A" w:rsidP="001840E8">
      <w:pPr>
        <w:ind w:firstLine="720"/>
      </w:pPr>
      <w:r w:rsidRPr="00771E6E">
        <w:t>In prescriptive literature, p</w:t>
      </w:r>
      <w:r w:rsidR="001840E8" w:rsidRPr="00771E6E">
        <w:t xml:space="preserve">arents were encouraged to plan for moral education from the earliest stages in their child’s upbringing, encompassing a broad range of aspects such as nursing, the sounds they would hear, the images they would see, and eventually incorporating musical studies and practices, which were considered to be closely linked to morality. </w:t>
      </w:r>
      <w:r w:rsidR="00627E6B" w:rsidRPr="00771E6E">
        <w:t>Although</w:t>
      </w:r>
      <w:r w:rsidRPr="00771E6E">
        <w:t xml:space="preserve"> these treatises and advice manuals may not </w:t>
      </w:r>
      <w:r w:rsidR="00A71893" w:rsidRPr="00771E6E">
        <w:t xml:space="preserve">fully </w:t>
      </w:r>
      <w:r w:rsidRPr="00771E6E">
        <w:t xml:space="preserve">reflect reality, they still represent a “model” and a source of inspiration for the </w:t>
      </w:r>
      <w:r w:rsidR="0098594F" w:rsidRPr="00771E6E">
        <w:t xml:space="preserve">members of the </w:t>
      </w:r>
      <w:r w:rsidRPr="00771E6E">
        <w:t xml:space="preserve">household, acting as </w:t>
      </w:r>
      <w:r w:rsidRPr="00771E6E">
        <w:rPr>
          <w:i/>
          <w:iCs/>
        </w:rPr>
        <w:t>Specula</w:t>
      </w:r>
      <w:r w:rsidRPr="00771E6E">
        <w:t>.</w:t>
      </w:r>
    </w:p>
    <w:p w14:paraId="76CE8DE3" w14:textId="77777777" w:rsidR="001840E8" w:rsidRPr="00771E6E" w:rsidRDefault="001840E8" w:rsidP="001840E8">
      <w:pPr>
        <w:ind w:firstLine="720"/>
      </w:pPr>
      <w:r w:rsidRPr="00771E6E">
        <w:t xml:space="preserve">It was understood that a key aspect of learning was copying and imitation. Therefore, so that their progeny only learned worthy </w:t>
      </w:r>
      <w:proofErr w:type="spellStart"/>
      <w:r w:rsidRPr="00771E6E">
        <w:t>behaviours</w:t>
      </w:r>
      <w:proofErr w:type="spellEnd"/>
      <w:r w:rsidRPr="00771E6E">
        <w:t>, parents were advised to constantly ensure that the examples they saw and heard around them would always serve to reinforce positive moral messages.</w:t>
      </w:r>
    </w:p>
    <w:p w14:paraId="6D263460" w14:textId="376E32B0" w:rsidR="001840E8" w:rsidRPr="00771E6E" w:rsidRDefault="001840E8" w:rsidP="001840E8">
      <w:pPr>
        <w:ind w:firstLine="720"/>
      </w:pPr>
      <w:r w:rsidRPr="00771E6E">
        <w:lastRenderedPageBreak/>
        <w:t xml:space="preserve">This would never have been </w:t>
      </w:r>
      <w:proofErr w:type="gramStart"/>
      <w:r w:rsidRPr="00771E6E">
        <w:t>more true</w:t>
      </w:r>
      <w:proofErr w:type="gramEnd"/>
      <w:r w:rsidRPr="00771E6E">
        <w:t xml:space="preserve"> than when children were in the home, due in part to both their regular exposure to the items in this environment, and the fact that it would have been relatively easy for parents to control. Music, and musical education, was considered to have a significant effect on a child’s moral learning, particular</w:t>
      </w:r>
      <w:r w:rsidR="00A71893" w:rsidRPr="00771E6E">
        <w:t>ly</w:t>
      </w:r>
      <w:r w:rsidRPr="00771E6E">
        <w:t xml:space="preserve"> at home, which would be the location for a range of musical practices and influences that could involve many different family members across several generations.</w:t>
      </w:r>
    </w:p>
    <w:p w14:paraId="6DB42AE7" w14:textId="77777777" w:rsidR="001840E8" w:rsidRPr="00771E6E" w:rsidRDefault="001840E8" w:rsidP="00AF799D">
      <w:pPr>
        <w:ind w:firstLine="720"/>
      </w:pPr>
      <w:r w:rsidRPr="00771E6E">
        <w:t xml:space="preserve">Domestic settings would therefore have been a place of both overt educative practices and a range of less direct methods that were designed to influence children from the very moment of birth. In order to build further on this, the next chapter will look in more detail at how some of these </w:t>
      </w:r>
      <w:r w:rsidRPr="00771E6E">
        <w:rPr>
          <w:i/>
        </w:rPr>
        <w:t>exempla</w:t>
      </w:r>
      <w:r w:rsidRPr="00771E6E">
        <w:t xml:space="preserve"> were employed, and will focus specifically on how one type of exemplary figure, the angel, was used as part of the educative process.</w:t>
      </w:r>
      <w:bookmarkEnd w:id="34"/>
    </w:p>
    <w:p w14:paraId="5A370C05" w14:textId="77777777" w:rsidR="00182EED" w:rsidRPr="00771E6E" w:rsidRDefault="00182EED">
      <w:pPr>
        <w:spacing w:line="240" w:lineRule="auto"/>
        <w:rPr>
          <w:rStyle w:val="a-size-medium"/>
          <w:color w:val="000000" w:themeColor="text1"/>
          <w:lang w:val="en-GB"/>
        </w:rPr>
        <w:sectPr w:rsidR="00182EED" w:rsidRPr="00771E6E" w:rsidSect="00D11CF6">
          <w:footnotePr>
            <w:numRestart w:val="eachSect"/>
          </w:footnotePr>
          <w:type w:val="continuous"/>
          <w:pgSz w:w="11900" w:h="16840"/>
          <w:pgMar w:top="1440" w:right="1418" w:bottom="1440" w:left="1701" w:header="709" w:footer="709" w:gutter="0"/>
          <w:pgNumType w:start="1"/>
          <w:cols w:space="708"/>
          <w:docGrid w:linePitch="360"/>
        </w:sectPr>
      </w:pPr>
    </w:p>
    <w:p w14:paraId="055D78A3" w14:textId="77777777" w:rsidR="008A116C" w:rsidRPr="00771E6E" w:rsidRDefault="008A116C" w:rsidP="008A116C">
      <w:pPr>
        <w:pStyle w:val="Heading1"/>
      </w:pPr>
      <w:bookmarkStart w:id="35" w:name="_Toc3323222"/>
      <w:bookmarkStart w:id="36" w:name="_Toc20167599"/>
      <w:r w:rsidRPr="00771E6E">
        <w:lastRenderedPageBreak/>
        <w:t xml:space="preserve">2. Musical </w:t>
      </w:r>
      <w:proofErr w:type="spellStart"/>
      <w:r w:rsidRPr="00771E6E">
        <w:t>Angels</w:t>
      </w:r>
      <w:proofErr w:type="spellEnd"/>
      <w:r w:rsidRPr="00771E6E">
        <w:t xml:space="preserve"> and Moral </w:t>
      </w:r>
      <w:proofErr w:type="spellStart"/>
      <w:r w:rsidRPr="00771E6E">
        <w:t>Education</w:t>
      </w:r>
      <w:bookmarkEnd w:id="35"/>
      <w:bookmarkEnd w:id="36"/>
      <w:proofErr w:type="spellEnd"/>
    </w:p>
    <w:p w14:paraId="6DE9BC82" w14:textId="77777777" w:rsidR="008A116C" w:rsidRPr="00771E6E" w:rsidRDefault="008A116C" w:rsidP="008A116C"/>
    <w:p w14:paraId="3AF1C961" w14:textId="77777777" w:rsidR="008A116C" w:rsidRPr="00771E6E" w:rsidRDefault="008A116C" w:rsidP="008A116C">
      <w:r w:rsidRPr="00771E6E">
        <w:t xml:space="preserve">The importance of the concept of virtue in fourteenth- and fifteenth-century Italian society clearly would have been a significant motivating factor in parents’ efforts to ensure that their children were constantly surrounded by the most compelling examples of virtue. The use of positive </w:t>
      </w:r>
      <w:r w:rsidRPr="00771E6E">
        <w:rPr>
          <w:i/>
          <w:iCs/>
        </w:rPr>
        <w:t>exempla</w:t>
      </w:r>
      <w:r w:rsidRPr="00771E6E">
        <w:t>, and encouragement to imitate these role-models, were well-</w:t>
      </w:r>
      <w:proofErr w:type="spellStart"/>
      <w:r w:rsidRPr="00771E6E">
        <w:t>recognised</w:t>
      </w:r>
      <w:proofErr w:type="spellEnd"/>
      <w:r w:rsidRPr="00771E6E">
        <w:t xml:space="preserve"> methods that were used to teach morality from the earliest years of childhood. Domestic furniture, objects and works of art were designed to embed these ideals all around the home, such that young and malleable minds would encounter them at every turn to ensure that they would never have to look far for inspiration and guidance. Through positive examples, such as images of people who were considered admirable and noble, and through practices such as musicianship that were thought to encourage a harmonious temperament and good moral judgement, young people were provided with constant reminders and reinforcement to help them live a virtuous life.</w:t>
      </w:r>
    </w:p>
    <w:p w14:paraId="68C75558" w14:textId="77777777" w:rsidR="008A116C" w:rsidRPr="00771E6E" w:rsidRDefault="008A116C" w:rsidP="008A116C">
      <w:pPr>
        <w:ind w:firstLine="720"/>
      </w:pPr>
      <w:r w:rsidRPr="00771E6E">
        <w:t>It was common that portraits of ancestors and of illustrious men and women were used as visual inspiration, and stories from classical antiquity and religious accounts focusing on particular virtues such as chastity and courage were employed to explain morality and wisdom. There was, however, another significant category of figure which would have been a constant presence in the Renaissance world: the angel.</w:t>
      </w:r>
    </w:p>
    <w:p w14:paraId="4221F945" w14:textId="77777777" w:rsidR="008A116C" w:rsidRPr="00771E6E" w:rsidRDefault="008A116C" w:rsidP="008A116C">
      <w:pPr>
        <w:ind w:firstLine="720"/>
      </w:pPr>
      <w:r w:rsidRPr="00771E6E">
        <w:t>Although much has been written on the theology and iconography of the angel through the centuries, musical angels have rarely been differentiated from the broader celestial category.</w:t>
      </w:r>
      <w:r w:rsidRPr="00771E6E">
        <w:rPr>
          <w:rStyle w:val="FootnoteReference"/>
        </w:rPr>
        <w:footnoteReference w:id="288"/>
      </w:r>
      <w:r w:rsidRPr="00771E6E">
        <w:t xml:space="preserve"> Where they have been </w:t>
      </w:r>
      <w:proofErr w:type="spellStart"/>
      <w:r w:rsidRPr="00771E6E">
        <w:t>analysed</w:t>
      </w:r>
      <w:proofErr w:type="spellEnd"/>
      <w:r w:rsidRPr="00771E6E">
        <w:t>, the authors have mainly addressed the evolution of their iconography, focusing on the study of the musical instruments and techniques depicted, and paying particular attention to the accuracy of their representation.</w:t>
      </w:r>
      <w:r w:rsidRPr="00771E6E">
        <w:rPr>
          <w:rStyle w:val="FootnoteReference"/>
        </w:rPr>
        <w:footnoteReference w:id="289"/>
      </w:r>
      <w:r w:rsidRPr="00771E6E">
        <w:t xml:space="preserve"> However, in this chapter a different perspective will be employed, which </w:t>
      </w:r>
      <w:r w:rsidRPr="00771E6E">
        <w:lastRenderedPageBreak/>
        <w:t>examines how angels in general, and depictions of musical angels in particular, could have been used as part of the moral education of young people between the fifteenth and the first half of the sixteenth century. We will consider the ways in which these angelic companions invoked imitation and acted as role models, how they guided and protected, and the ways in which they would have been intended to interact with particular members of the household. We will also discuss the difficulties we face when attempting to use the surviving evidence to place images of angels in particular locations around the home, while considering how we can make use of the information we do have available to us in order to gain a meaningful degree of insight. By examining the importance of angels as moral teachers, and their musicianship, in the context of their domestic ubiquity, it is possible to uncover fresh resonances that emerge from this already much-studied group of images.</w:t>
      </w:r>
    </w:p>
    <w:p w14:paraId="2C649FEA" w14:textId="77777777" w:rsidR="008A116C" w:rsidRPr="00771E6E" w:rsidRDefault="008A116C" w:rsidP="008A116C"/>
    <w:p w14:paraId="2B57914D" w14:textId="77777777" w:rsidR="008A116C" w:rsidRPr="00771E6E" w:rsidRDefault="008A116C" w:rsidP="008A116C"/>
    <w:p w14:paraId="596E00C7" w14:textId="77777777" w:rsidR="008A116C" w:rsidRPr="00771E6E" w:rsidRDefault="008A116C" w:rsidP="008A116C">
      <w:pPr>
        <w:pStyle w:val="Subchapter"/>
      </w:pPr>
      <w:bookmarkStart w:id="37" w:name="_Toc3323223"/>
      <w:bookmarkStart w:id="38" w:name="_Toc20167600"/>
      <w:r w:rsidRPr="00771E6E">
        <w:t>2.1 The Nature of Angels</w:t>
      </w:r>
      <w:bookmarkEnd w:id="37"/>
      <w:bookmarkEnd w:id="38"/>
    </w:p>
    <w:p w14:paraId="6C20A8E8" w14:textId="77777777" w:rsidR="008A116C" w:rsidRPr="00771E6E" w:rsidRDefault="008A116C" w:rsidP="008A116C">
      <w:pPr>
        <w:rPr>
          <w:color w:val="FF0000"/>
        </w:rPr>
      </w:pPr>
    </w:p>
    <w:p w14:paraId="3BFCCB96" w14:textId="77777777" w:rsidR="008A116C" w:rsidRPr="00771E6E" w:rsidRDefault="008A116C" w:rsidP="008A116C">
      <w:r w:rsidRPr="00771E6E">
        <w:t xml:space="preserve">Fifteenth-century Christians in Italy would have come into frequent contact with angels during their everyday lives. Their presence in the Bible, in addition to their representation in processions and plays, and their depictions in both religious spaces and private </w:t>
      </w:r>
      <w:bookmarkStart w:id="39" w:name="OLE_LINK3"/>
      <w:bookmarkStart w:id="40" w:name="OLE_LINK4"/>
      <w:r w:rsidRPr="00771E6E">
        <w:t xml:space="preserve">environments, </w:t>
      </w:r>
      <w:bookmarkEnd w:id="39"/>
      <w:bookmarkEnd w:id="40"/>
      <w:r w:rsidRPr="00771E6E">
        <w:t>would have made them familiar to the vast majority of the populace.</w:t>
      </w:r>
    </w:p>
    <w:p w14:paraId="6C1B0458" w14:textId="77777777" w:rsidR="008A116C" w:rsidRPr="00771E6E" w:rsidRDefault="008A116C" w:rsidP="008A116C">
      <w:pPr>
        <w:ind w:firstLine="720"/>
      </w:pPr>
      <w:r w:rsidRPr="00771E6E">
        <w:t>The subject of the angelic nature, including biblical references and patristic notions, has been comprehensively investigated by numerous scholars.</w:t>
      </w:r>
      <w:r w:rsidRPr="00771E6E">
        <w:rPr>
          <w:rStyle w:val="FootnoteReference"/>
        </w:rPr>
        <w:footnoteReference w:id="290"/>
      </w:r>
      <w:r w:rsidRPr="00771E6E">
        <w:t xml:space="preserve"> This section will outline the history of angels and their iconography in order to provide a contextual framework for the rest of this thesis. It is a concise summary, which does not intend to be exhaustive in any way.</w:t>
      </w:r>
    </w:p>
    <w:p w14:paraId="63828F6A" w14:textId="77777777" w:rsidR="008A116C" w:rsidRPr="00771E6E" w:rsidRDefault="008A116C" w:rsidP="008A116C">
      <w:pPr>
        <w:ind w:firstLine="720"/>
      </w:pPr>
      <w:r w:rsidRPr="00771E6E">
        <w:t xml:space="preserve">Belief in the existence of angels, understood as divine beings positioned between God and humankind, originated in pre-biblical times within the Jewish community. In the Bible, these ideas were then developed further, with angels acting both as intermediaries </w:t>
      </w:r>
      <w:r w:rsidRPr="00771E6E">
        <w:lastRenderedPageBreak/>
        <w:t>carrying humanity’s prayers to Heaven, and as God’s messengers to Earth. They are described as “sons of God” both in the books of Genesis (6:2-4) and Job (38:7).</w:t>
      </w:r>
      <w:r w:rsidRPr="00771E6E">
        <w:rPr>
          <w:rStyle w:val="FootnoteReference"/>
        </w:rPr>
        <w:footnoteReference w:id="291"/>
      </w:r>
    </w:p>
    <w:p w14:paraId="22C4C1A2" w14:textId="77777777" w:rsidR="008A116C" w:rsidRPr="00771E6E" w:rsidRDefault="008A116C" w:rsidP="00815073">
      <w:pPr>
        <w:ind w:firstLine="720"/>
      </w:pPr>
      <w:r w:rsidRPr="00771E6E">
        <w:t>The first-known depiction of an angel can be found in the Roman catacombs of Priscilla (second-third century AD). This image shows the Archangel Gabriel in the midst of the Annunciation to the Virgin Mary. He has no wings (like all early Christian depictions of angels) and is wearing typical Roman vestments.</w:t>
      </w:r>
      <w:r w:rsidRPr="00771E6E">
        <w:rPr>
          <w:rStyle w:val="FootnoteReference"/>
        </w:rPr>
        <w:footnoteReference w:id="292"/>
      </w:r>
      <w:r w:rsidRPr="00771E6E">
        <w:t xml:space="preserve"> In early Christian art, angels were usually represented as human beings, and between the mid-third century and the end of the fourth century, in keeping with several biblical descriptions of angels appearing to mortals in the likeness of “men”, they are sometimes depicted even having beards.</w:t>
      </w:r>
      <w:r w:rsidRPr="00771E6E">
        <w:rPr>
          <w:rStyle w:val="FootnoteReference"/>
        </w:rPr>
        <w:footnoteReference w:id="293"/>
      </w:r>
    </w:p>
    <w:p w14:paraId="71451B72" w14:textId="77777777" w:rsidR="008A116C" w:rsidRPr="00771E6E" w:rsidRDefault="008A116C" w:rsidP="00815073">
      <w:pPr>
        <w:ind w:firstLine="720"/>
      </w:pPr>
      <w:r w:rsidRPr="00771E6E">
        <w:t>Although angels did not start to be represented with wings until the beginning of the Middle Ages, winged figures already existed in the Etruscan civilization in the sixth century BC, probably derived from hybrid beings with animal attributes found in Middle-Eastern cultures.</w:t>
      </w:r>
      <w:r w:rsidRPr="00771E6E">
        <w:rPr>
          <w:rStyle w:val="FootnoteReference"/>
        </w:rPr>
        <w:t xml:space="preserve"> </w:t>
      </w:r>
      <w:r w:rsidRPr="00771E6E">
        <w:rPr>
          <w:rStyle w:val="FootnoteReference"/>
        </w:rPr>
        <w:footnoteReference w:id="294"/>
      </w:r>
      <w:r w:rsidRPr="00771E6E">
        <w:t xml:space="preserve"> It was around this time in the Greek </w:t>
      </w:r>
      <w:proofErr w:type="spellStart"/>
      <w:r w:rsidRPr="00771E6E">
        <w:t>civilisation</w:t>
      </w:r>
      <w:proofErr w:type="spellEnd"/>
      <w:r w:rsidRPr="00771E6E">
        <w:t xml:space="preserve"> that the God of Love, Eros, also began to be represented as having wings. This iconography then became tremendously popular, and eventually passed to the Romans, by whom Eros was given the Latin name of Amor.</w:t>
      </w:r>
      <w:r w:rsidRPr="00771E6E">
        <w:rPr>
          <w:rStyle w:val="FootnoteReference"/>
        </w:rPr>
        <w:t xml:space="preserve"> </w:t>
      </w:r>
      <w:r w:rsidRPr="00771E6E">
        <w:rPr>
          <w:rStyle w:val="FootnoteReference"/>
        </w:rPr>
        <w:footnoteReference w:id="295"/>
      </w:r>
      <w:r w:rsidRPr="00771E6E">
        <w:t xml:space="preserve"> In this light, it seems likely that the initial decision not to add wings to the shoulders of Christian angels could be attributed to a desire to differentiate them from pagan deities such as the aforementioned Eros/Amor, but also from the female personification of Victory (called Nike in Greek, Victoria in the Latin).</w:t>
      </w:r>
      <w:r w:rsidRPr="00771E6E">
        <w:rPr>
          <w:rStyle w:val="FootnoteReference"/>
        </w:rPr>
        <w:footnoteReference w:id="296"/>
      </w:r>
      <w:r w:rsidRPr="00771E6E">
        <w:t xml:space="preserve"> Numerous scholars have </w:t>
      </w:r>
      <w:proofErr w:type="spellStart"/>
      <w:r w:rsidRPr="00771E6E">
        <w:t>recognised</w:t>
      </w:r>
      <w:proofErr w:type="spellEnd"/>
      <w:r w:rsidRPr="00771E6E">
        <w:t xml:space="preserve"> that the eventual evolution of the iconography of winged angels is indebted to these classical figures. Nevertheless, Marco </w:t>
      </w:r>
      <w:proofErr w:type="spellStart"/>
      <w:r w:rsidRPr="00771E6E">
        <w:t>Bussagli</w:t>
      </w:r>
      <w:proofErr w:type="spellEnd"/>
      <w:r w:rsidRPr="00771E6E">
        <w:t xml:space="preserve"> has highlighted that there are striking differences between the Christian angel and the ancient personification of Victory, in particular the gender: male for the former, female for the latter. Notably, in the first half of the sixth century the figure of Nike on Byzantine coins under Justin I was </w:t>
      </w:r>
      <w:r w:rsidRPr="00771E6E">
        <w:lastRenderedPageBreak/>
        <w:t xml:space="preserve">replaced by that of a winged angel, but with enough alteration to the iconography to </w:t>
      </w:r>
      <w:proofErr w:type="spellStart"/>
      <w:r w:rsidRPr="00771E6E">
        <w:t>emphasise</w:t>
      </w:r>
      <w:proofErr w:type="spellEnd"/>
      <w:r w:rsidRPr="00771E6E">
        <w:t xml:space="preserve"> the change in subject.</w:t>
      </w:r>
      <w:r w:rsidRPr="00771E6E">
        <w:rPr>
          <w:rStyle w:val="FootnoteReference"/>
        </w:rPr>
        <w:footnoteReference w:id="297"/>
      </w:r>
    </w:p>
    <w:p w14:paraId="033ADC14" w14:textId="77777777" w:rsidR="008A116C" w:rsidRPr="00771E6E" w:rsidRDefault="008A116C" w:rsidP="008A116C">
      <w:pPr>
        <w:ind w:firstLine="720"/>
      </w:pPr>
      <w:r w:rsidRPr="00771E6E">
        <w:t>In addition to the influence of the Classical gods as described above, it is likely that depictions of the winds would have had an impact on the development of figures of winged angels, based on the biblical indication that “He [God] makes his messengers winds”.</w:t>
      </w:r>
      <w:r w:rsidRPr="00771E6E">
        <w:rPr>
          <w:rStyle w:val="FootnoteReference"/>
        </w:rPr>
        <w:footnoteReference w:id="298"/>
      </w:r>
      <w:r w:rsidRPr="00771E6E">
        <w:t xml:space="preserve"> It is interesting to note that the Hebraic word for “wind” (</w:t>
      </w:r>
      <w:proofErr w:type="spellStart"/>
      <w:r w:rsidRPr="00771E6E">
        <w:rPr>
          <w:i/>
        </w:rPr>
        <w:t>ruàh</w:t>
      </w:r>
      <w:proofErr w:type="spellEnd"/>
      <w:r w:rsidRPr="00771E6E">
        <w:t xml:space="preserve">), can also be taken to mean </w:t>
      </w:r>
      <w:r w:rsidR="00E07CF8" w:rsidRPr="00771E6E">
        <w:t>“</w:t>
      </w:r>
      <w:r w:rsidRPr="00771E6E">
        <w:t>soul</w:t>
      </w:r>
      <w:r w:rsidR="00E07CF8" w:rsidRPr="00771E6E">
        <w:t>”</w:t>
      </w:r>
      <w:r w:rsidRPr="00771E6E">
        <w:t>, and can therefore be associated with angels, as immaterial beings.</w:t>
      </w:r>
      <w:r w:rsidRPr="00771E6E">
        <w:rPr>
          <w:rStyle w:val="FootnoteReference"/>
        </w:rPr>
        <w:footnoteReference w:id="299"/>
      </w:r>
      <w:r w:rsidRPr="00771E6E">
        <w:t xml:space="preserve"> It is also equally possible that winged figures of angels might be indebted to other Christian sources, such as the biblical passages that described men with wings (Ezekiel 1:5–6 and Revelation 4:7–8) and the iconography of a winged man as a symbol of the evangelist Matthew.</w:t>
      </w:r>
      <w:r w:rsidRPr="00771E6E">
        <w:rPr>
          <w:rStyle w:val="FootnoteReference"/>
        </w:rPr>
        <w:footnoteReference w:id="300"/>
      </w:r>
      <w:r w:rsidRPr="00771E6E">
        <w:t xml:space="preserve"> Furthermore, the early Christian author Tertullian, in a passage of his </w:t>
      </w:r>
      <w:proofErr w:type="spellStart"/>
      <w:r w:rsidRPr="00771E6E">
        <w:rPr>
          <w:i/>
        </w:rPr>
        <w:t>Apologeticum</w:t>
      </w:r>
      <w:proofErr w:type="spellEnd"/>
      <w:r w:rsidRPr="00771E6E">
        <w:rPr>
          <w:i/>
        </w:rPr>
        <w:t xml:space="preserve"> </w:t>
      </w:r>
      <w:r w:rsidRPr="00771E6E">
        <w:t>(Apology) written in the second century AD, states that:</w:t>
      </w:r>
    </w:p>
    <w:p w14:paraId="0419A1E4" w14:textId="77777777" w:rsidR="008A116C" w:rsidRPr="00771E6E" w:rsidRDefault="008A116C" w:rsidP="008A116C">
      <w:pPr>
        <w:ind w:firstLine="720"/>
      </w:pPr>
    </w:p>
    <w:p w14:paraId="66646B44" w14:textId="77777777" w:rsidR="008A116C" w:rsidRPr="00771E6E" w:rsidRDefault="008A116C" w:rsidP="008A116C">
      <w:pPr>
        <w:pStyle w:val="IntenseQuote"/>
      </w:pPr>
      <w:r w:rsidRPr="00771E6E">
        <w:t>Every spirit is winged, both angels and demons. In this way, in a moment they are everywhere: all the world is for them one place; what is taking place everywhere is as easy for them to know as to tell. It is thought that their velocity is divine, because their substance is not known.</w:t>
      </w:r>
      <w:r w:rsidRPr="00771E6E">
        <w:rPr>
          <w:rStyle w:val="FootnoteReference"/>
        </w:rPr>
        <w:footnoteReference w:id="301"/>
      </w:r>
      <w:r w:rsidRPr="00771E6E">
        <w:t xml:space="preserve"> </w:t>
      </w:r>
    </w:p>
    <w:p w14:paraId="3573EC75" w14:textId="77777777" w:rsidR="008A116C" w:rsidRPr="00771E6E" w:rsidRDefault="008A116C" w:rsidP="008A116C"/>
    <w:p w14:paraId="3B430A1D" w14:textId="77777777" w:rsidR="008A116C" w:rsidRPr="00771E6E" w:rsidRDefault="008A116C" w:rsidP="008A116C">
      <w:r w:rsidRPr="00771E6E">
        <w:t>Thus, the attribute of wings was initially symbolic of the angels’ swiftness and ability to move instantly from one place to another, rather than as a real feature pertaining to their substantial nature.</w:t>
      </w:r>
      <w:r w:rsidRPr="00771E6E">
        <w:rPr>
          <w:rStyle w:val="FootnoteReference"/>
        </w:rPr>
        <w:footnoteReference w:id="302"/>
      </w:r>
      <w:r w:rsidRPr="00771E6E">
        <w:t xml:space="preserve"> Isidore of Seville (560-636) explains that the addition of wings was a conventional way of representing angels’ speed. In his </w:t>
      </w:r>
      <w:proofErr w:type="spellStart"/>
      <w:r w:rsidRPr="00771E6E">
        <w:rPr>
          <w:i/>
        </w:rPr>
        <w:t>Etymologiarum</w:t>
      </w:r>
      <w:proofErr w:type="spellEnd"/>
      <w:r w:rsidRPr="00771E6E">
        <w:rPr>
          <w:i/>
        </w:rPr>
        <w:t xml:space="preserve"> </w:t>
      </w:r>
      <w:proofErr w:type="spellStart"/>
      <w:r w:rsidRPr="00771E6E">
        <w:rPr>
          <w:i/>
        </w:rPr>
        <w:t>sive</w:t>
      </w:r>
      <w:proofErr w:type="spellEnd"/>
      <w:r w:rsidRPr="00771E6E">
        <w:rPr>
          <w:i/>
        </w:rPr>
        <w:t xml:space="preserve"> </w:t>
      </w:r>
      <w:proofErr w:type="spellStart"/>
      <w:r w:rsidRPr="00771E6E">
        <w:rPr>
          <w:i/>
        </w:rPr>
        <w:t>Originum</w:t>
      </w:r>
      <w:proofErr w:type="spellEnd"/>
      <w:r w:rsidRPr="00771E6E">
        <w:t xml:space="preserve"> (The Etymologies or Origins) he declares that artists can depict winged angels to “express their rapid flight, just as in poets’ fables the winds are said to have feathers, because of their swiftness, of course!”</w:t>
      </w:r>
      <w:r w:rsidRPr="00771E6E">
        <w:rPr>
          <w:rStyle w:val="FootnoteReference"/>
        </w:rPr>
        <w:footnoteReference w:id="303"/>
      </w:r>
    </w:p>
    <w:p w14:paraId="15E7CA90" w14:textId="77777777" w:rsidR="008A116C" w:rsidRPr="00771E6E" w:rsidRDefault="008A116C" w:rsidP="008A116C">
      <w:pPr>
        <w:ind w:firstLine="720"/>
      </w:pPr>
      <w:r w:rsidRPr="00771E6E">
        <w:lastRenderedPageBreak/>
        <w:t>The first Italian example of a winged angel can be found in a mosaic in the basilica of Santa Maria Maggiore in Rome, from between AD 432-440. Here, an angel flying above the Virgin Mary on the triumphal arch is depicted as having wings. Interestingly, the drawing underneath shows a wingless angel, making this mosaic a significant example of this transition. From this time onwards, throughout the Middle Ages, it became fairly common practice to depict angels with wings on their shoulders.</w:t>
      </w:r>
      <w:r w:rsidRPr="00771E6E">
        <w:rPr>
          <w:rStyle w:val="FootnoteReference"/>
        </w:rPr>
        <w:footnoteReference w:id="304"/>
      </w:r>
    </w:p>
    <w:p w14:paraId="7852A97C" w14:textId="77777777" w:rsidR="008A116C" w:rsidRPr="00771E6E" w:rsidRDefault="008A116C" w:rsidP="008A116C">
      <w:pPr>
        <w:ind w:firstLine="720"/>
      </w:pPr>
      <w:r w:rsidRPr="00771E6E">
        <w:t xml:space="preserve">In his </w:t>
      </w:r>
      <w:r w:rsidRPr="00771E6E">
        <w:rPr>
          <w:i/>
        </w:rPr>
        <w:t xml:space="preserve">De </w:t>
      </w:r>
      <w:proofErr w:type="spellStart"/>
      <w:r w:rsidRPr="00771E6E">
        <w:rPr>
          <w:i/>
        </w:rPr>
        <w:t>coelesti</w:t>
      </w:r>
      <w:proofErr w:type="spellEnd"/>
      <w:r w:rsidRPr="00771E6E">
        <w:rPr>
          <w:i/>
        </w:rPr>
        <w:t xml:space="preserve"> </w:t>
      </w:r>
      <w:proofErr w:type="spellStart"/>
      <w:r w:rsidRPr="00771E6E">
        <w:rPr>
          <w:i/>
        </w:rPr>
        <w:t>hierarchia</w:t>
      </w:r>
      <w:proofErr w:type="spellEnd"/>
      <w:r w:rsidRPr="00771E6E">
        <w:t xml:space="preserve"> (On the celestial hierarchy), Pseudo-Dionysus the Areopagite, who lived between the fifth and the sixth centuries, codified the necessity of representing angels visually so that they could be comprehended by mortals. The immaterial celestial creatures needed to be adapted into something that is comprehensible to the human mind. In Pseudo-Dionysus’ words:</w:t>
      </w:r>
    </w:p>
    <w:p w14:paraId="163CFC93" w14:textId="77777777" w:rsidR="008A116C" w:rsidRPr="00771E6E" w:rsidRDefault="008A116C" w:rsidP="008A116C"/>
    <w:p w14:paraId="3CB25710" w14:textId="77777777" w:rsidR="008A116C" w:rsidRPr="00771E6E" w:rsidRDefault="008A116C" w:rsidP="008A116C">
      <w:pPr>
        <w:pStyle w:val="IntenseQuote"/>
      </w:pPr>
      <w:r w:rsidRPr="00771E6E">
        <w:t xml:space="preserve">He [God] modelled it [the sacred institution] on the hierarchies of heaven, and clothed these immaterial hierarchies in numerous material figures and forms, so that, in a way appropriate to our nature, we might be uplifted from these most venerable images to interpretations and assimilations which are simple and inexpressible. For it is quite impossible that we humans should, in any immaterial way, rise up to imitate and to contemplate the heavenly hierarchies without the aid of material means capable of guiding us as our nature requires. Hence, any thinking person </w:t>
      </w:r>
      <w:proofErr w:type="spellStart"/>
      <w:r w:rsidRPr="00771E6E">
        <w:t>realises</w:t>
      </w:r>
      <w:proofErr w:type="spellEnd"/>
      <w:r w:rsidRPr="00771E6E">
        <w:t xml:space="preserve"> that the appearances of beauty are signs of an invisible loveliness.</w:t>
      </w:r>
      <w:r w:rsidRPr="00771E6E">
        <w:rPr>
          <w:rStyle w:val="FootnoteReference"/>
        </w:rPr>
        <w:footnoteReference w:id="305"/>
      </w:r>
      <w:r w:rsidRPr="00771E6E">
        <w:rPr>
          <w:rStyle w:val="CommentReference"/>
        </w:rPr>
        <w:t xml:space="preserve"> </w:t>
      </w:r>
      <w:r w:rsidRPr="00771E6E">
        <w:t xml:space="preserve"> </w:t>
      </w:r>
    </w:p>
    <w:p w14:paraId="20C2DB7A" w14:textId="77777777" w:rsidR="008A116C" w:rsidRPr="00771E6E" w:rsidRDefault="008A116C" w:rsidP="008A116C"/>
    <w:p w14:paraId="6E6AA8EA" w14:textId="77777777" w:rsidR="008A116C" w:rsidRPr="00771E6E" w:rsidRDefault="008A116C" w:rsidP="008A116C">
      <w:pPr>
        <w:rPr>
          <w:rFonts w:eastAsiaTheme="minorHAnsi"/>
        </w:rPr>
      </w:pPr>
      <w:r w:rsidRPr="00771E6E">
        <w:t xml:space="preserve">This same concept is also stated by John of Damascus between the seventh and the eight centuries. In his </w:t>
      </w:r>
      <w:proofErr w:type="spellStart"/>
      <w:r w:rsidRPr="00771E6E">
        <w:rPr>
          <w:i/>
          <w:iCs/>
        </w:rPr>
        <w:t>Expositio</w:t>
      </w:r>
      <w:proofErr w:type="spellEnd"/>
      <w:r w:rsidRPr="00771E6E">
        <w:rPr>
          <w:i/>
          <w:iCs/>
        </w:rPr>
        <w:t xml:space="preserve"> fidei</w:t>
      </w:r>
      <w:r w:rsidRPr="00771E6E">
        <w:t xml:space="preserve"> (Exposition of Faith) stressing the importance of the sense of sight to comprehend divine matters, the author defended the use of images of angels in worship.</w:t>
      </w:r>
      <w:r w:rsidRPr="00771E6E">
        <w:rPr>
          <w:rStyle w:val="FootnoteReference"/>
        </w:rPr>
        <w:footnoteReference w:id="306"/>
      </w:r>
      <w:r w:rsidRPr="00771E6E">
        <w:t xml:space="preserve"> As part of a broader discussion in support of Christ’s artistic representability, John of Damascus states that, even though angels are immaterial and bodiless creatures, they are bound to time and space. This makes them circumscribable and therefore representable visually.</w:t>
      </w:r>
      <w:r w:rsidRPr="00771E6E">
        <w:rPr>
          <w:rStyle w:val="FootnoteReference"/>
        </w:rPr>
        <w:footnoteReference w:id="307"/>
      </w:r>
      <w:r w:rsidRPr="00771E6E">
        <w:t xml:space="preserve"> In the author’s words: </w:t>
      </w:r>
    </w:p>
    <w:p w14:paraId="0CDF11CC" w14:textId="77777777" w:rsidR="008A116C" w:rsidRPr="00771E6E" w:rsidRDefault="008A116C" w:rsidP="008A116C">
      <w:pPr>
        <w:pStyle w:val="IntenseQuote"/>
      </w:pPr>
      <w:r w:rsidRPr="00771E6E">
        <w:lastRenderedPageBreak/>
        <w:t xml:space="preserve">Physical things which have shape, bodies which are circumscribed, and have </w:t>
      </w:r>
      <w:proofErr w:type="spellStart"/>
      <w:r w:rsidRPr="00771E6E">
        <w:t>colour</w:t>
      </w:r>
      <w:proofErr w:type="spellEnd"/>
      <w:r w:rsidRPr="00771E6E">
        <w:t>, are suitable subjects for image-making. Nevertheless, even if nothing physical or fleshly may be attributed to an angel, or a soul, or a demon, it is still possible to depict and circumscribe them according to their nature. For they are intellectual beings, and are believed to be present invisibly and to operate spiritually.</w:t>
      </w:r>
      <w:r w:rsidRPr="00771E6E">
        <w:rPr>
          <w:rStyle w:val="FootnoteReference"/>
        </w:rPr>
        <w:footnoteReference w:id="308"/>
      </w:r>
    </w:p>
    <w:p w14:paraId="64BA6B17" w14:textId="77777777" w:rsidR="008A116C" w:rsidRPr="00771E6E" w:rsidRDefault="008A116C" w:rsidP="008A116C"/>
    <w:p w14:paraId="5EAB4318" w14:textId="77777777" w:rsidR="008A116C" w:rsidRPr="00771E6E" w:rsidRDefault="008A116C" w:rsidP="008A116C">
      <w:r w:rsidRPr="00771E6E">
        <w:t>In line with the ideas developed by Pseudo-Dionysus, John of Damascus believed that images are a necessary intermediary to enable human beings to contemplate the spiritual realm: “These [images] give us a faint apprehension of God and the angels where otherwise we would have none, because it is impossible for us to think immaterial things unless we can envision analogous shapes, as the great and holy Dionysius the Areopagite has said.”</w:t>
      </w:r>
      <w:r w:rsidRPr="00771E6E">
        <w:rPr>
          <w:rStyle w:val="FootnoteReference"/>
        </w:rPr>
        <w:footnoteReference w:id="309"/>
      </w:r>
      <w:r w:rsidRPr="00771E6E">
        <w:t xml:space="preserve"> After this, he quotes his predecessor almost exactly by saying that: </w:t>
      </w:r>
    </w:p>
    <w:p w14:paraId="6B39E594" w14:textId="77777777" w:rsidR="008A116C" w:rsidRPr="00771E6E" w:rsidRDefault="008A116C" w:rsidP="008A116C"/>
    <w:p w14:paraId="27295441" w14:textId="77777777" w:rsidR="008A116C" w:rsidRPr="00771E6E" w:rsidRDefault="008A116C" w:rsidP="008A116C">
      <w:pPr>
        <w:pStyle w:val="IntenseQuote"/>
      </w:pPr>
      <w:r w:rsidRPr="00771E6E">
        <w:t>God wills that we should not be totally ignorant of bodiless creatures, and so he clothed them with forms and shapes, and used images comprehensible to our nature, material forms which could be seen by the spiritual nature of the mind. From these we make images and representations, for how else could the cherubim be shown as having form?</w:t>
      </w:r>
      <w:r w:rsidRPr="00771E6E">
        <w:rPr>
          <w:rStyle w:val="FootnoteReference"/>
        </w:rPr>
        <w:footnoteReference w:id="310"/>
      </w:r>
    </w:p>
    <w:p w14:paraId="77921442" w14:textId="77777777" w:rsidR="008A116C" w:rsidRPr="00771E6E" w:rsidRDefault="008A116C" w:rsidP="008A116C"/>
    <w:p w14:paraId="3A200F3A" w14:textId="77777777" w:rsidR="008A116C" w:rsidRPr="00771E6E" w:rsidRDefault="008A116C" w:rsidP="008A116C">
      <w:r w:rsidRPr="00771E6E">
        <w:t xml:space="preserve">Figurative representation of angels became legitimate following the second Council of Nicaea in 787, which took place to settle the iconoclastic dispute. Here, celestial beings were </w:t>
      </w:r>
      <w:proofErr w:type="spellStart"/>
      <w:r w:rsidRPr="00771E6E">
        <w:t>recognised</w:t>
      </w:r>
      <w:proofErr w:type="spellEnd"/>
      <w:r w:rsidRPr="00771E6E">
        <w:t xml:space="preserve"> as having a “body”. This was largely based on Psalm 104:4, which, by stating that God’s messengers were winds (</w:t>
      </w:r>
      <w:proofErr w:type="spellStart"/>
      <w:r w:rsidRPr="00771E6E">
        <w:rPr>
          <w:i/>
        </w:rPr>
        <w:t>spiritos</w:t>
      </w:r>
      <w:proofErr w:type="spellEnd"/>
      <w:r w:rsidRPr="00771E6E">
        <w:t xml:space="preserve">) and his ministers were fire and flame, figuratively assigned a “body” made of air and fire to the angels. Their ethereal nature places angels in an intermediary position between men, created from the earth, and God, </w:t>
      </w:r>
      <w:r w:rsidRPr="00771E6E">
        <w:lastRenderedPageBreak/>
        <w:t>supreme light.</w:t>
      </w:r>
      <w:r w:rsidRPr="00771E6E">
        <w:rPr>
          <w:rStyle w:val="FootnoteReference"/>
        </w:rPr>
        <w:footnoteReference w:id="311"/>
      </w:r>
      <w:r w:rsidRPr="00771E6E">
        <w:t xml:space="preserve"> In this way the Council also established the spiritual, “airy” nature of angels.</w:t>
      </w:r>
      <w:r w:rsidRPr="00771E6E">
        <w:rPr>
          <w:rStyle w:val="FootnoteReference"/>
        </w:rPr>
        <w:footnoteReference w:id="312"/>
      </w:r>
      <w:r w:rsidRPr="00771E6E">
        <w:t xml:space="preserve"> </w:t>
      </w:r>
    </w:p>
    <w:p w14:paraId="7AF50998" w14:textId="77777777" w:rsidR="008A116C" w:rsidRPr="00771E6E" w:rsidRDefault="008A116C" w:rsidP="008A116C">
      <w:pPr>
        <w:ind w:firstLine="720"/>
      </w:pPr>
      <w:r w:rsidRPr="00771E6E">
        <w:t xml:space="preserve">That angelic bodies are made of air had been asserted by Pseudo-Dionysus in his </w:t>
      </w:r>
      <w:r w:rsidRPr="00771E6E">
        <w:rPr>
          <w:i/>
        </w:rPr>
        <w:t xml:space="preserve">De </w:t>
      </w:r>
      <w:proofErr w:type="spellStart"/>
      <w:r w:rsidRPr="00771E6E">
        <w:rPr>
          <w:i/>
        </w:rPr>
        <w:t>coelesti</w:t>
      </w:r>
      <w:proofErr w:type="spellEnd"/>
      <w:r w:rsidRPr="00771E6E">
        <w:rPr>
          <w:i/>
        </w:rPr>
        <w:t xml:space="preserve"> </w:t>
      </w:r>
      <w:proofErr w:type="spellStart"/>
      <w:r w:rsidRPr="00771E6E">
        <w:rPr>
          <w:i/>
        </w:rPr>
        <w:t>hierarchia</w:t>
      </w:r>
      <w:proofErr w:type="spellEnd"/>
      <w:r w:rsidRPr="00771E6E">
        <w:t>:</w:t>
      </w:r>
    </w:p>
    <w:p w14:paraId="257E1125" w14:textId="77777777" w:rsidR="008A116C" w:rsidRPr="00771E6E" w:rsidRDefault="008A116C" w:rsidP="008A116C"/>
    <w:p w14:paraId="706474E8" w14:textId="77777777" w:rsidR="008A116C" w:rsidRPr="00771E6E" w:rsidRDefault="008A116C" w:rsidP="008A116C">
      <w:pPr>
        <w:pStyle w:val="IntenseQuote"/>
      </w:pPr>
      <w:r w:rsidRPr="00771E6E">
        <w:t>They [the angels] are also named “winds” as a sign of the virtually instant speed with which they operate everywhere … One could add that the word “wind” means a spirit of the air and shows how divine and intelligent beings live in conformity with God. The word is an image and a symbol of the activity of the Deity. It naturally moves and gives life, hurrying forward, direct and unrestrained, and this in virtue of what to us is unknowable and invisible, namely the hiddenness of the sources and the objectives of its movements.</w:t>
      </w:r>
      <w:r w:rsidRPr="00771E6E">
        <w:rPr>
          <w:rStyle w:val="FootnoteReference"/>
        </w:rPr>
        <w:footnoteReference w:id="313"/>
      </w:r>
    </w:p>
    <w:p w14:paraId="58E5D886" w14:textId="77777777" w:rsidR="008A116C" w:rsidRPr="00771E6E" w:rsidRDefault="008A116C" w:rsidP="008A116C"/>
    <w:p w14:paraId="04B06A6B" w14:textId="77777777" w:rsidR="008A116C" w:rsidRPr="00771E6E" w:rsidRDefault="008A116C" w:rsidP="008A116C">
      <w:r w:rsidRPr="00771E6E">
        <w:t>This same idea was echoed in the writings of both Isidore of Seville in the seventh century, and much later by Thomas Aquinas in the thirteenth.</w:t>
      </w:r>
      <w:r w:rsidRPr="00771E6E">
        <w:rPr>
          <w:rStyle w:val="FootnoteReference"/>
        </w:rPr>
        <w:footnoteReference w:id="314"/>
      </w:r>
      <w:r w:rsidRPr="00771E6E">
        <w:t xml:space="preserve"> In art, this idea was translated into depictions of creatures who either sit on or come out of clouds, or whose bodies are only partially material, with the remaining part vanishing into vaporous clouds. This type of representation, which </w:t>
      </w:r>
      <w:proofErr w:type="spellStart"/>
      <w:r w:rsidRPr="00771E6E">
        <w:t>Bussagli</w:t>
      </w:r>
      <w:proofErr w:type="spellEnd"/>
      <w:r w:rsidRPr="00771E6E">
        <w:t xml:space="preserve"> called </w:t>
      </w:r>
      <w:proofErr w:type="spellStart"/>
      <w:r w:rsidRPr="00771E6E">
        <w:rPr>
          <w:i/>
        </w:rPr>
        <w:t>angelo-nube</w:t>
      </w:r>
      <w:proofErr w:type="spellEnd"/>
      <w:r w:rsidRPr="00771E6E">
        <w:t xml:space="preserve"> (angel-cloud), can be observed throughout the Middle Ages, up until the sixteenth century.</w:t>
      </w:r>
      <w:r w:rsidRPr="00771E6E">
        <w:rPr>
          <w:rStyle w:val="FootnoteReference"/>
        </w:rPr>
        <w:footnoteReference w:id="315"/>
      </w:r>
      <w:r w:rsidRPr="00771E6E">
        <w:t xml:space="preserve"> For example, it is from a cloud that the top half of the body of the angel stopping Abraham’s hand from sacrificing his son Isaac appears, in two tiles made by Brunelleschi and Ghiberti respectively as part of their participation in the competition to design one of the doors of the Baptistery of Florence in 1401.</w:t>
      </w:r>
      <w:r w:rsidRPr="00771E6E">
        <w:rPr>
          <w:rStyle w:val="FootnoteReference"/>
        </w:rPr>
        <w:footnoteReference w:id="316"/>
      </w:r>
    </w:p>
    <w:p w14:paraId="7EEF4743" w14:textId="77777777" w:rsidR="008A116C" w:rsidRPr="00771E6E" w:rsidRDefault="008A116C" w:rsidP="008A116C">
      <w:r w:rsidRPr="00771E6E">
        <w:tab/>
        <w:t xml:space="preserve">Perhaps one of the depictions of angels that most effectively conveys the idea of their immateriality is a panel with the Virgin and Child painted by Gentile da </w:t>
      </w:r>
      <w:proofErr w:type="spellStart"/>
      <w:r w:rsidRPr="00771E6E">
        <w:t>Fabriano</w:t>
      </w:r>
      <w:proofErr w:type="spellEnd"/>
      <w:r w:rsidRPr="00771E6E">
        <w:t xml:space="preserve">, today kept in the Museo </w:t>
      </w:r>
      <w:proofErr w:type="spellStart"/>
      <w:r w:rsidRPr="00771E6E">
        <w:t>Diocesiano</w:t>
      </w:r>
      <w:proofErr w:type="spellEnd"/>
      <w:r w:rsidRPr="00771E6E">
        <w:t xml:space="preserve"> of Velletri (fig. 2.1). Here, two transparent angels flank the main figures. The painter probably painted these translucent angels as an </w:t>
      </w:r>
      <w:r w:rsidRPr="00771E6E">
        <w:lastRenderedPageBreak/>
        <w:t>indication of their ethereal nature.</w:t>
      </w:r>
      <w:r w:rsidRPr="00771E6E">
        <w:rPr>
          <w:rStyle w:val="FootnoteReference"/>
        </w:rPr>
        <w:footnoteReference w:id="317"/>
      </w:r>
      <w:r w:rsidRPr="00771E6E">
        <w:t xml:space="preserve"> Other artists have employed different methods to obtain similar results, depicting angels in hues of </w:t>
      </w:r>
      <w:proofErr w:type="spellStart"/>
      <w:r w:rsidRPr="00771E6E">
        <w:t>colours</w:t>
      </w:r>
      <w:proofErr w:type="spellEnd"/>
      <w:r w:rsidRPr="00771E6E">
        <w:t xml:space="preserve"> that recall those used to paint the setting, be it a cerulean sky or a golden background.</w:t>
      </w:r>
      <w:r w:rsidRPr="00771E6E">
        <w:rPr>
          <w:rStyle w:val="FootnoteReference"/>
        </w:rPr>
        <w:footnoteReference w:id="318"/>
      </w:r>
    </w:p>
    <w:p w14:paraId="3C8DBE9D" w14:textId="77777777" w:rsidR="008A116C" w:rsidRPr="00771E6E" w:rsidRDefault="008A116C" w:rsidP="008A116C">
      <w:pPr>
        <w:ind w:firstLine="720"/>
      </w:pPr>
      <w:r w:rsidRPr="00771E6E">
        <w:t>The physical nature of angels was not the only aspect debated during the Middle Ages. Numerous theologians and philosophers attempted to sort the various different categories of angels into a hierarchy, with each obtaining different results. The most influential scheme was that devised by Pseudo-Dionysius in his</w:t>
      </w:r>
      <w:r w:rsidRPr="00771E6E">
        <w:rPr>
          <w:i/>
        </w:rPr>
        <w:t xml:space="preserve"> De </w:t>
      </w:r>
      <w:proofErr w:type="spellStart"/>
      <w:r w:rsidRPr="00771E6E">
        <w:rPr>
          <w:i/>
        </w:rPr>
        <w:t>coelesti</w:t>
      </w:r>
      <w:proofErr w:type="spellEnd"/>
      <w:r w:rsidRPr="00771E6E">
        <w:rPr>
          <w:i/>
        </w:rPr>
        <w:t xml:space="preserve"> </w:t>
      </w:r>
      <w:proofErr w:type="spellStart"/>
      <w:r w:rsidRPr="00771E6E">
        <w:rPr>
          <w:i/>
        </w:rPr>
        <w:t>hierarchia</w:t>
      </w:r>
      <w:proofErr w:type="spellEnd"/>
      <w:r w:rsidRPr="00771E6E">
        <w:t xml:space="preserve">. In his system, which was later reused by Thomas Aquinas in his </w:t>
      </w:r>
      <w:r w:rsidRPr="00771E6E">
        <w:rPr>
          <w:i/>
        </w:rPr>
        <w:t xml:space="preserve">Summa </w:t>
      </w:r>
      <w:proofErr w:type="spellStart"/>
      <w:r w:rsidRPr="00771E6E">
        <w:rPr>
          <w:i/>
        </w:rPr>
        <w:t>theologiae</w:t>
      </w:r>
      <w:proofErr w:type="spellEnd"/>
      <w:r w:rsidRPr="00771E6E">
        <w:t xml:space="preserve">, the author </w:t>
      </w:r>
      <w:proofErr w:type="spellStart"/>
      <w:r w:rsidRPr="00771E6E">
        <w:t>categorised</w:t>
      </w:r>
      <w:proofErr w:type="spellEnd"/>
      <w:r w:rsidRPr="00771E6E">
        <w:t xml:space="preserve"> angels into nine separate levels, each grouped into three orders. The highest order comprises the Seraphim, Cherubim and Thrones, the middle order Dominions, Virtues and Powers, and the lowest order Principalities, Archangels and Angels.</w:t>
      </w:r>
      <w:r w:rsidRPr="00771E6E">
        <w:rPr>
          <w:rStyle w:val="FootnoteReference"/>
        </w:rPr>
        <w:footnoteReference w:id="319"/>
      </w:r>
      <w:r w:rsidRPr="00771E6E">
        <w:t xml:space="preserve"> </w:t>
      </w:r>
    </w:p>
    <w:p w14:paraId="24D66ED2" w14:textId="77777777" w:rsidR="008A116C" w:rsidRPr="00771E6E" w:rsidRDefault="008A116C" w:rsidP="008A116C">
      <w:pPr>
        <w:ind w:firstLine="720"/>
      </w:pPr>
      <w:r w:rsidRPr="00771E6E">
        <w:t xml:space="preserve">According to Gregory the Great, angels, as archetypes of human </w:t>
      </w:r>
      <w:proofErr w:type="spellStart"/>
      <w:r w:rsidRPr="00771E6E">
        <w:t>behaviour</w:t>
      </w:r>
      <w:proofErr w:type="spellEnd"/>
      <w:r w:rsidRPr="00771E6E">
        <w:t>, represent the model that mortals need to imitate in order to be able to comprehend God. The different levels in the angelic hierarchy would therefore represent the different levels of divine knowledge.</w:t>
      </w:r>
      <w:r w:rsidRPr="00771E6E">
        <w:rPr>
          <w:rStyle w:val="FootnoteReference"/>
        </w:rPr>
        <w:footnoteReference w:id="320"/>
      </w:r>
      <w:r w:rsidRPr="00771E6E">
        <w:t xml:space="preserve"> The angelic hierarchies were officially defined during the Fourth Council of the Lateran, in 1215.</w:t>
      </w:r>
      <w:r w:rsidRPr="00771E6E">
        <w:rPr>
          <w:rStyle w:val="FootnoteReference"/>
        </w:rPr>
        <w:footnoteReference w:id="321"/>
      </w:r>
    </w:p>
    <w:p w14:paraId="51662356" w14:textId="77777777" w:rsidR="008A116C" w:rsidRPr="00771E6E" w:rsidRDefault="008A116C" w:rsidP="008A116C">
      <w:pPr>
        <w:ind w:firstLine="720"/>
      </w:pPr>
      <w:r w:rsidRPr="00771E6E">
        <w:t>The principal theological ideas surrounding angels were widely-disseminated from the mid-thirteenth century onwards, thanks mainly to the enormous popularity enjoyed by t</w:t>
      </w:r>
      <w:r w:rsidRPr="00771E6E">
        <w:rPr>
          <w:color w:val="000000"/>
        </w:rPr>
        <w:t xml:space="preserve">he </w:t>
      </w:r>
      <w:proofErr w:type="spellStart"/>
      <w:r w:rsidRPr="00771E6E">
        <w:rPr>
          <w:i/>
        </w:rPr>
        <w:t>Legenda</w:t>
      </w:r>
      <w:proofErr w:type="spellEnd"/>
      <w:r w:rsidRPr="00771E6E">
        <w:rPr>
          <w:i/>
        </w:rPr>
        <w:t xml:space="preserve"> Aurea</w:t>
      </w:r>
      <w:r w:rsidRPr="00771E6E">
        <w:t xml:space="preserve">, written around 1260 by Jacobus da </w:t>
      </w:r>
      <w:proofErr w:type="spellStart"/>
      <w:r w:rsidRPr="00771E6E">
        <w:t>Voragine</w:t>
      </w:r>
      <w:proofErr w:type="spellEnd"/>
      <w:r w:rsidRPr="00771E6E">
        <w:t>. In this text, the author adopts the hierarchical division envisaged by Pseudo-Dionysius.</w:t>
      </w:r>
      <w:r w:rsidRPr="00771E6E">
        <w:rPr>
          <w:rStyle w:val="FootnoteReference"/>
        </w:rPr>
        <w:footnoteReference w:id="322"/>
      </w:r>
      <w:r w:rsidRPr="00771E6E">
        <w:t xml:space="preserve"> After this, artistic representations of the angelic hierarchies became common, as can be seen, for example, in </w:t>
      </w:r>
      <w:proofErr w:type="spellStart"/>
      <w:r w:rsidRPr="00771E6E">
        <w:t>Nardo</w:t>
      </w:r>
      <w:proofErr w:type="spellEnd"/>
      <w:r w:rsidRPr="00771E6E">
        <w:t xml:space="preserve"> di </w:t>
      </w:r>
      <w:proofErr w:type="spellStart"/>
      <w:r w:rsidRPr="00771E6E">
        <w:t>Cione’s</w:t>
      </w:r>
      <w:proofErr w:type="spellEnd"/>
      <w:r w:rsidRPr="00771E6E">
        <w:t xml:space="preserve"> </w:t>
      </w:r>
      <w:r w:rsidRPr="00771E6E">
        <w:rPr>
          <w:i/>
        </w:rPr>
        <w:t>Paradise</w:t>
      </w:r>
      <w:r w:rsidRPr="00771E6E">
        <w:t xml:space="preserve"> in the Cappella </w:t>
      </w:r>
      <w:proofErr w:type="spellStart"/>
      <w:r w:rsidRPr="00771E6E">
        <w:t>Strozzi</w:t>
      </w:r>
      <w:proofErr w:type="spellEnd"/>
      <w:r w:rsidRPr="00771E6E">
        <w:t xml:space="preserve"> in the Florentine church of Santa Maria Novella (1351-1357, fig. 2.2).</w:t>
      </w:r>
      <w:r w:rsidRPr="00771E6E">
        <w:rPr>
          <w:rStyle w:val="FootnoteReference"/>
        </w:rPr>
        <w:footnoteReference w:id="323"/>
      </w:r>
    </w:p>
    <w:p w14:paraId="56668B28" w14:textId="77777777" w:rsidR="008A116C" w:rsidRPr="00771E6E" w:rsidRDefault="008A116C" w:rsidP="008A116C">
      <w:r w:rsidRPr="00771E6E">
        <w:tab/>
        <w:t xml:space="preserve">In addition to being immaterial beings associated with air and wind, angels could also be connected with many other entities. In the Bible, stars and angels are often described as having very similar functions and natures. They both praise the Lord (Job </w:t>
      </w:r>
      <w:r w:rsidRPr="00771E6E">
        <w:lastRenderedPageBreak/>
        <w:t>38:6-7, Baruch 3:34-35) and serve him, and, like stars, angels were considered to be luminous beings, as described in the Gospel of Luke 24:4 when angels were encountered at Christ’s burial site, where they are described as being clothed “in dazzling apparel.”</w:t>
      </w:r>
      <w:r w:rsidRPr="00771E6E">
        <w:rPr>
          <w:rStyle w:val="FootnoteReference"/>
        </w:rPr>
        <w:footnoteReference w:id="324"/>
      </w:r>
    </w:p>
    <w:p w14:paraId="36F57378" w14:textId="77777777" w:rsidR="008A116C" w:rsidRPr="00771E6E" w:rsidRDefault="008A116C" w:rsidP="008A116C">
      <w:pPr>
        <w:ind w:firstLine="720"/>
      </w:pPr>
      <w:r w:rsidRPr="00771E6E">
        <w:t xml:space="preserve">This association with heavenly bodies was also referred to in both Dante’s </w:t>
      </w:r>
      <w:r w:rsidRPr="00771E6E">
        <w:rPr>
          <w:i/>
        </w:rPr>
        <w:t>Divina Commedia</w:t>
      </w:r>
      <w:r w:rsidRPr="00771E6E">
        <w:t xml:space="preserve"> (Paradise, 28.40-78) and </w:t>
      </w:r>
      <w:proofErr w:type="spellStart"/>
      <w:r w:rsidRPr="00771E6E">
        <w:rPr>
          <w:i/>
        </w:rPr>
        <w:t>Convivio</w:t>
      </w:r>
      <w:proofErr w:type="spellEnd"/>
      <w:r w:rsidRPr="00771E6E">
        <w:t xml:space="preserve"> (2.4:2), in which he established a link between angelic choirs and celestial spheres, stating that the categories in the angelic hierarchy act as “movers” (</w:t>
      </w:r>
      <w:proofErr w:type="spellStart"/>
      <w:r w:rsidRPr="00771E6E">
        <w:rPr>
          <w:i/>
        </w:rPr>
        <w:t>movitori</w:t>
      </w:r>
      <w:proofErr w:type="spellEnd"/>
      <w:r w:rsidRPr="00771E6E">
        <w:t>) of specific planets.</w:t>
      </w:r>
      <w:r w:rsidRPr="00771E6E">
        <w:rPr>
          <w:rStyle w:val="FootnoteReference"/>
        </w:rPr>
        <w:footnoteReference w:id="325"/>
      </w:r>
      <w:r w:rsidRPr="00771E6E">
        <w:t xml:space="preserve"> This connection was represented in artistic form as well, as can be seen in Piero di Puccio’s </w:t>
      </w:r>
      <w:r w:rsidRPr="00771E6E">
        <w:rPr>
          <w:i/>
        </w:rPr>
        <w:t>Cosmography</w:t>
      </w:r>
      <w:r w:rsidRPr="00771E6E">
        <w:t xml:space="preserve">, frescoed around 1390 in the monumental </w:t>
      </w:r>
      <w:proofErr w:type="spellStart"/>
      <w:r w:rsidRPr="00771E6E">
        <w:rPr>
          <w:i/>
        </w:rPr>
        <w:t>Camposanto</w:t>
      </w:r>
      <w:proofErr w:type="spellEnd"/>
      <w:r w:rsidRPr="00771E6E">
        <w:t xml:space="preserve"> (cemetery) in Pisa, and in Luigi de’ Pace’s mosaics for the </w:t>
      </w:r>
      <w:proofErr w:type="spellStart"/>
      <w:r w:rsidRPr="00771E6E">
        <w:t>Chigi</w:t>
      </w:r>
      <w:proofErr w:type="spellEnd"/>
      <w:r w:rsidRPr="00771E6E">
        <w:t xml:space="preserve"> chapel (1516).</w:t>
      </w:r>
      <w:r w:rsidRPr="00771E6E">
        <w:rPr>
          <w:rStyle w:val="FootnoteReference"/>
        </w:rPr>
        <w:footnoteReference w:id="326"/>
      </w:r>
      <w:r w:rsidRPr="00771E6E">
        <w:t xml:space="preserve"> This idea was further developed in the fifteenth century by </w:t>
      </w:r>
      <w:proofErr w:type="spellStart"/>
      <w:r w:rsidRPr="00771E6E">
        <w:t>Marsilio</w:t>
      </w:r>
      <w:proofErr w:type="spellEnd"/>
      <w:r w:rsidRPr="00771E6E">
        <w:t xml:space="preserve"> Ficino in his </w:t>
      </w:r>
      <w:r w:rsidRPr="00771E6E">
        <w:rPr>
          <w:i/>
        </w:rPr>
        <w:t xml:space="preserve">De </w:t>
      </w:r>
      <w:proofErr w:type="spellStart"/>
      <w:r w:rsidRPr="00771E6E">
        <w:rPr>
          <w:i/>
        </w:rPr>
        <w:t>christiana</w:t>
      </w:r>
      <w:proofErr w:type="spellEnd"/>
      <w:r w:rsidRPr="00771E6E">
        <w:rPr>
          <w:i/>
        </w:rPr>
        <w:t xml:space="preserve"> </w:t>
      </w:r>
      <w:proofErr w:type="spellStart"/>
      <w:r w:rsidRPr="00771E6E">
        <w:rPr>
          <w:i/>
        </w:rPr>
        <w:t>religione</w:t>
      </w:r>
      <w:proofErr w:type="spellEnd"/>
      <w:r w:rsidRPr="00771E6E">
        <w:t xml:space="preserve"> (On the Christian Religion), in which he mentions that angels belonging to the second category, the “Virtues”, move skies and stars according to God’s will.</w:t>
      </w:r>
      <w:r w:rsidRPr="00771E6E">
        <w:rPr>
          <w:rStyle w:val="FootnoteReference"/>
        </w:rPr>
        <w:footnoteReference w:id="327"/>
      </w:r>
      <w:r w:rsidRPr="00771E6E">
        <w:t xml:space="preserve"> This connection with the planets had a musical connotation as well, as celestial bodies were believed to produce sounds, known as the “music of the spheres”.</w:t>
      </w:r>
      <w:r w:rsidRPr="00771E6E">
        <w:rPr>
          <w:rStyle w:val="FootnoteReference"/>
        </w:rPr>
        <w:footnoteReference w:id="328"/>
      </w:r>
      <w:r w:rsidRPr="00771E6E">
        <w:t xml:space="preserve"> The biblical Book of Wisdom provided the basis for the idea that God created the universe in harmony: “you have set all things in right order by proportion: by measure, by number, and by weight,” linking celestial harmony to musical composition.</w:t>
      </w:r>
      <w:r w:rsidRPr="00771E6E">
        <w:rPr>
          <w:rStyle w:val="FootnoteReference"/>
        </w:rPr>
        <w:footnoteReference w:id="329"/>
      </w:r>
      <w:r w:rsidRPr="00771E6E">
        <w:t xml:space="preserve"> Viewed in this context, angels depicted making music represented the divine harmony.</w:t>
      </w:r>
    </w:p>
    <w:p w14:paraId="015B98B1" w14:textId="77777777" w:rsidR="008A116C" w:rsidRPr="00771E6E" w:rsidRDefault="008A116C" w:rsidP="008A116C">
      <w:pPr>
        <w:ind w:firstLine="720"/>
      </w:pPr>
      <w:r w:rsidRPr="00771E6E">
        <w:t xml:space="preserve">Since the beginning of the Christian era the evolution of the artistic representation of angels has followed a similar path to that of the classical cupids or </w:t>
      </w:r>
      <w:proofErr w:type="spellStart"/>
      <w:r w:rsidRPr="00771E6E">
        <w:rPr>
          <w:i/>
        </w:rPr>
        <w:t>erotes</w:t>
      </w:r>
      <w:proofErr w:type="spellEnd"/>
      <w:r w:rsidRPr="00771E6E">
        <w:t>.</w:t>
      </w:r>
      <w:r w:rsidRPr="00771E6E">
        <w:rPr>
          <w:rStyle w:val="FootnoteReference"/>
        </w:rPr>
        <w:footnoteReference w:id="330"/>
      </w:r>
      <w:r w:rsidRPr="00771E6E">
        <w:t xml:space="preserve"> During the Roman era, the childish figure of Eros was used as adornment for both pagan and Christian sarcophagi, having lost its original meaning as the God of Love and being used purely in a decorative way as a chubby naked toddler, a </w:t>
      </w:r>
      <w:r w:rsidRPr="00771E6E">
        <w:rPr>
          <w:i/>
        </w:rPr>
        <w:t>putto</w:t>
      </w:r>
      <w:r w:rsidRPr="00771E6E">
        <w:t>.</w:t>
      </w:r>
      <w:r w:rsidRPr="00771E6E">
        <w:rPr>
          <w:rStyle w:val="FootnoteReference"/>
        </w:rPr>
        <w:footnoteReference w:id="331"/>
      </w:r>
      <w:r w:rsidRPr="00771E6E">
        <w:t xml:space="preserve"> However, depictions of winged angels as </w:t>
      </w:r>
      <w:r w:rsidRPr="00771E6E">
        <w:rPr>
          <w:i/>
        </w:rPr>
        <w:t>putti</w:t>
      </w:r>
      <w:r w:rsidRPr="00771E6E">
        <w:t xml:space="preserve"> were not frequently used during the Middle Ages. The earliest example can be found on two occasions in Giotto’s decoration for the </w:t>
      </w:r>
      <w:proofErr w:type="spellStart"/>
      <w:r w:rsidRPr="00771E6E">
        <w:t>Scrovegni</w:t>
      </w:r>
      <w:proofErr w:type="spellEnd"/>
      <w:r w:rsidRPr="00771E6E">
        <w:t xml:space="preserve"> Chapel in Padua from 1305 (fig. 2.3). In this, the gable of Saint Anne’s house, depicted in the episodes with the </w:t>
      </w:r>
      <w:r w:rsidRPr="00771E6E">
        <w:rPr>
          <w:i/>
        </w:rPr>
        <w:t>Annunciation to Saint Anne</w:t>
      </w:r>
      <w:r w:rsidRPr="00771E6E">
        <w:t xml:space="preserve"> and the </w:t>
      </w:r>
      <w:r w:rsidRPr="00771E6E">
        <w:rPr>
          <w:i/>
        </w:rPr>
        <w:t>Nativity of the Virgin Mary</w:t>
      </w:r>
      <w:r w:rsidRPr="00771E6E">
        <w:t xml:space="preserve">, is decorated with two </w:t>
      </w:r>
      <w:r w:rsidRPr="00771E6E">
        <w:lastRenderedPageBreak/>
        <w:t xml:space="preserve">winged </w:t>
      </w:r>
      <w:r w:rsidRPr="00771E6E">
        <w:rPr>
          <w:i/>
        </w:rPr>
        <w:t>putti</w:t>
      </w:r>
      <w:r w:rsidRPr="00771E6E">
        <w:t>-angels who are holding a shell</w:t>
      </w:r>
      <w:r w:rsidRPr="00771E6E">
        <w:rPr>
          <w:i/>
        </w:rPr>
        <w:t xml:space="preserve"> </w:t>
      </w:r>
      <w:r w:rsidRPr="00771E6E">
        <w:t xml:space="preserve">with the image of Christ, reminiscent of the cupids that carry a </w:t>
      </w:r>
      <w:proofErr w:type="spellStart"/>
      <w:r w:rsidRPr="00771E6E">
        <w:rPr>
          <w:i/>
        </w:rPr>
        <w:t>clipeus</w:t>
      </w:r>
      <w:proofErr w:type="spellEnd"/>
      <w:r w:rsidRPr="00771E6E">
        <w:t xml:space="preserve">, a large shield part of an </w:t>
      </w:r>
      <w:proofErr w:type="spellStart"/>
      <w:r w:rsidRPr="00771E6E">
        <w:t>armour</w:t>
      </w:r>
      <w:proofErr w:type="spellEnd"/>
      <w:r w:rsidRPr="00771E6E">
        <w:t>,</w:t>
      </w:r>
      <w:r w:rsidRPr="00771E6E">
        <w:rPr>
          <w:i/>
        </w:rPr>
        <w:t xml:space="preserve"> </w:t>
      </w:r>
      <w:r w:rsidRPr="00771E6E">
        <w:t>in early Christian sarcophagi.</w:t>
      </w:r>
    </w:p>
    <w:p w14:paraId="31FD6677" w14:textId="77777777" w:rsidR="008A116C" w:rsidRPr="00771E6E" w:rsidRDefault="008A116C" w:rsidP="008A116C">
      <w:pPr>
        <w:ind w:firstLine="720"/>
      </w:pPr>
      <w:r w:rsidRPr="00771E6E">
        <w:t xml:space="preserve">From the mid-fifteenth century onwards, representing angels in the shape of </w:t>
      </w:r>
      <w:r w:rsidRPr="00771E6E">
        <w:rPr>
          <w:i/>
        </w:rPr>
        <w:t>putti</w:t>
      </w:r>
      <w:r w:rsidRPr="00771E6E">
        <w:t xml:space="preserve"> became common, and numerous examples survive both in churches and museums.</w:t>
      </w:r>
      <w:r w:rsidRPr="00771E6E">
        <w:rPr>
          <w:rStyle w:val="FootnoteReference"/>
        </w:rPr>
        <w:footnoteReference w:id="332"/>
      </w:r>
      <w:r w:rsidRPr="00771E6E">
        <w:t xml:space="preserve"> During the fifteenth and sixteenth centuries, the iconography of angels and </w:t>
      </w:r>
      <w:r w:rsidRPr="00771E6E">
        <w:rPr>
          <w:i/>
        </w:rPr>
        <w:t>putti</w:t>
      </w:r>
      <w:r w:rsidRPr="00771E6E">
        <w:t xml:space="preserve"> frequently overlapped as they both tended to be depicted as toddlers.</w:t>
      </w:r>
      <w:r w:rsidRPr="00771E6E">
        <w:rPr>
          <w:rStyle w:val="FootnoteReference"/>
        </w:rPr>
        <w:footnoteReference w:id="333"/>
      </w:r>
      <w:r w:rsidRPr="00771E6E">
        <w:t xml:space="preserve"> Much of this can be explained by the revival of the classics that took place during the Renaissance. However, this can also be linked to the fact that angels were considered to be related to the soul, as noted previously. </w:t>
      </w:r>
      <w:proofErr w:type="spellStart"/>
      <w:r w:rsidRPr="00771E6E">
        <w:t>Bussagli</w:t>
      </w:r>
      <w:proofErr w:type="spellEnd"/>
      <w:r w:rsidRPr="00771E6E">
        <w:t xml:space="preserve"> explains how Renaissance artists re-applied the ancient iconography of the soul, which is identical to that of cupids (naked and winged), to depictions of angels.</w:t>
      </w:r>
      <w:r w:rsidRPr="00771E6E">
        <w:rPr>
          <w:rStyle w:val="FootnoteReference"/>
        </w:rPr>
        <w:footnoteReference w:id="334"/>
      </w:r>
    </w:p>
    <w:p w14:paraId="6150A47E" w14:textId="77777777" w:rsidR="008A116C" w:rsidRPr="00771E6E" w:rsidRDefault="008A116C" w:rsidP="008A116C">
      <w:r w:rsidRPr="00771E6E">
        <w:tab/>
        <w:t xml:space="preserve">Although winged </w:t>
      </w:r>
      <w:r w:rsidRPr="00771E6E">
        <w:rPr>
          <w:i/>
        </w:rPr>
        <w:t xml:space="preserve">putti </w:t>
      </w:r>
      <w:r w:rsidRPr="00771E6E">
        <w:t>were originally personifications of the God of Love, by the fifteenth-century in Italy they were no longer consistently depicted as such, as Charles Dempsey explains. Donatello is commonly attributed with the revival of this type of figure, which was to become increasingly popular during the Italian Renaissance.</w:t>
      </w:r>
      <w:r w:rsidRPr="00771E6E">
        <w:rPr>
          <w:rStyle w:val="FootnoteReference"/>
        </w:rPr>
        <w:footnoteReference w:id="335"/>
      </w:r>
      <w:r w:rsidRPr="00771E6E">
        <w:t xml:space="preserve"> These figures of winged children were known in the period by the vernacular term </w:t>
      </w:r>
      <w:proofErr w:type="spellStart"/>
      <w:r w:rsidRPr="00771E6E">
        <w:rPr>
          <w:i/>
        </w:rPr>
        <w:t>spiritelli</w:t>
      </w:r>
      <w:proofErr w:type="spellEnd"/>
      <w:r w:rsidRPr="00771E6E">
        <w:t xml:space="preserve">, sprites or small spirits, the diminutive of </w:t>
      </w:r>
      <w:proofErr w:type="spellStart"/>
      <w:r w:rsidRPr="00771E6E">
        <w:rPr>
          <w:i/>
        </w:rPr>
        <w:t>spirito</w:t>
      </w:r>
      <w:proofErr w:type="spellEnd"/>
      <w:r w:rsidRPr="00771E6E">
        <w:t>, which refers to a movement of air, and which was sometimes even used as a synonym of air in vernacular sources.</w:t>
      </w:r>
      <w:r w:rsidRPr="00771E6E">
        <w:rPr>
          <w:rStyle w:val="FootnoteReference"/>
        </w:rPr>
        <w:footnoteReference w:id="336"/>
      </w:r>
      <w:r w:rsidRPr="00771E6E">
        <w:t xml:space="preserve"> Interestingly, their nomenclature varies significantly in written documents, testifying to this overlapping of meanings. Among his commissions, for example, the contract for the Prato pulpit (1428) calls these winged children </w:t>
      </w:r>
      <w:proofErr w:type="spellStart"/>
      <w:r w:rsidRPr="00771E6E">
        <w:rPr>
          <w:i/>
        </w:rPr>
        <w:t>spiritelli</w:t>
      </w:r>
      <w:proofErr w:type="spellEnd"/>
      <w:r w:rsidRPr="00771E6E">
        <w:t xml:space="preserve">, while the one for the baptismal font in Siena (1429) simply refers to them as </w:t>
      </w:r>
      <w:proofErr w:type="spellStart"/>
      <w:r w:rsidRPr="00771E6E">
        <w:rPr>
          <w:i/>
        </w:rPr>
        <w:t>fanciullini</w:t>
      </w:r>
      <w:proofErr w:type="spellEnd"/>
      <w:r w:rsidRPr="00771E6E">
        <w:rPr>
          <w:i/>
        </w:rPr>
        <w:t xml:space="preserve"> </w:t>
      </w:r>
      <w:proofErr w:type="spellStart"/>
      <w:r w:rsidRPr="00771E6E">
        <w:rPr>
          <w:i/>
        </w:rPr>
        <w:t>ignudi</w:t>
      </w:r>
      <w:proofErr w:type="spellEnd"/>
      <w:r w:rsidRPr="00771E6E">
        <w:t>, young naked boys.</w:t>
      </w:r>
      <w:r w:rsidRPr="00771E6E">
        <w:rPr>
          <w:rStyle w:val="FootnoteReference"/>
        </w:rPr>
        <w:footnoteReference w:id="337"/>
      </w:r>
      <w:r w:rsidRPr="00771E6E">
        <w:t xml:space="preserve"> On the other hand, the childlike musical figures sculpted by Donatello and his workshop for the high altar in the Basilica del Santo in Padua (1447-50) are referred to as </w:t>
      </w:r>
      <w:proofErr w:type="spellStart"/>
      <w:r w:rsidRPr="00771E6E">
        <w:rPr>
          <w:i/>
        </w:rPr>
        <w:t>angeli</w:t>
      </w:r>
      <w:proofErr w:type="spellEnd"/>
      <w:r w:rsidRPr="00771E6E">
        <w:t xml:space="preserve"> in contemporary sources.</w:t>
      </w:r>
      <w:r w:rsidRPr="00771E6E">
        <w:rPr>
          <w:rStyle w:val="FootnoteReference"/>
        </w:rPr>
        <w:footnoteReference w:id="338"/>
      </w:r>
      <w:r w:rsidRPr="00771E6E">
        <w:t xml:space="preserve"> The association of </w:t>
      </w:r>
      <w:r w:rsidRPr="00771E6E">
        <w:rPr>
          <w:i/>
        </w:rPr>
        <w:t>putti</w:t>
      </w:r>
      <w:r w:rsidRPr="00771E6E">
        <w:t xml:space="preserve"> and angels is perhaps also linked to the fact that the Italian noun </w:t>
      </w:r>
      <w:proofErr w:type="spellStart"/>
      <w:r w:rsidRPr="00771E6E">
        <w:rPr>
          <w:i/>
        </w:rPr>
        <w:t>spirito</w:t>
      </w:r>
      <w:proofErr w:type="spellEnd"/>
      <w:r w:rsidRPr="00771E6E">
        <w:t xml:space="preserve"> comes from the Latin </w:t>
      </w:r>
      <w:r w:rsidRPr="00771E6E">
        <w:rPr>
          <w:i/>
        </w:rPr>
        <w:t>spiritus</w:t>
      </w:r>
      <w:r w:rsidRPr="00771E6E">
        <w:t xml:space="preserve">, which is in turn a translation of the Greek </w:t>
      </w:r>
      <w:r w:rsidRPr="00771E6E">
        <w:rPr>
          <w:i/>
        </w:rPr>
        <w:t>pneuma</w:t>
      </w:r>
      <w:r w:rsidRPr="00771E6E">
        <w:t>, which could also refer to wind, breath, and immaterial creatures such as the Holy Ghost or angels.</w:t>
      </w:r>
      <w:r w:rsidRPr="00771E6E">
        <w:rPr>
          <w:rStyle w:val="FootnoteReference"/>
        </w:rPr>
        <w:footnoteReference w:id="339"/>
      </w:r>
      <w:r w:rsidRPr="00771E6E">
        <w:t xml:space="preserve"> A quick inspection is sufficient to notice that, despite the varying terms used, </w:t>
      </w:r>
      <w:r w:rsidRPr="00771E6E">
        <w:lastRenderedPageBreak/>
        <w:t xml:space="preserve">these figures are all young children who are making music, singing, dancing and playing instruments (figs. 2.4-2.6).  </w:t>
      </w:r>
    </w:p>
    <w:p w14:paraId="6DC36321" w14:textId="77777777" w:rsidR="008A116C" w:rsidRPr="00771E6E" w:rsidRDefault="008A116C" w:rsidP="008A116C">
      <w:pPr>
        <w:ind w:firstLine="720"/>
      </w:pPr>
      <w:r w:rsidRPr="00771E6E">
        <w:rPr>
          <w:rStyle w:val="Emphasis"/>
          <w:bCs/>
          <w:i w:val="0"/>
        </w:rPr>
        <w:t>The ideas developed in the writings of both Pseudo-</w:t>
      </w:r>
      <w:proofErr w:type="spellStart"/>
      <w:r w:rsidRPr="00771E6E">
        <w:rPr>
          <w:rStyle w:val="Emphasis"/>
          <w:bCs/>
          <w:i w:val="0"/>
        </w:rPr>
        <w:t>Dyonisius</w:t>
      </w:r>
      <w:proofErr w:type="spellEnd"/>
      <w:r w:rsidRPr="00771E6E">
        <w:rPr>
          <w:rStyle w:val="Emphasis"/>
          <w:bCs/>
          <w:i w:val="0"/>
        </w:rPr>
        <w:t xml:space="preserve"> and John of Damascus enjoyed wide dissemination and several translations, both during the Middle Ages and beyond.</w:t>
      </w:r>
      <w:r w:rsidRPr="00771E6E">
        <w:rPr>
          <w:rStyle w:val="Emphasis"/>
          <w:bCs/>
        </w:rPr>
        <w:t xml:space="preserve"> </w:t>
      </w:r>
      <w:r w:rsidRPr="00771E6E">
        <w:rPr>
          <w:noProof/>
        </w:rPr>
        <w:t>The body of works by Pseudo-Dionysius was translated into Latin four times in the Middle Ages. In Italy, new translations were produced by Ambrogio Traversari by 1437, and Marsilio Ficino in 1492,</w:t>
      </w:r>
      <w:r w:rsidRPr="00771E6E">
        <w:rPr>
          <w:rStyle w:val="FootnoteReference"/>
        </w:rPr>
        <w:footnoteReference w:id="340"/>
      </w:r>
      <w:r w:rsidRPr="00771E6E">
        <w:rPr>
          <w:noProof/>
        </w:rPr>
        <w:t xml:space="preserve"> while his treatise </w:t>
      </w:r>
      <w:r w:rsidRPr="00771E6E">
        <w:rPr>
          <w:i/>
          <w:noProof/>
        </w:rPr>
        <w:t>De caelesti hierarchia</w:t>
      </w:r>
      <w:r w:rsidRPr="00771E6E">
        <w:rPr>
          <w:noProof/>
        </w:rPr>
        <w:t xml:space="preserve"> was printed in Venice in 1502. </w:t>
      </w:r>
      <w:r w:rsidRPr="00771E6E">
        <w:rPr>
          <w:rStyle w:val="Emphasis"/>
          <w:bCs/>
          <w:i w:val="0"/>
          <w:iCs w:val="0"/>
        </w:rPr>
        <w:t>John of Damascus’</w:t>
      </w:r>
      <w:r w:rsidRPr="00771E6E">
        <w:rPr>
          <w:rStyle w:val="Emphasis"/>
          <w:bCs/>
        </w:rPr>
        <w:t xml:space="preserve"> </w:t>
      </w:r>
      <w:proofErr w:type="spellStart"/>
      <w:r w:rsidRPr="00771E6E">
        <w:rPr>
          <w:rStyle w:val="Emphasis"/>
          <w:bCs/>
        </w:rPr>
        <w:t>Expositio</w:t>
      </w:r>
      <w:proofErr w:type="spellEnd"/>
      <w:r w:rsidRPr="00771E6E">
        <w:rPr>
          <w:rStyle w:val="Emphasis"/>
          <w:bCs/>
        </w:rPr>
        <w:t xml:space="preserve"> fidei</w:t>
      </w:r>
      <w:r w:rsidRPr="00771E6E">
        <w:rPr>
          <w:shd w:val="clear" w:color="auto" w:fill="FFFFFF"/>
        </w:rPr>
        <w:t xml:space="preserve"> (or </w:t>
      </w:r>
      <w:r w:rsidRPr="00771E6E">
        <w:rPr>
          <w:i/>
          <w:shd w:val="clear" w:color="auto" w:fill="FFFFFF"/>
        </w:rPr>
        <w:t xml:space="preserve">De fide </w:t>
      </w:r>
      <w:proofErr w:type="spellStart"/>
      <w:r w:rsidRPr="00771E6E">
        <w:rPr>
          <w:i/>
          <w:shd w:val="clear" w:color="auto" w:fill="FFFFFF"/>
        </w:rPr>
        <w:t>orthodoxa</w:t>
      </w:r>
      <w:proofErr w:type="spellEnd"/>
      <w:r w:rsidRPr="00771E6E">
        <w:rPr>
          <w:shd w:val="clear" w:color="auto" w:fill="FFFFFF"/>
        </w:rPr>
        <w:t xml:space="preserve">) was </w:t>
      </w:r>
      <w:r w:rsidRPr="00771E6E">
        <w:t xml:space="preserve">translated in the twelfth century by </w:t>
      </w:r>
      <w:proofErr w:type="spellStart"/>
      <w:r w:rsidRPr="00771E6E">
        <w:t>Burgundio</w:t>
      </w:r>
      <w:proofErr w:type="spellEnd"/>
      <w:r w:rsidRPr="00771E6E">
        <w:t xml:space="preserve"> of Pisa, and then corrected by Robert Grosseteste in the thirteenth century.</w:t>
      </w:r>
      <w:r w:rsidRPr="00771E6E">
        <w:rPr>
          <w:rStyle w:val="FootnoteReference"/>
        </w:rPr>
        <w:footnoteReference w:id="341"/>
      </w:r>
      <w:r w:rsidRPr="00771E6E">
        <w:t xml:space="preserve"> In Italy, it became available in printed form in 1532.</w:t>
      </w:r>
    </w:p>
    <w:p w14:paraId="7BBED9FA" w14:textId="77777777" w:rsidR="008A116C" w:rsidRPr="00771E6E" w:rsidRDefault="008A116C" w:rsidP="008A116C">
      <w:pPr>
        <w:ind w:firstLine="720"/>
        <w:rPr>
          <w:rStyle w:val="Emphasis"/>
          <w:bCs/>
          <w:i w:val="0"/>
        </w:rPr>
      </w:pPr>
      <w:r w:rsidRPr="00771E6E">
        <w:rPr>
          <w:rStyle w:val="Emphasis"/>
          <w:bCs/>
          <w:i w:val="0"/>
        </w:rPr>
        <w:t xml:space="preserve">During the fifteenth century, due to a rejuvenated interest in classic cultures, it was necessary to attempt to reconcile this Christian </w:t>
      </w:r>
      <w:proofErr w:type="spellStart"/>
      <w:r w:rsidRPr="00771E6E">
        <w:rPr>
          <w:rStyle w:val="Emphasis"/>
          <w:bCs/>
          <w:i w:val="0"/>
        </w:rPr>
        <w:t>conceptualisation</w:t>
      </w:r>
      <w:proofErr w:type="spellEnd"/>
      <w:r w:rsidRPr="00771E6E">
        <w:rPr>
          <w:rStyle w:val="Emphasis"/>
          <w:bCs/>
          <w:i w:val="0"/>
        </w:rPr>
        <w:t xml:space="preserve"> of angels with both ancient texts and contemporary Neoplatonist and humanist ideas. This eventually led to the formation of</w:t>
      </w:r>
      <w:r w:rsidRPr="00771E6E">
        <w:rPr>
          <w:rStyle w:val="CommentReference"/>
          <w:i/>
        </w:rPr>
        <w:t xml:space="preserve"> </w:t>
      </w:r>
      <w:r w:rsidRPr="00771E6E">
        <w:rPr>
          <w:rStyle w:val="Emphasis"/>
          <w:bCs/>
          <w:i w:val="0"/>
        </w:rPr>
        <w:t xml:space="preserve">new beliefs surrounding angels, which developed alongside the deeply-rooted traditional devotion towards these figures. Humankind was given a special place in the order of the universe, so much so that Giovanni Pico </w:t>
      </w:r>
      <w:proofErr w:type="spellStart"/>
      <w:r w:rsidRPr="00771E6E">
        <w:rPr>
          <w:rStyle w:val="Emphasis"/>
          <w:bCs/>
          <w:i w:val="0"/>
        </w:rPr>
        <w:t>della</w:t>
      </w:r>
      <w:proofErr w:type="spellEnd"/>
      <w:r w:rsidRPr="00771E6E">
        <w:rPr>
          <w:rStyle w:val="Emphasis"/>
          <w:bCs/>
          <w:i w:val="0"/>
        </w:rPr>
        <w:t xml:space="preserve"> </w:t>
      </w:r>
      <w:proofErr w:type="spellStart"/>
      <w:r w:rsidRPr="00771E6E">
        <w:rPr>
          <w:rStyle w:val="Emphasis"/>
          <w:bCs/>
          <w:i w:val="0"/>
        </w:rPr>
        <w:t>Mirandola’s</w:t>
      </w:r>
      <w:proofErr w:type="spellEnd"/>
      <w:r w:rsidRPr="00771E6E">
        <w:rPr>
          <w:rStyle w:val="Emphasis"/>
          <w:bCs/>
          <w:i w:val="0"/>
        </w:rPr>
        <w:t xml:space="preserve"> writings even present the possibility that human beings might actually be able to surpass angels in their closeness to God, while </w:t>
      </w:r>
      <w:proofErr w:type="spellStart"/>
      <w:r w:rsidRPr="00771E6E">
        <w:rPr>
          <w:rStyle w:val="Emphasis"/>
          <w:bCs/>
          <w:i w:val="0"/>
        </w:rPr>
        <w:t>Marsilio</w:t>
      </w:r>
      <w:proofErr w:type="spellEnd"/>
      <w:r w:rsidRPr="00771E6E">
        <w:rPr>
          <w:rStyle w:val="Emphasis"/>
          <w:bCs/>
          <w:i w:val="0"/>
        </w:rPr>
        <w:t xml:space="preserve"> Ficino created a system designed to summon angels to be used by mortals for their own benefit.</w:t>
      </w:r>
      <w:r w:rsidRPr="00771E6E">
        <w:rPr>
          <w:rStyle w:val="FootnoteReference"/>
          <w:i/>
        </w:rPr>
        <w:footnoteReference w:id="342"/>
      </w:r>
    </w:p>
    <w:p w14:paraId="63BD48B9" w14:textId="0CD5077E" w:rsidR="008A116C" w:rsidRPr="00771E6E" w:rsidRDefault="008A116C" w:rsidP="008A116C">
      <w:pPr>
        <w:ind w:firstLine="720"/>
        <w:rPr>
          <w:rStyle w:val="Emphasis"/>
          <w:i w:val="0"/>
        </w:rPr>
      </w:pPr>
      <w:r w:rsidRPr="00771E6E">
        <w:rPr>
          <w:rStyle w:val="Emphasis"/>
          <w:i w:val="0"/>
        </w:rPr>
        <w:t xml:space="preserve">It is not possible to understand the context in which Renaissance Italians lived without outlining the importance that angels had during this time. As we have seen, they are not simply actors in religious narratives, but, as demonstrated by their pervasive presence in everyday life, they were protagonists in their own right, and important subjects as part of worship practices. </w:t>
      </w:r>
    </w:p>
    <w:p w14:paraId="638D20EC" w14:textId="77777777" w:rsidR="00182EED" w:rsidRPr="00771E6E" w:rsidRDefault="00182EED" w:rsidP="00182EED">
      <w:pPr>
        <w:rPr>
          <w:rStyle w:val="Emphasis"/>
          <w:i w:val="0"/>
          <w:iCs w:val="0"/>
        </w:rPr>
      </w:pPr>
    </w:p>
    <w:p w14:paraId="25A5F117" w14:textId="77777777" w:rsidR="006446A5" w:rsidRPr="00771E6E" w:rsidRDefault="006446A5" w:rsidP="00182EED">
      <w:bookmarkStart w:id="41" w:name="_Toc3323224"/>
    </w:p>
    <w:p w14:paraId="6A1ECDF4" w14:textId="77777777" w:rsidR="008A116C" w:rsidRPr="00771E6E" w:rsidRDefault="008A116C" w:rsidP="008A116C">
      <w:pPr>
        <w:pStyle w:val="Subchapter"/>
      </w:pPr>
      <w:bookmarkStart w:id="42" w:name="_Toc20167601"/>
      <w:r w:rsidRPr="00771E6E">
        <w:t>2.2 Angels as Musicians</w:t>
      </w:r>
      <w:bookmarkEnd w:id="41"/>
      <w:bookmarkEnd w:id="42"/>
    </w:p>
    <w:p w14:paraId="3ACFF83C" w14:textId="77777777" w:rsidR="008A116C" w:rsidRPr="00771E6E" w:rsidRDefault="008A116C" w:rsidP="008A116C"/>
    <w:p w14:paraId="5772F388" w14:textId="77777777" w:rsidR="008A116C" w:rsidRPr="00771E6E" w:rsidRDefault="008A116C" w:rsidP="008A116C">
      <w:r w:rsidRPr="00771E6E">
        <w:t>Musical Angels appear in the Bible on several occasions.</w:t>
      </w:r>
      <w:r w:rsidRPr="00771E6E">
        <w:rPr>
          <w:rStyle w:val="FootnoteReference"/>
        </w:rPr>
        <w:footnoteReference w:id="343"/>
      </w:r>
      <w:r w:rsidRPr="00771E6E">
        <w:t xml:space="preserve"> During Isaiah’s vision, the Seraphim, who rank highest in the angelic hierarchy, are heard praising God with the </w:t>
      </w:r>
      <w:r w:rsidRPr="00771E6E">
        <w:lastRenderedPageBreak/>
        <w:t xml:space="preserve">words </w:t>
      </w:r>
      <w:r w:rsidRPr="00771E6E">
        <w:rPr>
          <w:noProof/>
        </w:rPr>
        <w:t>“</w:t>
      </w:r>
      <w:r w:rsidRPr="00771E6E">
        <w:rPr>
          <w:rStyle w:val="text"/>
          <w:noProof/>
        </w:rPr>
        <w:t>Holy, holy, holy is the Lord of hosts; the whole earth is full of his glory!</w:t>
      </w:r>
      <w:r w:rsidRPr="00771E6E">
        <w:rPr>
          <w:noProof/>
        </w:rPr>
        <w:t>”</w:t>
      </w:r>
      <w:r w:rsidRPr="00771E6E">
        <w:rPr>
          <w:rStyle w:val="FootnoteReference"/>
        </w:rPr>
        <w:footnoteReference w:id="344"/>
      </w:r>
      <w:r w:rsidRPr="00771E6E">
        <w:rPr>
          <w:noProof/>
        </w:rPr>
        <w:t xml:space="preserve"> Their song is imitated</w:t>
      </w:r>
      <w:r w:rsidRPr="00771E6E">
        <w:t xml:space="preserve"> by the mortal devout in the </w:t>
      </w:r>
      <w:r w:rsidRPr="00771E6E">
        <w:rPr>
          <w:i/>
          <w:color w:val="000000" w:themeColor="text1"/>
        </w:rPr>
        <w:t>Sanctus</w:t>
      </w:r>
      <w:r w:rsidRPr="00771E6E">
        <w:rPr>
          <w:color w:val="000000" w:themeColor="text1"/>
        </w:rPr>
        <w:t>, a hymn that was sung at the end of the consecration of bread and wine during Mass on most Sundays and festivals. Similarly, the celestial creatures described in Revelation 4:8 repeat, day and night, “</w:t>
      </w:r>
      <w:r w:rsidRPr="00771E6E">
        <w:rPr>
          <w:iCs/>
          <w:color w:val="000000" w:themeColor="text1"/>
        </w:rPr>
        <w:t>Holy, holy, holy, is the Lord God Almighty, who was and is and is to come!”</w:t>
      </w:r>
      <w:r w:rsidRPr="00771E6E">
        <w:rPr>
          <w:rStyle w:val="FootnoteReference"/>
        </w:rPr>
        <w:footnoteReference w:id="345"/>
      </w:r>
      <w:r w:rsidRPr="00771E6E">
        <w:rPr>
          <w:iCs/>
          <w:color w:val="000000" w:themeColor="text1"/>
        </w:rPr>
        <w:t xml:space="preserve"> Again, in Revelation, it is stated that </w:t>
      </w:r>
      <w:r w:rsidRPr="00771E6E">
        <w:rPr>
          <w:color w:val="000000" w:themeColor="text1"/>
        </w:rPr>
        <w:t xml:space="preserve">“many angels, numbering myriads of myriads and thousands of thousands” sing “Worthy is the Lamb who was slain, to receive power and wealth and wisdom and might and </w:t>
      </w:r>
      <w:proofErr w:type="spellStart"/>
      <w:r w:rsidRPr="00771E6E">
        <w:rPr>
          <w:color w:val="000000" w:themeColor="text1"/>
        </w:rPr>
        <w:t>honour</w:t>
      </w:r>
      <w:proofErr w:type="spellEnd"/>
      <w:r w:rsidRPr="00771E6E">
        <w:rPr>
          <w:color w:val="000000" w:themeColor="text1"/>
        </w:rPr>
        <w:t xml:space="preserve"> and glory and blessing!”, and seven angels play seven trumpets to anticipate apocalyptic visions.</w:t>
      </w:r>
      <w:r w:rsidRPr="00771E6E">
        <w:rPr>
          <w:rStyle w:val="FootnoteReference"/>
        </w:rPr>
        <w:footnoteReference w:id="346"/>
      </w:r>
      <w:r w:rsidRPr="00771E6E">
        <w:rPr>
          <w:color w:val="000000" w:themeColor="text1"/>
        </w:rPr>
        <w:t xml:space="preserve"> The evangelist Luke describes </w:t>
      </w:r>
      <w:r w:rsidRPr="00771E6E">
        <w:t xml:space="preserve">the praise of the angels in recognition of the Nativity of Christ, saying, “Glory to God in the highest, and on earth peace among those with whom he is pleased!” – the words of which were imitated by the earthly devout in the hymn </w:t>
      </w:r>
      <w:r w:rsidRPr="00771E6E">
        <w:rPr>
          <w:i/>
          <w:color w:val="000000" w:themeColor="text1"/>
        </w:rPr>
        <w:t xml:space="preserve">Gloria </w:t>
      </w:r>
      <w:r w:rsidRPr="00771E6E">
        <w:rPr>
          <w:i/>
        </w:rPr>
        <w:t>in excelsis deo</w:t>
      </w:r>
      <w:r w:rsidRPr="00771E6E">
        <w:t>, which was sung during Mass.</w:t>
      </w:r>
      <w:r w:rsidRPr="00771E6E">
        <w:rPr>
          <w:rStyle w:val="FootnoteReference"/>
        </w:rPr>
        <w:footnoteReference w:id="347"/>
      </w:r>
      <w:r w:rsidRPr="00771E6E">
        <w:t xml:space="preserve"> </w:t>
      </w:r>
    </w:p>
    <w:p w14:paraId="6FF58B29" w14:textId="77777777" w:rsidR="008A116C" w:rsidRPr="00771E6E" w:rsidRDefault="008A116C" w:rsidP="008A116C">
      <w:pPr>
        <w:ind w:firstLine="720"/>
        <w:rPr>
          <w:color w:val="000000" w:themeColor="text1"/>
        </w:rPr>
      </w:pPr>
      <w:r w:rsidRPr="00771E6E">
        <w:t>The last of the Psalms, number 150, lists which instruments are appropriate to be used in the praise of God:</w:t>
      </w:r>
    </w:p>
    <w:p w14:paraId="39E88D2B" w14:textId="77777777" w:rsidR="008A116C" w:rsidRPr="00771E6E" w:rsidRDefault="008A116C" w:rsidP="008A116C">
      <w:pPr>
        <w:ind w:left="720"/>
      </w:pPr>
    </w:p>
    <w:p w14:paraId="297C8C67" w14:textId="77777777" w:rsidR="008A116C" w:rsidRPr="00771E6E" w:rsidRDefault="008A116C" w:rsidP="008A116C">
      <w:pPr>
        <w:pStyle w:val="IntenseQuote"/>
      </w:pPr>
      <w:r w:rsidRPr="00771E6E">
        <w:t>Praise him with trumpet sound; praise him with lute and harp!</w:t>
      </w:r>
    </w:p>
    <w:p w14:paraId="2A2326D5" w14:textId="77777777" w:rsidR="008A116C" w:rsidRPr="00771E6E" w:rsidRDefault="008A116C" w:rsidP="008A116C">
      <w:pPr>
        <w:pStyle w:val="IntenseQuote"/>
      </w:pPr>
      <w:r w:rsidRPr="00771E6E">
        <w:t>Praise him with tambourine and dance; praise him with strings and pipe!</w:t>
      </w:r>
    </w:p>
    <w:p w14:paraId="219583EF" w14:textId="77777777" w:rsidR="008A116C" w:rsidRPr="00771E6E" w:rsidRDefault="008A116C" w:rsidP="008A116C">
      <w:pPr>
        <w:pStyle w:val="IntenseQuote"/>
      </w:pPr>
      <w:r w:rsidRPr="00771E6E">
        <w:t>Praise him with sounding cymbals; praise him with loud clashing cymbals!</w:t>
      </w:r>
      <w:r w:rsidRPr="00771E6E">
        <w:rPr>
          <w:rStyle w:val="FootnoteReference"/>
        </w:rPr>
        <w:footnoteReference w:id="348"/>
      </w:r>
      <w:r w:rsidRPr="00771E6E">
        <w:t xml:space="preserve"> </w:t>
      </w:r>
    </w:p>
    <w:p w14:paraId="7FF33765" w14:textId="77777777" w:rsidR="008A116C" w:rsidRPr="00771E6E" w:rsidRDefault="008A116C" w:rsidP="008A116C"/>
    <w:p w14:paraId="30A11A26" w14:textId="77777777" w:rsidR="008A116C" w:rsidRPr="00771E6E" w:rsidRDefault="008A116C" w:rsidP="008A116C">
      <w:r w:rsidRPr="00771E6E">
        <w:t xml:space="preserve">Images corresponding to each of these examples are easy to find in Italian art of the fifteenth and sixteenth centuries, spanning several different media including manuscript illustrations, </w:t>
      </w:r>
      <w:r w:rsidRPr="00771E6E">
        <w:rPr>
          <w:color w:val="000000"/>
        </w:rPr>
        <w:t xml:space="preserve">frescoes and paintings for public or private use, </w:t>
      </w:r>
      <w:r w:rsidRPr="00771E6E">
        <w:rPr>
          <w:color w:val="000000" w:themeColor="text1"/>
        </w:rPr>
        <w:t xml:space="preserve">and three-dimensional forms, </w:t>
      </w:r>
      <w:r w:rsidRPr="00771E6E">
        <w:t>with angels playing musical instruments or singing, accompanied by music notation or pronouncing the words of liturgical hymns.</w:t>
      </w:r>
      <w:r w:rsidRPr="00771E6E">
        <w:rPr>
          <w:rStyle w:val="FootnoteReference"/>
        </w:rPr>
        <w:footnoteReference w:id="349"/>
      </w:r>
      <w:r w:rsidRPr="00771E6E">
        <w:t xml:space="preserve"> For example, angels play musical instruments beneath a scroll bearing the words </w:t>
      </w:r>
      <w:r w:rsidRPr="00771E6E">
        <w:rPr>
          <w:color w:val="000000"/>
        </w:rPr>
        <w:t>“S[an]c[t]us S[an]c[t]us S[an]c[t]us D[</w:t>
      </w:r>
      <w:proofErr w:type="spellStart"/>
      <w:r w:rsidRPr="00771E6E">
        <w:rPr>
          <w:color w:val="000000"/>
        </w:rPr>
        <w:t>omi</w:t>
      </w:r>
      <w:proofErr w:type="spellEnd"/>
      <w:r w:rsidRPr="00771E6E">
        <w:rPr>
          <w:color w:val="000000"/>
        </w:rPr>
        <w:t xml:space="preserve">]n[u]s Deus Sabaoth” on the first page of a presentation manuscript </w:t>
      </w:r>
      <w:r w:rsidRPr="00771E6E">
        <w:rPr>
          <w:noProof/>
        </w:rPr>
        <w:t xml:space="preserve">of music </w:t>
      </w:r>
      <w:r w:rsidRPr="00771E6E">
        <w:t xml:space="preserve">theorist Johannes </w:t>
      </w:r>
      <w:r w:rsidRPr="00771E6E">
        <w:rPr>
          <w:color w:val="000000"/>
        </w:rPr>
        <w:t xml:space="preserve">Tinctoris’ </w:t>
      </w:r>
      <w:r w:rsidRPr="00771E6E">
        <w:rPr>
          <w:noProof/>
        </w:rPr>
        <w:t>writings</w:t>
      </w:r>
      <w:r w:rsidRPr="00771E6E">
        <w:rPr>
          <w:color w:val="000000"/>
        </w:rPr>
        <w:t xml:space="preserve">, created in Naples around 1483 (fig. 2.7), while trumpet-playing angels can be seen in depictions of the Apocalypse and the Last Judgement, such as Fra </w:t>
      </w:r>
      <w:r w:rsidRPr="00771E6E">
        <w:rPr>
          <w:color w:val="000000"/>
        </w:rPr>
        <w:lastRenderedPageBreak/>
        <w:t>Angelico’s paintings in the Museo di San Marco in Florence of ca. 1431 (fig.</w:t>
      </w:r>
      <w:r w:rsidRPr="00771E6E">
        <w:rPr>
          <w:color w:val="000000" w:themeColor="text1"/>
        </w:rPr>
        <w:t xml:space="preserve"> 2.8).</w:t>
      </w:r>
      <w:r w:rsidRPr="00771E6E">
        <w:rPr>
          <w:rStyle w:val="FootnoteReference"/>
        </w:rPr>
        <w:footnoteReference w:id="350"/>
      </w:r>
      <w:r w:rsidRPr="00771E6E">
        <w:rPr>
          <w:color w:val="000000"/>
        </w:rPr>
        <w:t xml:space="preserve">  Representations of the Nativity were particularly common and could include the words and the notation of the </w:t>
      </w:r>
      <w:r w:rsidRPr="00771E6E">
        <w:rPr>
          <w:i/>
          <w:color w:val="000000"/>
        </w:rPr>
        <w:t>Gloria</w:t>
      </w:r>
      <w:r w:rsidRPr="00771E6E">
        <w:rPr>
          <w:iCs/>
          <w:color w:val="000000"/>
        </w:rPr>
        <w:t xml:space="preserve"> plainchant</w:t>
      </w:r>
      <w:r w:rsidRPr="00771E6E">
        <w:rPr>
          <w:color w:val="000000"/>
        </w:rPr>
        <w:t xml:space="preserve">, as found on a glazed terracotta produced by Luca </w:t>
      </w:r>
      <w:proofErr w:type="spellStart"/>
      <w:r w:rsidRPr="00771E6E">
        <w:rPr>
          <w:color w:val="000000"/>
        </w:rPr>
        <w:t>della</w:t>
      </w:r>
      <w:proofErr w:type="spellEnd"/>
      <w:r w:rsidRPr="00771E6E">
        <w:rPr>
          <w:color w:val="000000"/>
        </w:rPr>
        <w:t xml:space="preserve"> Robbia around 1470 now kept at the Museum of Fine Arts in Boston (</w:t>
      </w:r>
      <w:r w:rsidRPr="00771E6E">
        <w:t xml:space="preserve">fig. </w:t>
      </w:r>
      <w:r w:rsidRPr="00771E6E">
        <w:rPr>
          <w:color w:val="000000"/>
        </w:rPr>
        <w:t xml:space="preserve">2.9). Here, four angels appear on a cloud above the Nativity scene, one of whom holds a scroll with the words “Gloria in excelsis deo” (Glory to God in the highest) and the corresponding plainchant in </w:t>
      </w:r>
      <w:proofErr w:type="spellStart"/>
      <w:r w:rsidRPr="00771E6E">
        <w:rPr>
          <w:color w:val="000000"/>
        </w:rPr>
        <w:t>neumatic</w:t>
      </w:r>
      <w:proofErr w:type="spellEnd"/>
      <w:r w:rsidRPr="00771E6E">
        <w:rPr>
          <w:color w:val="000000"/>
        </w:rPr>
        <w:t xml:space="preserve"> notation. Identical notation appears in numerous surviving artworks, including the </w:t>
      </w:r>
      <w:r w:rsidRPr="00771E6E">
        <w:rPr>
          <w:i/>
          <w:color w:val="000000"/>
        </w:rPr>
        <w:t>Nativity</w:t>
      </w:r>
      <w:r w:rsidRPr="00771E6E">
        <w:rPr>
          <w:color w:val="000000"/>
        </w:rPr>
        <w:t xml:space="preserve"> in the Museo del Bargello, Florence, also produced by the </w:t>
      </w:r>
      <w:proofErr w:type="spellStart"/>
      <w:r w:rsidRPr="00771E6E">
        <w:rPr>
          <w:color w:val="000000"/>
        </w:rPr>
        <w:t>della</w:t>
      </w:r>
      <w:proofErr w:type="spellEnd"/>
      <w:r w:rsidRPr="00771E6E">
        <w:rPr>
          <w:color w:val="000000"/>
        </w:rPr>
        <w:t xml:space="preserve"> </w:t>
      </w:r>
      <w:proofErr w:type="spellStart"/>
      <w:r w:rsidRPr="00771E6E">
        <w:rPr>
          <w:color w:val="000000"/>
        </w:rPr>
        <w:t>Robbias</w:t>
      </w:r>
      <w:proofErr w:type="spellEnd"/>
      <w:r w:rsidRPr="00771E6E">
        <w:rPr>
          <w:color w:val="000000"/>
        </w:rPr>
        <w:t xml:space="preserve">’ workshop around 1470, and two works by Domenico Ghirlandaio, the </w:t>
      </w:r>
      <w:r w:rsidRPr="00771E6E">
        <w:rPr>
          <w:i/>
          <w:color w:val="000000"/>
        </w:rPr>
        <w:t>Adoration of the Magi</w:t>
      </w:r>
      <w:r w:rsidRPr="00771E6E">
        <w:rPr>
          <w:color w:val="000000"/>
        </w:rPr>
        <w:t xml:space="preserve"> in the </w:t>
      </w:r>
      <w:proofErr w:type="spellStart"/>
      <w:r w:rsidRPr="00771E6E">
        <w:rPr>
          <w:color w:val="000000"/>
        </w:rPr>
        <w:t>Spedale</w:t>
      </w:r>
      <w:proofErr w:type="spellEnd"/>
      <w:r w:rsidRPr="00771E6E">
        <w:rPr>
          <w:color w:val="000000"/>
        </w:rPr>
        <w:t xml:space="preserve"> </w:t>
      </w:r>
      <w:proofErr w:type="spellStart"/>
      <w:r w:rsidRPr="00771E6E">
        <w:rPr>
          <w:color w:val="000000"/>
        </w:rPr>
        <w:t>degli</w:t>
      </w:r>
      <w:proofErr w:type="spellEnd"/>
      <w:r w:rsidRPr="00771E6E">
        <w:rPr>
          <w:color w:val="000000"/>
        </w:rPr>
        <w:t xml:space="preserve"> </w:t>
      </w:r>
      <w:proofErr w:type="spellStart"/>
      <w:r w:rsidRPr="00771E6E">
        <w:rPr>
          <w:color w:val="000000"/>
        </w:rPr>
        <w:t>Innocenti</w:t>
      </w:r>
      <w:proofErr w:type="spellEnd"/>
      <w:r w:rsidRPr="00771E6E">
        <w:rPr>
          <w:color w:val="000000"/>
        </w:rPr>
        <w:t xml:space="preserve">, Florence, of 1488, and a </w:t>
      </w:r>
      <w:proofErr w:type="spellStart"/>
      <w:r w:rsidRPr="00771E6E">
        <w:rPr>
          <w:i/>
          <w:color w:val="000000"/>
        </w:rPr>
        <w:t>predella</w:t>
      </w:r>
      <w:proofErr w:type="spellEnd"/>
      <w:r w:rsidRPr="00771E6E">
        <w:rPr>
          <w:color w:val="000000"/>
        </w:rPr>
        <w:t xml:space="preserve"> panel with the </w:t>
      </w:r>
      <w:r w:rsidRPr="00771E6E">
        <w:rPr>
          <w:i/>
          <w:color w:val="000000"/>
        </w:rPr>
        <w:t>Nativity</w:t>
      </w:r>
      <w:r w:rsidRPr="00771E6E">
        <w:rPr>
          <w:color w:val="000000"/>
        </w:rPr>
        <w:t xml:space="preserve"> in the </w:t>
      </w:r>
      <w:proofErr w:type="spellStart"/>
      <w:r w:rsidRPr="00771E6E">
        <w:rPr>
          <w:color w:val="000000"/>
        </w:rPr>
        <w:t>Musei</w:t>
      </w:r>
      <w:proofErr w:type="spellEnd"/>
      <w:r w:rsidRPr="00771E6E">
        <w:rPr>
          <w:color w:val="000000"/>
        </w:rPr>
        <w:t xml:space="preserve"> </w:t>
      </w:r>
      <w:proofErr w:type="spellStart"/>
      <w:r w:rsidRPr="00771E6E">
        <w:rPr>
          <w:color w:val="000000"/>
        </w:rPr>
        <w:t>Vaticani</w:t>
      </w:r>
      <w:proofErr w:type="spellEnd"/>
      <w:r w:rsidRPr="00771E6E">
        <w:rPr>
          <w:color w:val="000000"/>
        </w:rPr>
        <w:t>, of ca. 1492.</w:t>
      </w:r>
    </w:p>
    <w:p w14:paraId="2F74F268" w14:textId="77777777" w:rsidR="008A116C" w:rsidRPr="00771E6E" w:rsidRDefault="008A116C" w:rsidP="008A116C">
      <w:pPr>
        <w:ind w:firstLine="720"/>
        <w:rPr>
          <w:color w:val="000000"/>
        </w:rPr>
      </w:pPr>
      <w:r w:rsidRPr="00771E6E">
        <w:rPr>
          <w:color w:val="000000"/>
        </w:rPr>
        <w:t xml:space="preserve">Meanwhile, angels playing the musical instruments listed in Psalm 150 appear in the well-known </w:t>
      </w:r>
      <w:proofErr w:type="spellStart"/>
      <w:r w:rsidRPr="00771E6E">
        <w:rPr>
          <w:i/>
          <w:color w:val="000000"/>
        </w:rPr>
        <w:t>cantoria</w:t>
      </w:r>
      <w:proofErr w:type="spellEnd"/>
      <w:r w:rsidRPr="00771E6E">
        <w:rPr>
          <w:color w:val="000000"/>
        </w:rPr>
        <w:t xml:space="preserve"> made by Luca </w:t>
      </w:r>
      <w:proofErr w:type="spellStart"/>
      <w:r w:rsidRPr="00771E6E">
        <w:rPr>
          <w:color w:val="000000"/>
        </w:rPr>
        <w:t>della</w:t>
      </w:r>
      <w:proofErr w:type="spellEnd"/>
      <w:r w:rsidRPr="00771E6E">
        <w:rPr>
          <w:color w:val="000000"/>
        </w:rPr>
        <w:t xml:space="preserve"> Robbia for the Cathedral of Santa Maria del Fiore, Florence, between 1432 and 1438 (fig. 2.10). Each panel of the decoration corresponds exactly to one of the recommendations in the Psalm, and the link is made absolutely explicit in the Latin inscription that runs along the frieze quoting the relevant Latin verses from Psalm 150 in their entirety: </w:t>
      </w:r>
    </w:p>
    <w:p w14:paraId="34844803" w14:textId="77777777" w:rsidR="008A116C" w:rsidRPr="00771E6E" w:rsidRDefault="008A116C" w:rsidP="008A116C">
      <w:pPr>
        <w:rPr>
          <w:color w:val="000000"/>
        </w:rPr>
      </w:pPr>
    </w:p>
    <w:p w14:paraId="51CB78D3" w14:textId="77777777" w:rsidR="008A116C" w:rsidRPr="00771E6E" w:rsidRDefault="008A116C" w:rsidP="008A116C">
      <w:pPr>
        <w:pStyle w:val="IntenseQuote"/>
      </w:pPr>
      <w:r w:rsidRPr="00771E6E">
        <w:t>Laudate D[</w:t>
      </w:r>
      <w:proofErr w:type="spellStart"/>
      <w:r w:rsidRPr="00771E6E">
        <w:t>omi</w:t>
      </w:r>
      <w:proofErr w:type="spellEnd"/>
      <w:r w:rsidRPr="00771E6E">
        <w:t xml:space="preserve">]n[u]m in s[an]c[t]is </w:t>
      </w:r>
      <w:proofErr w:type="spellStart"/>
      <w:r w:rsidRPr="00771E6E">
        <w:t>ei</w:t>
      </w:r>
      <w:proofErr w:type="spellEnd"/>
      <w:r w:rsidRPr="00771E6E">
        <w:t xml:space="preserve">[us] Laudate </w:t>
      </w:r>
      <w:proofErr w:type="spellStart"/>
      <w:r w:rsidRPr="00771E6E">
        <w:t>eum</w:t>
      </w:r>
      <w:proofErr w:type="spellEnd"/>
      <w:r w:rsidRPr="00771E6E">
        <w:t xml:space="preserve"> in </w:t>
      </w:r>
      <w:proofErr w:type="spellStart"/>
      <w:r w:rsidRPr="00771E6E">
        <w:t>firmamento</w:t>
      </w:r>
      <w:proofErr w:type="spellEnd"/>
      <w:r w:rsidRPr="00771E6E">
        <w:t xml:space="preserve"> virtutis </w:t>
      </w:r>
      <w:proofErr w:type="spellStart"/>
      <w:r w:rsidRPr="00771E6E">
        <w:t>ei</w:t>
      </w:r>
      <w:proofErr w:type="spellEnd"/>
      <w:r w:rsidRPr="00771E6E">
        <w:t>[us] La[</w:t>
      </w:r>
      <w:proofErr w:type="spellStart"/>
      <w:r w:rsidRPr="00771E6E">
        <w:t>udate</w:t>
      </w:r>
      <w:proofErr w:type="spellEnd"/>
      <w:r w:rsidRPr="00771E6E">
        <w:t xml:space="preserve">] e[um] in </w:t>
      </w:r>
      <w:proofErr w:type="spellStart"/>
      <w:r w:rsidRPr="00771E6E">
        <w:t>virtutibus</w:t>
      </w:r>
      <w:proofErr w:type="spellEnd"/>
      <w:r w:rsidRPr="00771E6E">
        <w:t xml:space="preserve"> </w:t>
      </w:r>
      <w:proofErr w:type="spellStart"/>
      <w:r w:rsidRPr="00771E6E">
        <w:t>ei</w:t>
      </w:r>
      <w:proofErr w:type="spellEnd"/>
      <w:r w:rsidRPr="00771E6E">
        <w:t>[us] La[</w:t>
      </w:r>
      <w:proofErr w:type="spellStart"/>
      <w:r w:rsidRPr="00771E6E">
        <w:t>udate</w:t>
      </w:r>
      <w:proofErr w:type="spellEnd"/>
      <w:r w:rsidRPr="00771E6E">
        <w:t xml:space="preserve">] </w:t>
      </w:r>
      <w:proofErr w:type="spellStart"/>
      <w:r w:rsidRPr="00771E6E">
        <w:t>eu</w:t>
      </w:r>
      <w:proofErr w:type="spellEnd"/>
      <w:r w:rsidRPr="00771E6E">
        <w:t xml:space="preserve">[m] </w:t>
      </w:r>
      <w:proofErr w:type="spellStart"/>
      <w:r w:rsidRPr="00771E6E">
        <w:t>secundum</w:t>
      </w:r>
      <w:proofErr w:type="spellEnd"/>
      <w:r w:rsidRPr="00771E6E">
        <w:t xml:space="preserve"> </w:t>
      </w:r>
      <w:proofErr w:type="spellStart"/>
      <w:r w:rsidRPr="00771E6E">
        <w:t>multitudinem</w:t>
      </w:r>
      <w:proofErr w:type="spellEnd"/>
      <w:r w:rsidRPr="00771E6E">
        <w:t xml:space="preserve"> </w:t>
      </w:r>
      <w:proofErr w:type="spellStart"/>
      <w:r w:rsidRPr="00771E6E">
        <w:t>magnitudinis</w:t>
      </w:r>
      <w:proofErr w:type="spellEnd"/>
      <w:r w:rsidRPr="00771E6E">
        <w:t xml:space="preserve"> </w:t>
      </w:r>
      <w:proofErr w:type="spellStart"/>
      <w:r w:rsidRPr="00771E6E">
        <w:t>eius</w:t>
      </w:r>
      <w:proofErr w:type="spellEnd"/>
      <w:r w:rsidRPr="00771E6E">
        <w:t xml:space="preserve">/ Laudate </w:t>
      </w:r>
      <w:proofErr w:type="spellStart"/>
      <w:r w:rsidRPr="00771E6E">
        <w:t>eum</w:t>
      </w:r>
      <w:proofErr w:type="spellEnd"/>
      <w:r w:rsidRPr="00771E6E">
        <w:t xml:space="preserve"> in </w:t>
      </w:r>
      <w:proofErr w:type="spellStart"/>
      <w:r w:rsidRPr="00771E6E">
        <w:t>sono</w:t>
      </w:r>
      <w:proofErr w:type="spellEnd"/>
      <w:r w:rsidRPr="00771E6E">
        <w:t xml:space="preserve"> </w:t>
      </w:r>
      <w:proofErr w:type="spellStart"/>
      <w:r w:rsidRPr="00771E6E">
        <w:t>tubae</w:t>
      </w:r>
      <w:proofErr w:type="spellEnd"/>
      <w:r w:rsidRPr="00771E6E">
        <w:t xml:space="preserve"> </w:t>
      </w:r>
      <w:proofErr w:type="spellStart"/>
      <w:r w:rsidRPr="00771E6E">
        <w:t>laudate</w:t>
      </w:r>
      <w:proofErr w:type="spellEnd"/>
      <w:r w:rsidRPr="00771E6E">
        <w:t xml:space="preserve"> </w:t>
      </w:r>
      <w:proofErr w:type="spellStart"/>
      <w:r w:rsidRPr="00771E6E">
        <w:t>eum</w:t>
      </w:r>
      <w:proofErr w:type="spellEnd"/>
      <w:r w:rsidRPr="00771E6E">
        <w:t xml:space="preserve"> in </w:t>
      </w:r>
      <w:proofErr w:type="spellStart"/>
      <w:r w:rsidRPr="00771E6E">
        <w:t>psalterio</w:t>
      </w:r>
      <w:proofErr w:type="spellEnd"/>
      <w:r w:rsidRPr="00771E6E">
        <w:t xml:space="preserve"> et </w:t>
      </w:r>
      <w:proofErr w:type="spellStart"/>
      <w:r w:rsidRPr="00771E6E">
        <w:t>cythara</w:t>
      </w:r>
      <w:proofErr w:type="spellEnd"/>
      <w:r w:rsidRPr="00771E6E">
        <w:t xml:space="preserve"> Laudate </w:t>
      </w:r>
      <w:proofErr w:type="spellStart"/>
      <w:r w:rsidRPr="00771E6E">
        <w:t>eum</w:t>
      </w:r>
      <w:proofErr w:type="spellEnd"/>
      <w:r w:rsidRPr="00771E6E">
        <w:t xml:space="preserve"> in </w:t>
      </w:r>
      <w:proofErr w:type="spellStart"/>
      <w:r w:rsidRPr="00771E6E">
        <w:t>timpano</w:t>
      </w:r>
      <w:proofErr w:type="spellEnd"/>
      <w:r w:rsidRPr="00771E6E">
        <w:t>/ et choro La[</w:t>
      </w:r>
      <w:proofErr w:type="spellStart"/>
      <w:r w:rsidRPr="00771E6E">
        <w:t>udate</w:t>
      </w:r>
      <w:proofErr w:type="spellEnd"/>
      <w:r w:rsidRPr="00771E6E">
        <w:t xml:space="preserve">] </w:t>
      </w:r>
      <w:proofErr w:type="spellStart"/>
      <w:r w:rsidRPr="00771E6E">
        <w:t>eu</w:t>
      </w:r>
      <w:proofErr w:type="spellEnd"/>
      <w:r w:rsidRPr="00771E6E">
        <w:t xml:space="preserve">[m] in cordis et </w:t>
      </w:r>
      <w:proofErr w:type="spellStart"/>
      <w:r w:rsidRPr="00771E6E">
        <w:t>organo</w:t>
      </w:r>
      <w:proofErr w:type="spellEnd"/>
      <w:r w:rsidRPr="00771E6E">
        <w:t xml:space="preserve"> La[</w:t>
      </w:r>
      <w:proofErr w:type="spellStart"/>
      <w:r w:rsidRPr="00771E6E">
        <w:t>udate</w:t>
      </w:r>
      <w:proofErr w:type="spellEnd"/>
      <w:r w:rsidRPr="00771E6E">
        <w:t xml:space="preserve">] </w:t>
      </w:r>
      <w:proofErr w:type="spellStart"/>
      <w:r w:rsidRPr="00771E6E">
        <w:t>eu</w:t>
      </w:r>
      <w:proofErr w:type="spellEnd"/>
      <w:r w:rsidRPr="00771E6E">
        <w:t xml:space="preserve">[m] in </w:t>
      </w:r>
      <w:proofErr w:type="spellStart"/>
      <w:r w:rsidRPr="00771E6E">
        <w:t>cimbalis</w:t>
      </w:r>
      <w:proofErr w:type="spellEnd"/>
      <w:r w:rsidRPr="00771E6E">
        <w:t xml:space="preserve"> bene </w:t>
      </w:r>
      <w:proofErr w:type="spellStart"/>
      <w:r w:rsidRPr="00771E6E">
        <w:t>sona</w:t>
      </w:r>
      <w:proofErr w:type="spellEnd"/>
      <w:r w:rsidRPr="00771E6E">
        <w:t>[n]</w:t>
      </w:r>
      <w:proofErr w:type="spellStart"/>
      <w:r w:rsidRPr="00771E6E">
        <w:t>tibus</w:t>
      </w:r>
      <w:proofErr w:type="spellEnd"/>
      <w:r w:rsidRPr="00771E6E">
        <w:t xml:space="preserve"> La[</w:t>
      </w:r>
      <w:proofErr w:type="spellStart"/>
      <w:r w:rsidRPr="00771E6E">
        <w:t>udate</w:t>
      </w:r>
      <w:proofErr w:type="spellEnd"/>
      <w:r w:rsidRPr="00771E6E">
        <w:t xml:space="preserve">] </w:t>
      </w:r>
      <w:proofErr w:type="spellStart"/>
      <w:r w:rsidRPr="00771E6E">
        <w:t>eu</w:t>
      </w:r>
      <w:proofErr w:type="spellEnd"/>
      <w:r w:rsidRPr="00771E6E">
        <w:t xml:space="preserve">[m] in </w:t>
      </w:r>
      <w:proofErr w:type="spellStart"/>
      <w:r w:rsidRPr="00771E6E">
        <w:t>cimbalis</w:t>
      </w:r>
      <w:proofErr w:type="spellEnd"/>
      <w:r w:rsidRPr="00771E6E">
        <w:t xml:space="preserve"> </w:t>
      </w:r>
      <w:proofErr w:type="spellStart"/>
      <w:r w:rsidRPr="00771E6E">
        <w:t>iubilationis</w:t>
      </w:r>
      <w:proofErr w:type="spellEnd"/>
      <w:r w:rsidRPr="00771E6E">
        <w:t xml:space="preserve"> O[</w:t>
      </w:r>
      <w:proofErr w:type="spellStart"/>
      <w:r w:rsidRPr="00771E6E">
        <w:t>mn</w:t>
      </w:r>
      <w:proofErr w:type="spellEnd"/>
      <w:r w:rsidRPr="00771E6E">
        <w:t xml:space="preserve">]is </w:t>
      </w:r>
      <w:proofErr w:type="spellStart"/>
      <w:r w:rsidRPr="00771E6E">
        <w:t>sp</w:t>
      </w:r>
      <w:proofErr w:type="spellEnd"/>
      <w:r w:rsidRPr="00771E6E">
        <w:t>[</w:t>
      </w:r>
      <w:proofErr w:type="spellStart"/>
      <w:r w:rsidRPr="00771E6E">
        <w:t>iritu</w:t>
      </w:r>
      <w:proofErr w:type="spellEnd"/>
      <w:r w:rsidRPr="00771E6E">
        <w:t xml:space="preserve">]s </w:t>
      </w:r>
      <w:proofErr w:type="spellStart"/>
      <w:r w:rsidRPr="00771E6E">
        <w:t>laudet</w:t>
      </w:r>
      <w:proofErr w:type="spellEnd"/>
      <w:r w:rsidRPr="00771E6E">
        <w:t xml:space="preserve"> D[</w:t>
      </w:r>
      <w:proofErr w:type="spellStart"/>
      <w:r w:rsidRPr="00771E6E">
        <w:t>omi</w:t>
      </w:r>
      <w:proofErr w:type="spellEnd"/>
      <w:r w:rsidRPr="00771E6E">
        <w:t xml:space="preserve">]n[u]m. </w:t>
      </w:r>
    </w:p>
    <w:p w14:paraId="05E71969" w14:textId="77777777" w:rsidR="008A116C" w:rsidRPr="00771E6E" w:rsidRDefault="008A116C" w:rsidP="008A116C">
      <w:pPr>
        <w:rPr>
          <w:color w:val="000000"/>
        </w:rPr>
      </w:pPr>
    </w:p>
    <w:p w14:paraId="0DC6940F" w14:textId="77777777" w:rsidR="008A116C" w:rsidRPr="00771E6E" w:rsidRDefault="008A116C" w:rsidP="008A116C">
      <w:pPr>
        <w:rPr>
          <w:color w:val="000000"/>
        </w:rPr>
      </w:pPr>
      <w:r w:rsidRPr="00771E6E">
        <w:rPr>
          <w:color w:val="000000"/>
        </w:rPr>
        <w:t>In the frontal panels, a number of wingless angels in the likeness of children and youths dance and play the instruments mentioned in the text, whilst on the side panels they sing from a book and a scroll.</w:t>
      </w:r>
      <w:r w:rsidRPr="00771E6E">
        <w:rPr>
          <w:rStyle w:val="FootnoteReference"/>
        </w:rPr>
        <w:footnoteReference w:id="351"/>
      </w:r>
      <w:r w:rsidRPr="00771E6E">
        <w:rPr>
          <w:color w:val="000000"/>
        </w:rPr>
        <w:t xml:space="preserve"> </w:t>
      </w:r>
    </w:p>
    <w:p w14:paraId="162ABECC" w14:textId="77777777" w:rsidR="008A116C" w:rsidRPr="00771E6E" w:rsidRDefault="008A116C" w:rsidP="008A116C">
      <w:pPr>
        <w:ind w:firstLine="720"/>
        <w:rPr>
          <w:color w:val="000000"/>
        </w:rPr>
      </w:pPr>
      <w:r w:rsidRPr="00771E6E">
        <w:rPr>
          <w:color w:val="000000"/>
        </w:rPr>
        <w:t xml:space="preserve">The musical instruments listed in Psalm 150 often appear when an angelic orchestra is depicted—for example, when being represented as glorifying Christ in the court of Heaven by Fra Angelico, on the </w:t>
      </w:r>
      <w:proofErr w:type="spellStart"/>
      <w:r w:rsidRPr="00771E6E">
        <w:rPr>
          <w:i/>
          <w:color w:val="000000"/>
        </w:rPr>
        <w:t>predella</w:t>
      </w:r>
      <w:proofErr w:type="spellEnd"/>
      <w:r w:rsidRPr="00771E6E">
        <w:rPr>
          <w:color w:val="000000"/>
        </w:rPr>
        <w:t xml:space="preserve"> for an altarpiece in San Domenico, Fiesole, as Meredith Gill has observed (fig. 2.11).</w:t>
      </w:r>
      <w:r w:rsidRPr="00771E6E">
        <w:rPr>
          <w:rStyle w:val="FootnoteReference"/>
        </w:rPr>
        <w:footnoteReference w:id="352"/>
      </w:r>
      <w:r w:rsidRPr="00771E6E">
        <w:rPr>
          <w:color w:val="000000"/>
        </w:rPr>
        <w:t xml:space="preserve"> The most commonly depicted musical </w:t>
      </w:r>
      <w:r w:rsidRPr="00771E6E">
        <w:rPr>
          <w:color w:val="000000"/>
        </w:rPr>
        <w:lastRenderedPageBreak/>
        <w:t xml:space="preserve">instruments in altarpieces appear to be the organ and the lute. However, other stringed instruments such as the harp, the </w:t>
      </w:r>
      <w:proofErr w:type="spellStart"/>
      <w:r w:rsidRPr="00771E6E">
        <w:rPr>
          <w:color w:val="000000"/>
        </w:rPr>
        <w:t>viella</w:t>
      </w:r>
      <w:proofErr w:type="spellEnd"/>
      <w:r w:rsidRPr="00771E6E">
        <w:rPr>
          <w:color w:val="000000"/>
        </w:rPr>
        <w:t xml:space="preserve"> and the cithara, in addition to wind instruments such as trumpets, are often encountered. The most infrequent instruments seem to be the cymbals. Due to the progressive </w:t>
      </w:r>
      <w:proofErr w:type="spellStart"/>
      <w:r w:rsidRPr="00771E6E">
        <w:rPr>
          <w:color w:val="000000"/>
        </w:rPr>
        <w:t>secularisation</w:t>
      </w:r>
      <w:proofErr w:type="spellEnd"/>
      <w:r w:rsidRPr="00771E6E">
        <w:rPr>
          <w:color w:val="000000"/>
        </w:rPr>
        <w:t xml:space="preserve"> that took place during the late medieval and renaissance periods, religious art began to include instruments that were not associated with the liturgy, but which were used in lay expressions of piety</w:t>
      </w:r>
      <w:r w:rsidRPr="00771E6E">
        <w:t>.</w:t>
      </w:r>
      <w:r w:rsidRPr="00771E6E">
        <w:rPr>
          <w:rStyle w:val="FootnoteReference"/>
        </w:rPr>
        <w:footnoteReference w:id="353"/>
      </w:r>
    </w:p>
    <w:p w14:paraId="00E64632" w14:textId="77777777" w:rsidR="008A116C" w:rsidRPr="00771E6E" w:rsidRDefault="008A116C" w:rsidP="008A116C">
      <w:pPr>
        <w:ind w:firstLine="720"/>
      </w:pPr>
      <w:r w:rsidRPr="00771E6E">
        <w:rPr>
          <w:color w:val="000000"/>
        </w:rPr>
        <w:t xml:space="preserve">Although most musical angels in Italian Renaissance art are indebted in some way to the biblical configuration of the celestial soundscape, the setting and narratives in which they appear need not themselves be biblical. Thanks partly to the enormous popularity enjoyed by Jacobus da </w:t>
      </w:r>
      <w:proofErr w:type="spellStart"/>
      <w:r w:rsidRPr="00771E6E">
        <w:rPr>
          <w:color w:val="000000"/>
        </w:rPr>
        <w:t>Voragine’s</w:t>
      </w:r>
      <w:proofErr w:type="spellEnd"/>
      <w:r w:rsidRPr="00771E6E">
        <w:rPr>
          <w:i/>
        </w:rPr>
        <w:t xml:space="preserve"> </w:t>
      </w:r>
      <w:proofErr w:type="spellStart"/>
      <w:r w:rsidRPr="00771E6E">
        <w:rPr>
          <w:i/>
        </w:rPr>
        <w:t>Legenda</w:t>
      </w:r>
      <w:proofErr w:type="spellEnd"/>
      <w:r w:rsidRPr="00771E6E">
        <w:rPr>
          <w:i/>
        </w:rPr>
        <w:t xml:space="preserve"> Aurea</w:t>
      </w:r>
      <w:r w:rsidRPr="00771E6E">
        <w:t>, they also found a place in religious and devotional art depicting the Virgin Mary and the events associated with her life, such as her Assumption into Heaven and her Coronation.</w:t>
      </w:r>
      <w:r w:rsidRPr="00771E6E">
        <w:rPr>
          <w:rStyle w:val="FootnoteReference"/>
        </w:rPr>
        <w:footnoteReference w:id="354"/>
      </w:r>
      <w:r w:rsidRPr="00771E6E">
        <w:t xml:space="preserve"> In these scenes, angel ensembles are usually </w:t>
      </w:r>
      <w:proofErr w:type="spellStart"/>
      <w:r w:rsidRPr="00771E6E">
        <w:t>characterised</w:t>
      </w:r>
      <w:proofErr w:type="spellEnd"/>
      <w:r w:rsidRPr="00771E6E">
        <w:t xml:space="preserve"> by their instrumental diversity, including wind instruments such as trumpets and </w:t>
      </w:r>
      <w:proofErr w:type="spellStart"/>
      <w:r w:rsidRPr="00771E6E">
        <w:t>shawms</w:t>
      </w:r>
      <w:proofErr w:type="spellEnd"/>
      <w:r w:rsidRPr="00771E6E">
        <w:t xml:space="preserve">, and string instruments such as lutes and </w:t>
      </w:r>
      <w:r w:rsidRPr="00771E6E">
        <w:rPr>
          <w:i/>
        </w:rPr>
        <w:t>vielle</w:t>
      </w:r>
      <w:r w:rsidRPr="00771E6E">
        <w:t xml:space="preserve"> – as, for example, in Matteo di Giovanni’s </w:t>
      </w:r>
      <w:r w:rsidRPr="00771E6E">
        <w:rPr>
          <w:i/>
          <w:iCs/>
        </w:rPr>
        <w:t>Assumption of the Virgin</w:t>
      </w:r>
      <w:r w:rsidRPr="00771E6E">
        <w:t xml:space="preserve"> of ca. 1474 (fig. 2.12), and in the </w:t>
      </w:r>
      <w:r w:rsidRPr="00771E6E">
        <w:rPr>
          <w:i/>
          <w:iCs/>
        </w:rPr>
        <w:t>Coronation of the Virgin</w:t>
      </w:r>
      <w:r w:rsidRPr="00771E6E">
        <w:t xml:space="preserve"> by the Master of the Fiesole Epiphany, from 1479-80 (fig. 2.13).</w:t>
      </w:r>
      <w:r w:rsidRPr="00771E6E">
        <w:rPr>
          <w:rStyle w:val="FootnoteReference"/>
        </w:rPr>
        <w:footnoteReference w:id="355"/>
      </w:r>
      <w:r w:rsidRPr="00771E6E">
        <w:t xml:space="preserve"> In addition to such narrative scenes, it is in depictions of the Virgin and Child, often accompanied by the young Saint John the Baptist, that musical angels are most often depicted, </w:t>
      </w:r>
      <w:r w:rsidRPr="00771E6E">
        <w:rPr>
          <w:noProof/>
        </w:rPr>
        <w:t xml:space="preserve">participating in the scene by making music through singing or playing instruments. </w:t>
      </w:r>
    </w:p>
    <w:p w14:paraId="1D1F947A" w14:textId="77777777" w:rsidR="008A116C" w:rsidRPr="00771E6E" w:rsidRDefault="008A116C" w:rsidP="008A116C">
      <w:pPr>
        <w:ind w:firstLine="720"/>
      </w:pPr>
      <w:r w:rsidRPr="00771E6E">
        <w:t xml:space="preserve">The words of sacred hymns could also be added to depictions of the Virgin and Child. The opening words from the Marian antiphon </w:t>
      </w:r>
      <w:r w:rsidRPr="00771E6E">
        <w:rPr>
          <w:i/>
        </w:rPr>
        <w:t xml:space="preserve">Ave Regina </w:t>
      </w:r>
      <w:proofErr w:type="spellStart"/>
      <w:r w:rsidRPr="00771E6E">
        <w:rPr>
          <w:i/>
        </w:rPr>
        <w:t>Celorum</w:t>
      </w:r>
      <w:proofErr w:type="spellEnd"/>
      <w:r w:rsidRPr="00771E6E">
        <w:t xml:space="preserve"> (Hail, Queen of Heaven) run below the figures of the Virgin and Child flanked by Saint </w:t>
      </w:r>
      <w:proofErr w:type="spellStart"/>
      <w:r w:rsidRPr="00771E6E">
        <w:t>Roch</w:t>
      </w:r>
      <w:proofErr w:type="spellEnd"/>
      <w:r w:rsidRPr="00771E6E">
        <w:t xml:space="preserve"> and Saint Sebastian, popular protectors against the plague, while trumpeting angels fly above, in a glazed earthenware plaque from the Veneto (fig. 2.14).</w:t>
      </w:r>
      <w:r w:rsidRPr="00771E6E">
        <w:rPr>
          <w:rStyle w:val="FootnoteReference"/>
        </w:rPr>
        <w:footnoteReference w:id="356"/>
      </w:r>
      <w:r w:rsidRPr="00771E6E">
        <w:t xml:space="preserve"> The singing of the </w:t>
      </w:r>
      <w:r w:rsidRPr="00771E6E">
        <w:rPr>
          <w:i/>
        </w:rPr>
        <w:t xml:space="preserve">Ave Regina </w:t>
      </w:r>
      <w:proofErr w:type="spellStart"/>
      <w:r w:rsidRPr="00771E6E">
        <w:rPr>
          <w:i/>
        </w:rPr>
        <w:t>Celorum</w:t>
      </w:r>
      <w:proofErr w:type="spellEnd"/>
      <w:r w:rsidRPr="00771E6E">
        <w:t xml:space="preserve"> was already long established when Walter Frye composed a new version in 1450. His setting became incredibly popular and its use spread widely across Europe and especially in Italy, principally through chansonniers, anthologies of vernacular music, </w:t>
      </w:r>
      <w:r w:rsidRPr="00771E6E">
        <w:lastRenderedPageBreak/>
        <w:t>which also often include a handful of Latin sacred works.</w:t>
      </w:r>
      <w:r w:rsidRPr="00771E6E">
        <w:rPr>
          <w:rStyle w:val="FootnoteReference"/>
        </w:rPr>
        <w:footnoteReference w:id="357"/>
      </w:r>
      <w:r w:rsidRPr="00771E6E">
        <w:t xml:space="preserve"> The presence of angels in this plaque is particularly appropriate as the first lines of the antiphon read, “Hail, Queen of Heaven, mother of the king of angels” (</w:t>
      </w:r>
      <w:r w:rsidRPr="00771E6E">
        <w:rPr>
          <w:i/>
        </w:rPr>
        <w:t xml:space="preserve">Ave </w:t>
      </w:r>
      <w:proofErr w:type="spellStart"/>
      <w:r w:rsidRPr="00771E6E">
        <w:rPr>
          <w:i/>
        </w:rPr>
        <w:t>regina</w:t>
      </w:r>
      <w:proofErr w:type="spellEnd"/>
      <w:r w:rsidRPr="00771E6E">
        <w:rPr>
          <w:i/>
        </w:rPr>
        <w:t xml:space="preserve"> </w:t>
      </w:r>
      <w:proofErr w:type="spellStart"/>
      <w:r w:rsidRPr="00771E6E">
        <w:rPr>
          <w:i/>
        </w:rPr>
        <w:t>caelorum</w:t>
      </w:r>
      <w:proofErr w:type="spellEnd"/>
      <w:r w:rsidRPr="00771E6E">
        <w:rPr>
          <w:i/>
        </w:rPr>
        <w:t xml:space="preserve">, mater </w:t>
      </w:r>
      <w:proofErr w:type="spellStart"/>
      <w:r w:rsidRPr="00771E6E">
        <w:rPr>
          <w:i/>
        </w:rPr>
        <w:t>regis</w:t>
      </w:r>
      <w:proofErr w:type="spellEnd"/>
      <w:r w:rsidRPr="00771E6E">
        <w:rPr>
          <w:i/>
        </w:rPr>
        <w:t xml:space="preserve"> </w:t>
      </w:r>
      <w:proofErr w:type="spellStart"/>
      <w:r w:rsidRPr="00771E6E">
        <w:rPr>
          <w:i/>
        </w:rPr>
        <w:t>angelorum</w:t>
      </w:r>
      <w:proofErr w:type="spellEnd"/>
      <w:r w:rsidRPr="00771E6E">
        <w:t>).</w:t>
      </w:r>
    </w:p>
    <w:p w14:paraId="5F8FDB85" w14:textId="77777777" w:rsidR="008A116C" w:rsidRPr="00771E6E" w:rsidRDefault="008A116C" w:rsidP="008A116C">
      <w:pPr>
        <w:ind w:firstLine="720"/>
        <w:rPr>
          <w:noProof/>
        </w:rPr>
      </w:pPr>
      <w:r w:rsidRPr="00771E6E">
        <w:t>By the fifteenth century the tradition of depicting musical angels in religious paintings was well-established, and angels are unquestionably the most ubiquitous musical subject in religious art from Renaissance Italy. In the words of Howard Mayer Brown, between the fourteenth and sixteenth centuries, “angels are the most numerous, and therefore the most important, class of musicians in Italian art.”</w:t>
      </w:r>
      <w:r w:rsidRPr="00771E6E">
        <w:rPr>
          <w:rStyle w:val="FootnoteReference"/>
        </w:rPr>
        <w:footnoteReference w:id="358"/>
      </w:r>
      <w:r w:rsidRPr="00771E6E">
        <w:rPr>
          <w:color w:val="000000"/>
        </w:rPr>
        <w:t xml:space="preserve"> The use of these figures was advocated by the Church, for the benefit of the devout. </w:t>
      </w:r>
      <w:r w:rsidRPr="00771E6E">
        <w:t xml:space="preserve">When describing the third effect claimed of music in his </w:t>
      </w:r>
      <w:r w:rsidRPr="00771E6E">
        <w:rPr>
          <w:i/>
          <w:noProof/>
        </w:rPr>
        <w:t>Complexus effectuum musices</w:t>
      </w:r>
      <w:r w:rsidRPr="00771E6E">
        <w:rPr>
          <w:iCs/>
          <w:noProof/>
        </w:rPr>
        <w:t>,</w:t>
      </w:r>
      <w:r w:rsidRPr="00771E6E">
        <w:rPr>
          <w:noProof/>
        </w:rPr>
        <w:t xml:space="preserve"> written for Beatrice of Aragon around 1473, </w:t>
      </w:r>
      <w:r w:rsidRPr="00771E6E">
        <w:t>Tinctoris observes that</w:t>
      </w:r>
      <w:r w:rsidRPr="00771E6E">
        <w:rPr>
          <w:noProof/>
        </w:rPr>
        <w:t xml:space="preserve"> </w:t>
      </w:r>
      <w:r w:rsidRPr="00771E6E">
        <w:t>“painters, when wishing to depict the joys of the blessed, paint angels playing various musical instruments. The Church would not allow this unless it believed that the joys of the blessed are enhanced by music.”</w:t>
      </w:r>
      <w:r w:rsidRPr="00771E6E">
        <w:rPr>
          <w:rStyle w:val="FootnoteReference"/>
        </w:rPr>
        <w:footnoteReference w:id="359"/>
      </w:r>
      <w:r w:rsidRPr="00771E6E">
        <w:t xml:space="preserve"> </w:t>
      </w:r>
    </w:p>
    <w:p w14:paraId="2CE5626F" w14:textId="77777777" w:rsidR="008A116C" w:rsidRPr="00771E6E" w:rsidRDefault="008A116C" w:rsidP="008A116C">
      <w:pPr>
        <w:ind w:firstLine="720"/>
        <w:rPr>
          <w:noProof/>
        </w:rPr>
      </w:pPr>
      <w:r w:rsidRPr="00771E6E">
        <w:t xml:space="preserve">The widespread popularity that musical angels acquired around this time is also confirmed in the </w:t>
      </w:r>
      <w:r w:rsidRPr="00771E6E">
        <w:rPr>
          <w:i/>
        </w:rPr>
        <w:t>Compendium Musicale</w:t>
      </w:r>
      <w:r w:rsidRPr="00771E6E">
        <w:t xml:space="preserve">, compiled by the music theorist Nicolaus de Capua in 1415. In this, the author replaced the classical concept of </w:t>
      </w:r>
      <w:proofErr w:type="spellStart"/>
      <w:r w:rsidRPr="00771E6E">
        <w:rPr>
          <w:i/>
        </w:rPr>
        <w:t>musica</w:t>
      </w:r>
      <w:proofErr w:type="spellEnd"/>
      <w:r w:rsidRPr="00771E6E">
        <w:rPr>
          <w:i/>
        </w:rPr>
        <w:t xml:space="preserve"> </w:t>
      </w:r>
      <w:proofErr w:type="spellStart"/>
      <w:r w:rsidRPr="00771E6E">
        <w:rPr>
          <w:i/>
        </w:rPr>
        <w:t>mundana</w:t>
      </w:r>
      <w:proofErr w:type="spellEnd"/>
      <w:r w:rsidRPr="00771E6E">
        <w:t xml:space="preserve">, codified by Boethius at the beginning of the sixth century as </w:t>
      </w:r>
      <w:r w:rsidRPr="00771E6E">
        <w:rPr>
          <w:bCs/>
          <w:iCs/>
          <w:color w:val="000000" w:themeColor="text1"/>
        </w:rPr>
        <w:t xml:space="preserve">the music produced by heavenly bodies, with </w:t>
      </w:r>
      <w:r w:rsidRPr="00771E6E">
        <w:t xml:space="preserve">the new </w:t>
      </w:r>
      <w:proofErr w:type="spellStart"/>
      <w:r w:rsidRPr="00771E6E">
        <w:rPr>
          <w:i/>
        </w:rPr>
        <w:t>musica</w:t>
      </w:r>
      <w:proofErr w:type="spellEnd"/>
      <w:r w:rsidRPr="00771E6E">
        <w:rPr>
          <w:i/>
        </w:rPr>
        <w:t xml:space="preserve"> angelica</w:t>
      </w:r>
      <w:r w:rsidRPr="00771E6E">
        <w:t xml:space="preserve">, produced by choirs of angels, </w:t>
      </w:r>
      <w:r w:rsidRPr="00771E6E">
        <w:rPr>
          <w:iCs/>
        </w:rPr>
        <w:t xml:space="preserve">re-configuring the harmony of the spheres as the </w:t>
      </w:r>
      <w:r w:rsidRPr="00771E6E">
        <w:t>“Angelic music … which is performed unabatedly by angels in the sight of God”.</w:t>
      </w:r>
      <w:r w:rsidRPr="00771E6E">
        <w:rPr>
          <w:rStyle w:val="FootnoteReference"/>
        </w:rPr>
        <w:footnoteReference w:id="360"/>
      </w:r>
      <w:r w:rsidRPr="00771E6E">
        <w:rPr>
          <w:bCs/>
          <w:iCs/>
          <w:color w:val="000000" w:themeColor="text1"/>
        </w:rPr>
        <w:t xml:space="preserve"> This example confirms the importance given to musical angels not only in visual </w:t>
      </w:r>
      <w:r w:rsidRPr="00771E6E">
        <w:t>representation</w:t>
      </w:r>
      <w:r w:rsidRPr="00771E6E">
        <w:rPr>
          <w:rStyle w:val="Heading2Char"/>
        </w:rPr>
        <w:t>,</w:t>
      </w:r>
      <w:r w:rsidRPr="00771E6E">
        <w:rPr>
          <w:bCs/>
          <w:iCs/>
          <w:color w:val="000000" w:themeColor="text1"/>
        </w:rPr>
        <w:t xml:space="preserve"> but also in music theory</w:t>
      </w:r>
      <w:r w:rsidRPr="00771E6E">
        <w:t>.</w:t>
      </w:r>
    </w:p>
    <w:p w14:paraId="76FE07B3" w14:textId="77777777" w:rsidR="008A116C" w:rsidRPr="00771E6E" w:rsidRDefault="008A116C" w:rsidP="008A116C">
      <w:pPr>
        <w:ind w:firstLine="720"/>
      </w:pPr>
      <w:r w:rsidRPr="00771E6E">
        <w:t>Angelic music, however, presented a problem, as it was considered to be inaudible or un-intelligible by humans.</w:t>
      </w:r>
      <w:r w:rsidRPr="00771E6E">
        <w:rPr>
          <w:rStyle w:val="FootnoteReference"/>
        </w:rPr>
        <w:footnoteReference w:id="361"/>
      </w:r>
      <w:r w:rsidRPr="00771E6E">
        <w:t xml:space="preserve"> Nevertheless, by the late Middle Ages, it was customary to </w:t>
      </w:r>
      <w:r w:rsidRPr="00771E6E">
        <w:lastRenderedPageBreak/>
        <w:t>hear angelic hymns sung by human voices, especially in the case of ecclesiastical or monastic environments, in the liturgy of the Mass and of the Hours.</w:t>
      </w:r>
      <w:r w:rsidRPr="00771E6E">
        <w:rPr>
          <w:rStyle w:val="FootnoteReference"/>
        </w:rPr>
        <w:footnoteReference w:id="362"/>
      </w:r>
      <w:r w:rsidRPr="00771E6E">
        <w:t xml:space="preserve"> Oliver Huck has described the function of perceptible liturgical music as a “sign”, a manifestation, of the inaudible celestial music.</w:t>
      </w:r>
      <w:r w:rsidRPr="00771E6E">
        <w:rPr>
          <w:rStyle w:val="FootnoteReference"/>
        </w:rPr>
        <w:footnoteReference w:id="363"/>
      </w:r>
      <w:r w:rsidRPr="00771E6E">
        <w:t xml:space="preserve"> The topic of the relationship between celestial and terrestrial music and the ways in which clergymen emulated musical angels will be explored in the following section.</w:t>
      </w:r>
    </w:p>
    <w:p w14:paraId="0A7A53E5" w14:textId="77777777" w:rsidR="008A116C" w:rsidRPr="00771E6E" w:rsidRDefault="008A116C" w:rsidP="008A116C"/>
    <w:p w14:paraId="11F12108" w14:textId="77777777" w:rsidR="008A116C" w:rsidRPr="00771E6E" w:rsidRDefault="008A116C" w:rsidP="008A116C"/>
    <w:p w14:paraId="6A8CE328" w14:textId="77777777" w:rsidR="008A116C" w:rsidRPr="00771E6E" w:rsidRDefault="008A116C" w:rsidP="008A116C">
      <w:pPr>
        <w:pStyle w:val="Subchapter"/>
      </w:pPr>
      <w:bookmarkStart w:id="43" w:name="_Toc3323225"/>
      <w:bookmarkStart w:id="44" w:name="_Toc20167602"/>
      <w:r w:rsidRPr="00771E6E">
        <w:t>2.3 Emulating Angels</w:t>
      </w:r>
      <w:bookmarkEnd w:id="43"/>
      <w:bookmarkEnd w:id="44"/>
    </w:p>
    <w:p w14:paraId="39F358A9" w14:textId="77777777" w:rsidR="008A116C" w:rsidRPr="00771E6E" w:rsidRDefault="008A116C" w:rsidP="008A116C"/>
    <w:p w14:paraId="479D3126" w14:textId="77777777" w:rsidR="008A116C" w:rsidRPr="00771E6E" w:rsidRDefault="008A116C" w:rsidP="008A116C">
      <w:pPr>
        <w:rPr>
          <w:color w:val="000000"/>
        </w:rPr>
      </w:pPr>
      <w:r w:rsidRPr="00771E6E">
        <w:t xml:space="preserve">The recurring presence of angels in artistic creations can be interpreted as the product of the close relationship and identification between human beings and angels. In the Christian tradition, angels fulfil multiple different functions. </w:t>
      </w:r>
      <w:r w:rsidRPr="00771E6E">
        <w:rPr>
          <w:color w:val="000000"/>
        </w:rPr>
        <w:t>Both the Old and the New Testament present them in the act of praising the Lord, thus defining this as their primary function.</w:t>
      </w:r>
      <w:r w:rsidRPr="00771E6E">
        <w:rPr>
          <w:rStyle w:val="FootnoteReference"/>
        </w:rPr>
        <w:footnoteReference w:id="364"/>
      </w:r>
      <w:r w:rsidRPr="00771E6E">
        <w:rPr>
          <w:rStyle w:val="FootnoteReference"/>
        </w:rPr>
        <w:t xml:space="preserve"> </w:t>
      </w:r>
      <w:r w:rsidRPr="00771E6E">
        <w:rPr>
          <w:color w:val="000000"/>
        </w:rPr>
        <w:t>Aside from this, they are described in the Bible as messengers: in the New Testament especially the highest importance is given to the Archangel Gabriel, who bore news of a celestial birth to the Virgin Mary.</w:t>
      </w:r>
      <w:r w:rsidRPr="00771E6E">
        <w:rPr>
          <w:rStyle w:val="FootnoteReference"/>
        </w:rPr>
        <w:footnoteReference w:id="365"/>
      </w:r>
      <w:r w:rsidRPr="00771E6E">
        <w:rPr>
          <w:rStyle w:val="FootnoteReference"/>
        </w:rPr>
        <w:t xml:space="preserve"> </w:t>
      </w:r>
      <w:r w:rsidRPr="00771E6E">
        <w:rPr>
          <w:color w:val="000000"/>
        </w:rPr>
        <w:t>As messengers, angels carried out a ministry that was similar to that performed by the religious orders.</w:t>
      </w:r>
    </w:p>
    <w:p w14:paraId="74734BE7" w14:textId="77777777" w:rsidR="008A116C" w:rsidRPr="00771E6E" w:rsidRDefault="008A116C" w:rsidP="008A116C">
      <w:pPr>
        <w:ind w:firstLine="720"/>
      </w:pPr>
      <w:r w:rsidRPr="00771E6E">
        <w:rPr>
          <w:color w:val="000000"/>
        </w:rPr>
        <w:t>Monks, priests, bishops and other members of the clergy modelled themselves upon angels, establishing a parallel between the earthly and the celestial hierarchies.</w:t>
      </w:r>
      <w:r w:rsidRPr="00771E6E">
        <w:rPr>
          <w:rStyle w:val="FootnoteReference"/>
        </w:rPr>
        <w:footnoteReference w:id="366"/>
      </w:r>
      <w:r w:rsidRPr="00771E6E">
        <w:rPr>
          <w:color w:val="000000"/>
        </w:rPr>
        <w:t xml:space="preserve"> </w:t>
      </w:r>
      <w:r w:rsidRPr="00771E6E">
        <w:t>For monks, angels represented a model for their vows of obedience and chastity, and it is known that Franciscan monks in particular referred to themselves as angels.</w:t>
      </w:r>
      <w:r w:rsidRPr="00771E6E">
        <w:rPr>
          <w:rStyle w:val="FootnoteReference"/>
        </w:rPr>
        <w:footnoteReference w:id="367"/>
      </w:r>
      <w:r w:rsidRPr="00771E6E">
        <w:t xml:space="preserve"> The similarity of monks to angels is mentioned by the French abbot Bernard of Clairvaux, while Bonaventure, in his </w:t>
      </w:r>
      <w:proofErr w:type="spellStart"/>
      <w:r w:rsidRPr="00771E6E">
        <w:rPr>
          <w:i/>
        </w:rPr>
        <w:t>Sermones</w:t>
      </w:r>
      <w:proofErr w:type="spellEnd"/>
      <w:r w:rsidRPr="00771E6E">
        <w:rPr>
          <w:i/>
        </w:rPr>
        <w:t xml:space="preserve"> de </w:t>
      </w:r>
      <w:proofErr w:type="spellStart"/>
      <w:r w:rsidRPr="00771E6E">
        <w:rPr>
          <w:i/>
        </w:rPr>
        <w:t>Sanctis</w:t>
      </w:r>
      <w:proofErr w:type="spellEnd"/>
      <w:r w:rsidRPr="00771E6E">
        <w:rPr>
          <w:i/>
        </w:rPr>
        <w:t xml:space="preserve"> Angelis</w:t>
      </w:r>
      <w:r w:rsidRPr="00771E6E">
        <w:t xml:space="preserve"> (Sermons on the Holy Angels),</w:t>
      </w:r>
      <w:r w:rsidRPr="00771E6E">
        <w:rPr>
          <w:i/>
        </w:rPr>
        <w:t xml:space="preserve"> </w:t>
      </w:r>
      <w:r w:rsidRPr="00771E6E">
        <w:t>states that the celestial hierarchy is a model for the earthly Church.</w:t>
      </w:r>
      <w:r w:rsidRPr="00771E6E">
        <w:rPr>
          <w:rStyle w:val="FootnoteReference"/>
        </w:rPr>
        <w:footnoteReference w:id="368"/>
      </w:r>
      <w:r w:rsidRPr="00771E6E">
        <w:t xml:space="preserve"> Saint Francis is presented as an angel in Bonaventure’s </w:t>
      </w:r>
      <w:proofErr w:type="spellStart"/>
      <w:r w:rsidRPr="00771E6E">
        <w:rPr>
          <w:i/>
        </w:rPr>
        <w:t>Legenda</w:t>
      </w:r>
      <w:proofErr w:type="spellEnd"/>
      <w:r w:rsidRPr="00771E6E">
        <w:rPr>
          <w:i/>
        </w:rPr>
        <w:t xml:space="preserve"> </w:t>
      </w:r>
      <w:proofErr w:type="spellStart"/>
      <w:r w:rsidRPr="00771E6E">
        <w:rPr>
          <w:i/>
        </w:rPr>
        <w:t>Maior</w:t>
      </w:r>
      <w:proofErr w:type="spellEnd"/>
      <w:r w:rsidRPr="00771E6E">
        <w:t xml:space="preserve"> (Major Legend), the biography of the Saint. This association also appears in a passage of the </w:t>
      </w:r>
      <w:proofErr w:type="spellStart"/>
      <w:r w:rsidRPr="00771E6E">
        <w:rPr>
          <w:i/>
        </w:rPr>
        <w:t>Fioretti</w:t>
      </w:r>
      <w:proofErr w:type="spellEnd"/>
      <w:r w:rsidRPr="00771E6E">
        <w:rPr>
          <w:i/>
        </w:rPr>
        <w:t xml:space="preserve"> di San Francesco </w:t>
      </w:r>
      <w:r w:rsidRPr="00771E6E">
        <w:t xml:space="preserve">(Little Flowers of Saint Francis), an anonymous text written at the end of the fourteenth </w:t>
      </w:r>
      <w:r w:rsidRPr="00771E6E">
        <w:lastRenderedPageBreak/>
        <w:t xml:space="preserve">century, in which brother </w:t>
      </w:r>
      <w:proofErr w:type="spellStart"/>
      <w:r w:rsidRPr="00771E6E">
        <w:t>Masseo</w:t>
      </w:r>
      <w:proofErr w:type="spellEnd"/>
      <w:r w:rsidRPr="00771E6E">
        <w:t>, intervening to divert his companion brother Ruffino from the influence of the devil, exhorts him to go and see Saint Francis: “Oh brother Ruffino, don’t you know that brother Francis is like an angel of God, who has enlightened many souls in the world, and from whom we received the grace of God”.</w:t>
      </w:r>
      <w:r w:rsidRPr="00771E6E">
        <w:rPr>
          <w:rStyle w:val="FootnoteReference"/>
        </w:rPr>
        <w:footnoteReference w:id="369"/>
      </w:r>
      <w:r w:rsidRPr="00771E6E">
        <w:t xml:space="preserve"> It is probably </w:t>
      </w:r>
      <w:r w:rsidRPr="00771E6E">
        <w:rPr>
          <w:color w:val="000000"/>
        </w:rPr>
        <w:t xml:space="preserve">for this reason that angels were sometimes represented wearing </w:t>
      </w:r>
      <w:proofErr w:type="spellStart"/>
      <w:r w:rsidRPr="00771E6E">
        <w:rPr>
          <w:color w:val="000000"/>
        </w:rPr>
        <w:t>recognisable</w:t>
      </w:r>
      <w:proofErr w:type="spellEnd"/>
      <w:r w:rsidRPr="00771E6E">
        <w:rPr>
          <w:color w:val="000000"/>
        </w:rPr>
        <w:t xml:space="preserve"> clerical clothing in fifteenth-century paintings, so that viewers may associate them with the earthly messengers with whom they would have been familiar.</w:t>
      </w:r>
      <w:r w:rsidRPr="00771E6E">
        <w:rPr>
          <w:rStyle w:val="FootnoteReference"/>
        </w:rPr>
        <w:footnoteReference w:id="370"/>
      </w:r>
      <w:r w:rsidRPr="00771E6E">
        <w:rPr>
          <w:color w:val="000000"/>
        </w:rPr>
        <w:t xml:space="preserve"> Examples can be observed in the works of Fra Angelico, himself a Dominican friar whose epithet c</w:t>
      </w:r>
      <w:r w:rsidRPr="00771E6E">
        <w:t>arries angelic connotations</w:t>
      </w:r>
      <w:r w:rsidRPr="00771E6E">
        <w:rPr>
          <w:color w:val="000000"/>
        </w:rPr>
        <w:t xml:space="preserve">, such as in his </w:t>
      </w:r>
      <w:r w:rsidRPr="00771E6E">
        <w:rPr>
          <w:i/>
          <w:color w:val="000000"/>
        </w:rPr>
        <w:t xml:space="preserve">Resurrection </w:t>
      </w:r>
      <w:r w:rsidRPr="00771E6E">
        <w:rPr>
          <w:color w:val="000000"/>
        </w:rPr>
        <w:t xml:space="preserve">(fig. 2.15), as well as in </w:t>
      </w:r>
      <w:r w:rsidRPr="00771E6E">
        <w:rPr>
          <w:rFonts w:asciiTheme="majorBidi" w:hAnsiTheme="majorBidi" w:cstheme="majorBidi"/>
          <w:noProof/>
        </w:rPr>
        <w:t>the Magi Chapel frescoes by Benozzo Gozzoli (fig. 4.17), in which one of the angels on the east wall wears an ecclesiastical cloak with the diaconal stole across his tunic.</w:t>
      </w:r>
      <w:r w:rsidRPr="00771E6E">
        <w:rPr>
          <w:rStyle w:val="FootnoteReference"/>
        </w:rPr>
        <w:footnoteReference w:id="371"/>
      </w:r>
      <w:r w:rsidRPr="00771E6E">
        <w:rPr>
          <w:rFonts w:asciiTheme="majorBidi" w:hAnsiTheme="majorBidi" w:cstheme="majorBidi"/>
          <w:noProof/>
        </w:rPr>
        <w:t xml:space="preserve"> </w:t>
      </w:r>
      <w:r w:rsidRPr="00771E6E">
        <w:rPr>
          <w:color w:val="000000"/>
        </w:rPr>
        <w:t xml:space="preserve">The special relationship between clergymen and angels is also visible in Fra Angelico’s </w:t>
      </w:r>
      <w:r w:rsidRPr="00771E6E">
        <w:rPr>
          <w:i/>
          <w:iCs/>
          <w:color w:val="000000"/>
        </w:rPr>
        <w:t>Last Judgement</w:t>
      </w:r>
      <w:r w:rsidRPr="00771E6E">
        <w:rPr>
          <w:color w:val="000000"/>
        </w:rPr>
        <w:t>, in which they join together in dancing and embrace each other in celebration (fig. 2.16).</w:t>
      </w:r>
    </w:p>
    <w:p w14:paraId="0633D99A" w14:textId="77777777" w:rsidR="008A116C" w:rsidRPr="00771E6E" w:rsidRDefault="008A116C" w:rsidP="008A116C">
      <w:pPr>
        <w:ind w:firstLine="720"/>
        <w:rPr>
          <w:noProof/>
        </w:rPr>
      </w:pPr>
      <w:r w:rsidRPr="00771E6E">
        <w:rPr>
          <w:color w:val="000000"/>
        </w:rPr>
        <w:t xml:space="preserve">In addition, since the early Middle Ages, a link had been established between </w:t>
      </w:r>
      <w:r w:rsidRPr="00771E6E">
        <w:t xml:space="preserve">the music of the angels and the music performed in church, </w:t>
      </w:r>
      <w:r w:rsidRPr="00771E6E">
        <w:rPr>
          <w:noProof/>
        </w:rPr>
        <w:t xml:space="preserve">making music the common denominator of earthly and celestial devotion, and </w:t>
      </w:r>
      <w:r w:rsidRPr="00771E6E">
        <w:rPr>
          <w:noProof/>
          <w:color w:val="000000" w:themeColor="text1"/>
        </w:rPr>
        <w:t xml:space="preserve">it is to this metaphysical unity of celestial and human beings that the </w:t>
      </w:r>
      <w:r w:rsidRPr="00771E6E">
        <w:rPr>
          <w:color w:val="000000" w:themeColor="text1"/>
        </w:rPr>
        <w:t xml:space="preserve">singing of angelic hymns such as the </w:t>
      </w:r>
      <w:r w:rsidRPr="00771E6E">
        <w:rPr>
          <w:i/>
          <w:color w:val="000000" w:themeColor="text1"/>
        </w:rPr>
        <w:t>Gloria</w:t>
      </w:r>
      <w:r w:rsidRPr="00771E6E">
        <w:rPr>
          <w:color w:val="000000" w:themeColor="text1"/>
        </w:rPr>
        <w:t xml:space="preserve"> and the </w:t>
      </w:r>
      <w:r w:rsidRPr="00771E6E">
        <w:rPr>
          <w:i/>
          <w:color w:val="000000" w:themeColor="text1"/>
        </w:rPr>
        <w:t>Sanctus</w:t>
      </w:r>
      <w:r w:rsidRPr="00771E6E">
        <w:rPr>
          <w:color w:val="000000" w:themeColor="text1"/>
        </w:rPr>
        <w:t xml:space="preserve"> during liturgy relates.</w:t>
      </w:r>
      <w:r w:rsidRPr="00771E6E">
        <w:rPr>
          <w:rStyle w:val="FootnoteReference"/>
        </w:rPr>
        <w:footnoteReference w:id="372"/>
      </w:r>
      <w:r w:rsidRPr="00771E6E">
        <w:t xml:space="preserve"> </w:t>
      </w:r>
      <w:r w:rsidRPr="00771E6E">
        <w:rPr>
          <w:noProof/>
        </w:rPr>
        <w:t xml:space="preserve">The unity of earthly and celestial music had already been mentioned by the Church Father Saint John Chrysostom (349-407) in one of his homilies, </w:t>
      </w:r>
      <w:r w:rsidRPr="00771E6E">
        <w:t xml:space="preserve">in which he describes how the Church Militant and the Church Triumphant </w:t>
      </w:r>
      <w:r w:rsidRPr="00771E6E">
        <w:rPr>
          <w:noProof/>
        </w:rPr>
        <w:t xml:space="preserve">sing the same invocations and become, in this way, a single assembly: </w:t>
      </w:r>
      <w:r w:rsidRPr="00771E6E">
        <w:rPr>
          <w:noProof/>
          <w:shd w:val="clear" w:color="auto" w:fill="FFFFFF" w:themeFill="background1"/>
        </w:rPr>
        <w:t>“Have you not recognised this voice? Is it ours or the Seraphim’s? Both ours and that of the Seraphim’s, because of Christ, who has destroyed the dividing wall, and has pacified all that is in heaven and on earth.”</w:t>
      </w:r>
      <w:r w:rsidRPr="00771E6E">
        <w:rPr>
          <w:rStyle w:val="FootnoteReference"/>
        </w:rPr>
        <w:footnoteReference w:id="373"/>
      </w:r>
      <w:r w:rsidRPr="00771E6E">
        <w:rPr>
          <w:noProof/>
        </w:rPr>
        <w:t xml:space="preserve"> The author proposed this idea that angelic and earthly choirs sing as one on </w:t>
      </w:r>
      <w:r w:rsidRPr="00771E6E">
        <w:rPr>
          <w:noProof/>
        </w:rPr>
        <w:lastRenderedPageBreak/>
        <w:t>multiple occasions. In one of his homilies on the Gospel of Matthew, he states that in the church human beings join the angelic choirs and he encourages the former to imitate the latter:</w:t>
      </w:r>
    </w:p>
    <w:p w14:paraId="0E2FA604" w14:textId="77777777" w:rsidR="008A116C" w:rsidRPr="00771E6E" w:rsidRDefault="008A116C" w:rsidP="008A116C">
      <w:pPr>
        <w:pStyle w:val="NormalWeb"/>
        <w:spacing w:before="0" w:beforeAutospacing="0" w:after="0" w:afterAutospacing="0"/>
        <w:ind w:left="720"/>
        <w:rPr>
          <w:noProof/>
        </w:rPr>
      </w:pPr>
    </w:p>
    <w:p w14:paraId="55009C5A" w14:textId="77777777" w:rsidR="008A116C" w:rsidRPr="00771E6E" w:rsidRDefault="008A116C" w:rsidP="008A116C">
      <w:pPr>
        <w:pStyle w:val="IntenseQuote"/>
        <w:rPr>
          <w:noProof/>
        </w:rPr>
      </w:pPr>
      <w:r w:rsidRPr="00771E6E">
        <w:rPr>
          <w:noProof/>
        </w:rPr>
        <w:t>Do thou also therefore, entering as into a palace – not that on the earth, but what is far more awful than it, that which is in heaven – show forth great seemliness. Yea, for thou art joined to the choirs of angels, and art in communion with archangels, and art singing with the seraphim …With these then mingle thyself, when thou art praying, and emulate their mystical order.</w:t>
      </w:r>
      <w:r w:rsidRPr="00771E6E">
        <w:rPr>
          <w:rStyle w:val="FootnoteReference"/>
        </w:rPr>
        <w:footnoteReference w:id="374"/>
      </w:r>
      <w:r w:rsidRPr="00771E6E">
        <w:rPr>
          <w:rStyle w:val="CommentReference"/>
        </w:rPr>
        <w:t xml:space="preserve"> </w:t>
      </w:r>
    </w:p>
    <w:p w14:paraId="137B0BAE" w14:textId="77777777" w:rsidR="008A116C" w:rsidRPr="00771E6E" w:rsidRDefault="008A116C" w:rsidP="008A116C">
      <w:pPr>
        <w:pStyle w:val="NormalWeb"/>
        <w:rPr>
          <w:noProof/>
        </w:rPr>
      </w:pPr>
      <w:r w:rsidRPr="00771E6E">
        <w:rPr>
          <w:noProof/>
        </w:rPr>
        <w:t xml:space="preserve">Similarly, he equates the earthly singing of hymns to the angelic praise in one of his homilies on Saint Paul’s epistle to the Hebrews: </w:t>
      </w:r>
    </w:p>
    <w:p w14:paraId="727BC3A9" w14:textId="77777777" w:rsidR="008A116C" w:rsidRPr="00771E6E" w:rsidRDefault="008A116C" w:rsidP="008A116C">
      <w:pPr>
        <w:pStyle w:val="IntenseQuote"/>
        <w:rPr>
          <w:rStyle w:val="CommentReference"/>
        </w:rPr>
      </w:pPr>
      <w:r w:rsidRPr="00771E6E">
        <w:rPr>
          <w:noProof/>
        </w:rPr>
        <w:t>Are not our Hymns heavenly? Do not we also who are below utter in concert with them the same things which the divine choirs of bodiless powers sing above? Is not the altar also heavenly? How? It hath nothing carnal, all spiritual things become the offerings … How again can the rites which we celebrate be other than heavenly?</w:t>
      </w:r>
      <w:r w:rsidRPr="00771E6E">
        <w:rPr>
          <w:rStyle w:val="FootnoteReference"/>
        </w:rPr>
        <w:footnoteReference w:id="375"/>
      </w:r>
      <w:r w:rsidRPr="00771E6E">
        <w:rPr>
          <w:rStyle w:val="CommentReference"/>
        </w:rPr>
        <w:t xml:space="preserve"> </w:t>
      </w:r>
    </w:p>
    <w:p w14:paraId="110E261B" w14:textId="77777777" w:rsidR="008A116C" w:rsidRPr="00771E6E" w:rsidRDefault="008A116C" w:rsidP="008A116C"/>
    <w:p w14:paraId="66D88916" w14:textId="77777777" w:rsidR="008A116C" w:rsidRPr="00771E6E" w:rsidRDefault="008A116C" w:rsidP="008A116C">
      <w:pPr>
        <w:rPr>
          <w:noProof/>
        </w:rPr>
      </w:pPr>
      <w:r w:rsidRPr="00771E6E">
        <w:rPr>
          <w:noProof/>
        </w:rPr>
        <w:t xml:space="preserve">Along the same lines, corresponding ideas are expressed in the sixth century by Saint Gregory the Great in his </w:t>
      </w:r>
      <w:r w:rsidRPr="00771E6E">
        <w:rPr>
          <w:i/>
          <w:noProof/>
        </w:rPr>
        <w:t>Dialogorum libri quattuor</w:t>
      </w:r>
      <w:r w:rsidRPr="00771E6E">
        <w:rPr>
          <w:noProof/>
        </w:rPr>
        <w:t xml:space="preserve"> (Dialogues in Four Books): </w:t>
      </w:r>
    </w:p>
    <w:p w14:paraId="1C100270" w14:textId="77777777" w:rsidR="008A116C" w:rsidRPr="00771E6E" w:rsidRDefault="008A116C" w:rsidP="008A116C">
      <w:pPr>
        <w:rPr>
          <w:noProof/>
        </w:rPr>
      </w:pPr>
    </w:p>
    <w:p w14:paraId="2D3A3651" w14:textId="77777777" w:rsidR="008A116C" w:rsidRPr="00771E6E" w:rsidRDefault="008A116C" w:rsidP="008A116C">
      <w:pPr>
        <w:pStyle w:val="IntenseQuote"/>
        <w:rPr>
          <w:noProof/>
        </w:rPr>
      </w:pPr>
      <w:r w:rsidRPr="00771E6E">
        <w:rPr>
          <w:noProof/>
          <w:shd w:val="clear" w:color="auto" w:fill="FFFFFF" w:themeFill="background1"/>
        </w:rPr>
        <w:t>Who among the faithful could doubt that at the very hour of the sacrifice the heavens are opened at the voice of the priest, that in this mystery of Jesus Christ the choirs of angels are present, the highest unites with the lowest, the terrestrial joins the celestial, and the visible and the invisible become one</w:t>
      </w:r>
      <w:r w:rsidRPr="00771E6E">
        <w:rPr>
          <w:noProof/>
        </w:rPr>
        <w:t>?</w:t>
      </w:r>
      <w:r w:rsidRPr="00771E6E">
        <w:rPr>
          <w:rStyle w:val="FootnoteReference"/>
          <w:noProof/>
        </w:rPr>
        <w:t xml:space="preserve"> </w:t>
      </w:r>
      <w:r w:rsidRPr="00771E6E">
        <w:rPr>
          <w:rStyle w:val="FootnoteReference"/>
        </w:rPr>
        <w:footnoteReference w:id="376"/>
      </w:r>
    </w:p>
    <w:p w14:paraId="2D427AAC" w14:textId="77777777" w:rsidR="008A116C" w:rsidRPr="00771E6E" w:rsidRDefault="008A116C" w:rsidP="008A116C">
      <w:pPr>
        <w:ind w:left="720"/>
        <w:rPr>
          <w:noProof/>
        </w:rPr>
      </w:pPr>
    </w:p>
    <w:p w14:paraId="6A68E9A1" w14:textId="77777777" w:rsidR="008A116C" w:rsidRPr="00771E6E" w:rsidRDefault="008A116C" w:rsidP="008A116C">
      <w:pPr>
        <w:pStyle w:val="NormalWeb"/>
        <w:spacing w:before="0" w:beforeAutospacing="0" w:after="0" w:afterAutospacing="0"/>
        <w:rPr>
          <w:noProof/>
        </w:rPr>
      </w:pPr>
      <w:r w:rsidRPr="00771E6E">
        <w:rPr>
          <w:noProof/>
        </w:rPr>
        <w:t xml:space="preserve">The </w:t>
      </w:r>
      <w:r w:rsidRPr="00771E6E">
        <w:t xml:space="preserve">French theologian </w:t>
      </w:r>
      <w:proofErr w:type="spellStart"/>
      <w:r w:rsidRPr="00771E6E">
        <w:t>Johannis</w:t>
      </w:r>
      <w:proofErr w:type="spellEnd"/>
      <w:r w:rsidRPr="00771E6E">
        <w:t xml:space="preserve"> </w:t>
      </w:r>
      <w:proofErr w:type="spellStart"/>
      <w:r w:rsidRPr="00771E6E">
        <w:t>Beleth</w:t>
      </w:r>
      <w:proofErr w:type="spellEnd"/>
      <w:r w:rsidRPr="00771E6E">
        <w:t xml:space="preserve"> also affirmed similar ideas in his </w:t>
      </w:r>
      <w:r w:rsidRPr="00771E6E">
        <w:rPr>
          <w:i/>
        </w:rPr>
        <w:t xml:space="preserve">Summa de </w:t>
      </w:r>
      <w:proofErr w:type="spellStart"/>
      <w:r w:rsidRPr="00771E6E">
        <w:rPr>
          <w:i/>
        </w:rPr>
        <w:t>ecclesiasticis</w:t>
      </w:r>
      <w:proofErr w:type="spellEnd"/>
      <w:r w:rsidRPr="00771E6E">
        <w:rPr>
          <w:i/>
        </w:rPr>
        <w:t xml:space="preserve"> </w:t>
      </w:r>
      <w:proofErr w:type="spellStart"/>
      <w:r w:rsidRPr="00771E6E">
        <w:rPr>
          <w:i/>
        </w:rPr>
        <w:t>officiis</w:t>
      </w:r>
      <w:proofErr w:type="spellEnd"/>
      <w:r w:rsidRPr="00771E6E">
        <w:t xml:space="preserve"> (Compendium of the Ecclesiastical Offices, 1160-1164): “we sing the songs of the angels, because we do not doubt that through them those on earth are united </w:t>
      </w:r>
      <w:r w:rsidRPr="00771E6E">
        <w:lastRenderedPageBreak/>
        <w:t>with those in heaven,”</w:t>
      </w:r>
      <w:r w:rsidRPr="00771E6E">
        <w:rPr>
          <w:rStyle w:val="FootnoteReference"/>
        </w:rPr>
        <w:footnoteReference w:id="377"/>
      </w:r>
      <w:r w:rsidRPr="00771E6E">
        <w:t xml:space="preserve"> while Guillaume Durand, in his </w:t>
      </w:r>
      <w:r w:rsidRPr="00771E6E">
        <w:rPr>
          <w:rFonts w:asciiTheme="majorBidi" w:hAnsiTheme="majorBidi" w:cstheme="majorBidi"/>
          <w:i/>
          <w:noProof/>
        </w:rPr>
        <w:t xml:space="preserve">Rationale divinorum officiorum </w:t>
      </w:r>
      <w:r w:rsidRPr="00771E6E">
        <w:rPr>
          <w:rFonts w:asciiTheme="majorBidi" w:hAnsiTheme="majorBidi" w:cstheme="majorBidi"/>
          <w:noProof/>
        </w:rPr>
        <w:t>(Rationale for the Divine Offices)</w:t>
      </w:r>
      <w:r w:rsidRPr="00771E6E">
        <w:rPr>
          <w:rFonts w:asciiTheme="majorBidi" w:hAnsiTheme="majorBidi" w:cstheme="majorBidi"/>
          <w:i/>
          <w:noProof/>
        </w:rPr>
        <w:t xml:space="preserve"> </w:t>
      </w:r>
      <w:r w:rsidRPr="00771E6E">
        <w:rPr>
          <w:rFonts w:asciiTheme="majorBidi" w:hAnsiTheme="majorBidi" w:cstheme="majorBidi"/>
          <w:noProof/>
        </w:rPr>
        <w:t xml:space="preserve">of ca. 1280, even states that </w:t>
      </w:r>
      <w:r w:rsidRPr="00771E6E">
        <w:rPr>
          <w:noProof/>
        </w:rPr>
        <w:t>“</w:t>
      </w:r>
      <w:r w:rsidRPr="00771E6E">
        <w:rPr>
          <w:noProof/>
          <w:shd w:val="clear" w:color="auto" w:fill="FFFFFF" w:themeFill="background1"/>
        </w:rPr>
        <w:t>the chanters or clerics in their white robes are rejoicing. They are angels, who received with glory and with the highest praises the ascending Christ”</w:t>
      </w:r>
      <w:r w:rsidRPr="00771E6E">
        <w:rPr>
          <w:rFonts w:asciiTheme="majorBidi" w:hAnsiTheme="majorBidi" w:cstheme="majorBidi"/>
          <w:noProof/>
        </w:rPr>
        <w:t>.</w:t>
      </w:r>
      <w:r w:rsidRPr="00771E6E">
        <w:rPr>
          <w:rStyle w:val="FootnoteReference"/>
        </w:rPr>
        <w:footnoteReference w:id="378"/>
      </w:r>
      <w:r w:rsidRPr="00771E6E">
        <w:t xml:space="preserve"> Humans and angels jointly singing God’s praises is also mentioned by Bonaventure in the mid-thirteenth century, in one of his sermons for the feast of Saint Michael.</w:t>
      </w:r>
      <w:r w:rsidRPr="00771E6E">
        <w:rPr>
          <w:rStyle w:val="FootnoteReference"/>
        </w:rPr>
        <w:footnoteReference w:id="379"/>
      </w:r>
      <w:r w:rsidRPr="00771E6E">
        <w:t xml:space="preserve"> This idea had existed for over a thousand years when Tinctoris succinctly listed it in his treatise on the effects of music, stating that “</w:t>
      </w:r>
      <w:r w:rsidRPr="00771E6E">
        <w:rPr>
          <w:noProof/>
        </w:rPr>
        <w:t>music makes the Church Militant like the Church Triumphant”.</w:t>
      </w:r>
      <w:r w:rsidRPr="00771E6E">
        <w:rPr>
          <w:rStyle w:val="FootnoteReference"/>
        </w:rPr>
        <w:footnoteReference w:id="380"/>
      </w:r>
      <w:r w:rsidRPr="00771E6E">
        <w:rPr>
          <w:noProof/>
        </w:rPr>
        <w:t xml:space="preserve"> The dissemination of the belief that performing music in church was connected to the celestial music produced by the angels was also likely to have been enhanced by the </w:t>
      </w:r>
      <w:r w:rsidRPr="00771E6E">
        <w:t xml:space="preserve">substantial print transmission that both Durand’s </w:t>
      </w:r>
      <w:r w:rsidRPr="00771E6E">
        <w:rPr>
          <w:i/>
        </w:rPr>
        <w:t>Rationale</w:t>
      </w:r>
      <w:r w:rsidRPr="00771E6E">
        <w:t xml:space="preserve"> and Gregory the Great’s </w:t>
      </w:r>
      <w:proofErr w:type="spellStart"/>
      <w:r w:rsidRPr="00771E6E">
        <w:rPr>
          <w:i/>
        </w:rPr>
        <w:t>Dialogorum</w:t>
      </w:r>
      <w:proofErr w:type="spellEnd"/>
      <w:r w:rsidRPr="00771E6E">
        <w:rPr>
          <w:noProof/>
        </w:rPr>
        <w:t xml:space="preserve"> </w:t>
      </w:r>
      <w:r w:rsidRPr="00771E6E">
        <w:t xml:space="preserve">enjoyed in Italy from the 1470s, </w:t>
      </w:r>
      <w:r w:rsidRPr="00771E6E">
        <w:rPr>
          <w:noProof/>
        </w:rPr>
        <w:t>around the same time that Tinctoris’ treatise was written. A large body of evidence demonstrates the impact that this would have had on the devotional experience. Jacobus de Voragine gives several examples of the interaction between the celestial and the terrestial realms. In the life of Saint Thomas of Canterbury the author reports that, after Saint Thomas died as a martyr:</w:t>
      </w:r>
    </w:p>
    <w:p w14:paraId="55D7BAD3" w14:textId="77777777" w:rsidR="008A116C" w:rsidRPr="00771E6E" w:rsidRDefault="008A116C" w:rsidP="008A116C">
      <w:pPr>
        <w:pStyle w:val="NormalWeb"/>
        <w:spacing w:before="0" w:beforeAutospacing="0" w:after="0" w:afterAutospacing="0"/>
        <w:ind w:firstLine="720"/>
        <w:rPr>
          <w:noProof/>
        </w:rPr>
      </w:pPr>
    </w:p>
    <w:p w14:paraId="50271BB9" w14:textId="77777777" w:rsidR="008A116C" w:rsidRPr="00771E6E" w:rsidRDefault="008A116C" w:rsidP="008A116C">
      <w:pPr>
        <w:pStyle w:val="IntenseQuote"/>
        <w:rPr>
          <w:noProof/>
        </w:rPr>
      </w:pPr>
      <w:r w:rsidRPr="00771E6E">
        <w:rPr>
          <w:noProof/>
        </w:rPr>
        <w:t xml:space="preserve">It is said that at the moment when the clergy were about to intone the </w:t>
      </w:r>
      <w:r w:rsidRPr="00771E6E">
        <w:rPr>
          <w:i/>
          <w:noProof/>
        </w:rPr>
        <w:t>Requiem aeternam</w:t>
      </w:r>
      <w:r w:rsidRPr="00771E6E">
        <w:rPr>
          <w:noProof/>
        </w:rPr>
        <w:t xml:space="preserve">, the mass of the dead, choirs of angels came and interrupted the singers, and began to chant the mass of the martyrs, </w:t>
      </w:r>
      <w:r w:rsidRPr="00771E6E">
        <w:rPr>
          <w:i/>
          <w:noProof/>
        </w:rPr>
        <w:t>Laetabitur Justus in Domino</w:t>
      </w:r>
      <w:r w:rsidRPr="00771E6E">
        <w:rPr>
          <w:noProof/>
        </w:rPr>
        <w:t>, with the clergy joining in … a chant of sorrow turning into a canticle of praise, and what had begun as prayers for the dead becoming hymns of praise for him who died as a martyr.</w:t>
      </w:r>
      <w:r w:rsidRPr="00771E6E">
        <w:rPr>
          <w:rStyle w:val="FootnoteReference"/>
        </w:rPr>
        <w:footnoteReference w:id="381"/>
      </w:r>
    </w:p>
    <w:p w14:paraId="075F77B4" w14:textId="77777777" w:rsidR="008A116C" w:rsidRPr="00771E6E" w:rsidRDefault="008A116C" w:rsidP="008A116C">
      <w:pPr>
        <w:pStyle w:val="NormalWeb"/>
        <w:spacing w:before="0" w:beforeAutospacing="0" w:after="0" w:afterAutospacing="0"/>
        <w:rPr>
          <w:noProof/>
        </w:rPr>
      </w:pPr>
    </w:p>
    <w:p w14:paraId="747FF2A7" w14:textId="77777777" w:rsidR="008A116C" w:rsidRPr="00771E6E" w:rsidRDefault="008A116C" w:rsidP="008A116C">
      <w:pPr>
        <w:pStyle w:val="NormalWeb"/>
        <w:spacing w:before="0" w:beforeAutospacing="0" w:after="0" w:afterAutospacing="0"/>
        <w:rPr>
          <w:noProof/>
        </w:rPr>
      </w:pPr>
      <w:r w:rsidRPr="00771E6E">
        <w:rPr>
          <w:noProof/>
        </w:rPr>
        <w:t>Meanwhile, in the life of Saint Gregory the Great, one can read that:</w:t>
      </w:r>
    </w:p>
    <w:p w14:paraId="6B8CEEB2" w14:textId="77777777" w:rsidR="008A116C" w:rsidRPr="00771E6E" w:rsidRDefault="008A116C" w:rsidP="008A116C">
      <w:pPr>
        <w:pStyle w:val="NormalWeb"/>
        <w:spacing w:before="0" w:beforeAutospacing="0" w:after="0" w:afterAutospacing="0"/>
        <w:ind w:firstLine="720"/>
        <w:rPr>
          <w:noProof/>
        </w:rPr>
      </w:pPr>
    </w:p>
    <w:p w14:paraId="18AE1096" w14:textId="77777777" w:rsidR="008A116C" w:rsidRPr="00771E6E" w:rsidRDefault="008A116C" w:rsidP="008A116C">
      <w:pPr>
        <w:pStyle w:val="IntenseQuote"/>
        <w:rPr>
          <w:noProof/>
        </w:rPr>
      </w:pPr>
      <w:r w:rsidRPr="00771E6E">
        <w:rPr>
          <w:noProof/>
        </w:rPr>
        <w:t xml:space="preserve">One Easter Sunday, when Gregory was celebrating the mass in the church of Saint Mary Major and pronounced the </w:t>
      </w:r>
      <w:r w:rsidRPr="00771E6E">
        <w:rPr>
          <w:i/>
          <w:noProof/>
        </w:rPr>
        <w:t>Pax Domini</w:t>
      </w:r>
      <w:r w:rsidRPr="00771E6E">
        <w:rPr>
          <w:noProof/>
        </w:rPr>
        <w:t xml:space="preserve">, an angel responded in a loud voice: </w:t>
      </w:r>
      <w:r w:rsidRPr="00771E6E">
        <w:rPr>
          <w:i/>
          <w:noProof/>
        </w:rPr>
        <w:t>Et cum spiritu tuo!</w:t>
      </w:r>
      <w:r w:rsidRPr="00771E6E">
        <w:rPr>
          <w:noProof/>
        </w:rPr>
        <w:t xml:space="preserve"> From then on the popes made that basilica a station, and in testimony to this miracle no response is made when the Pax Domini is sung there.</w:t>
      </w:r>
      <w:r w:rsidRPr="00771E6E">
        <w:rPr>
          <w:rStyle w:val="FootnoteReference"/>
        </w:rPr>
        <w:footnoteReference w:id="382"/>
      </w:r>
      <w:r w:rsidRPr="00771E6E">
        <w:rPr>
          <w:noProof/>
        </w:rPr>
        <w:t xml:space="preserve"> </w:t>
      </w:r>
    </w:p>
    <w:p w14:paraId="68BF0FF3" w14:textId="77777777" w:rsidR="008A116C" w:rsidRPr="00771E6E" w:rsidRDefault="008A116C" w:rsidP="008A116C">
      <w:pPr>
        <w:pStyle w:val="NormalWeb"/>
        <w:spacing w:before="0" w:beforeAutospacing="0" w:after="0" w:afterAutospacing="0"/>
        <w:rPr>
          <w:noProof/>
        </w:rPr>
      </w:pPr>
    </w:p>
    <w:p w14:paraId="04D3C5BB" w14:textId="77777777" w:rsidR="008A116C" w:rsidRPr="00771E6E" w:rsidRDefault="008A116C" w:rsidP="008A116C">
      <w:pPr>
        <w:pStyle w:val="NormalWeb"/>
        <w:spacing w:before="0" w:beforeAutospacing="0" w:after="0" w:afterAutospacing="0"/>
      </w:pPr>
      <w:r w:rsidRPr="00771E6E">
        <w:rPr>
          <w:noProof/>
        </w:rPr>
        <w:t xml:space="preserve">The nun Illuminata Bembo, in her biography of Caterina Vigri (Saint Catherine of Bologna) entitled </w:t>
      </w:r>
      <w:r w:rsidRPr="00771E6E">
        <w:rPr>
          <w:i/>
          <w:noProof/>
        </w:rPr>
        <w:t>Specchio di Illuminazione</w:t>
      </w:r>
      <w:r w:rsidRPr="00771E6E">
        <w:rPr>
          <w:noProof/>
        </w:rPr>
        <w:t xml:space="preserve"> (Mirror of </w:t>
      </w:r>
      <w:r w:rsidR="000C33BE" w:rsidRPr="00771E6E">
        <w:rPr>
          <w:noProof/>
        </w:rPr>
        <w:t>I</w:t>
      </w:r>
      <w:r w:rsidRPr="00771E6E">
        <w:rPr>
          <w:noProof/>
        </w:rPr>
        <w:t>llumination) from 1468, reports her sorrow in knowing that some of her fellow nuns did not pay the necessary attention to the liturgy, because this was the occasion on which “many angelic spirits descended from heaven and came together with us to praise the divine mercy.”</w:t>
      </w:r>
      <w:r w:rsidRPr="00771E6E">
        <w:rPr>
          <w:rStyle w:val="FootnoteReference"/>
        </w:rPr>
        <w:footnoteReference w:id="383"/>
      </w:r>
      <w:r w:rsidRPr="00771E6E">
        <w:rPr>
          <w:noProof/>
        </w:rPr>
        <w:t xml:space="preserve"> Similarly, the diplomat Giannozzo Manetti, in his </w:t>
      </w:r>
      <w:r w:rsidRPr="00771E6E">
        <w:rPr>
          <w:i/>
          <w:noProof/>
        </w:rPr>
        <w:t xml:space="preserve">Oratio </w:t>
      </w:r>
      <w:r w:rsidRPr="00771E6E">
        <w:rPr>
          <w:noProof/>
        </w:rPr>
        <w:t>…</w:t>
      </w:r>
      <w:r w:rsidRPr="00771E6E">
        <w:rPr>
          <w:i/>
          <w:noProof/>
        </w:rPr>
        <w:t xml:space="preserve"> de </w:t>
      </w:r>
      <w:r w:rsidRPr="00771E6E">
        <w:rPr>
          <w:noProof/>
        </w:rPr>
        <w:t>…</w:t>
      </w:r>
      <w:r w:rsidRPr="00771E6E">
        <w:rPr>
          <w:i/>
          <w:noProof/>
        </w:rPr>
        <w:t xml:space="preserve"> pompis in consecratione basilicae Florentinae habitis</w:t>
      </w:r>
      <w:r w:rsidRPr="00771E6E">
        <w:rPr>
          <w:noProof/>
        </w:rPr>
        <w:t xml:space="preserve"> comments on a performance of Guillaume Dufay’s motet </w:t>
      </w:r>
      <w:r w:rsidRPr="00771E6E">
        <w:rPr>
          <w:i/>
          <w:noProof/>
        </w:rPr>
        <w:t>Nuper rosarum flores</w:t>
      </w:r>
      <w:r w:rsidRPr="00771E6E">
        <w:rPr>
          <w:noProof/>
        </w:rPr>
        <w:t xml:space="preserve"> during the consecration of Florence cathedral in 1436 by noting that, </w:t>
      </w:r>
    </w:p>
    <w:p w14:paraId="4B55525A" w14:textId="77777777" w:rsidR="008A116C" w:rsidRPr="00771E6E" w:rsidRDefault="008A116C" w:rsidP="008A116C">
      <w:pPr>
        <w:rPr>
          <w:noProof/>
        </w:rPr>
      </w:pPr>
    </w:p>
    <w:p w14:paraId="2345221C" w14:textId="77777777" w:rsidR="008A116C" w:rsidRPr="00771E6E" w:rsidRDefault="008A116C" w:rsidP="008A116C">
      <w:pPr>
        <w:pStyle w:val="IntenseQuote"/>
        <w:rPr>
          <w:noProof/>
        </w:rPr>
      </w:pPr>
      <w:r w:rsidRPr="00771E6E">
        <w:rPr>
          <w:noProof/>
        </w:rPr>
        <w:t>At the elevation of the consecrated host the temple resounded throughout with the sounds of harmonious symphonies [of voices] as well as the concords of diverse instruments, so that it seemed not without reason that the angels and the sounds and singing of divine paradise had been sent from heaven to us on earth to insinuate in our ears a certain incredible divine sweetness.</w:t>
      </w:r>
      <w:r w:rsidRPr="00771E6E">
        <w:rPr>
          <w:rStyle w:val="FootnoteReference"/>
        </w:rPr>
        <w:footnoteReference w:id="384"/>
      </w:r>
    </w:p>
    <w:p w14:paraId="2E3A56BA" w14:textId="77777777" w:rsidR="008A116C" w:rsidRPr="00771E6E" w:rsidRDefault="008A116C" w:rsidP="008A116C"/>
    <w:p w14:paraId="0F1DED26" w14:textId="77777777" w:rsidR="008A116C" w:rsidRPr="00771E6E" w:rsidRDefault="008A116C" w:rsidP="008A116C">
      <w:pPr>
        <w:rPr>
          <w:noProof/>
        </w:rPr>
      </w:pPr>
      <w:r w:rsidRPr="00771E6E">
        <w:rPr>
          <w:noProof/>
        </w:rPr>
        <w:t>Not only did angels descend from heaven to sing with mortals, but music was also a means through which mortals could ascend to lend their voices to the heavenly choir. This idea is stated, for example, by the music theorist Franchinus Gaffurius at the end of the fifteenth century, who affirms that “while they [the church musicians] are singing, they are in mind and soul rushing along ... to the Holy Trinity and the harmony of the angels”.</w:t>
      </w:r>
      <w:r w:rsidRPr="00771E6E">
        <w:rPr>
          <w:rStyle w:val="FootnoteReference"/>
        </w:rPr>
        <w:footnoteReference w:id="385"/>
      </w:r>
      <w:r w:rsidRPr="00771E6E">
        <w:rPr>
          <w:noProof/>
        </w:rPr>
        <w:t xml:space="preserve"> </w:t>
      </w:r>
    </w:p>
    <w:p w14:paraId="0A1F7A8A" w14:textId="77777777" w:rsidR="008A116C" w:rsidRPr="00771E6E" w:rsidRDefault="008A116C" w:rsidP="008A116C">
      <w:pPr>
        <w:ind w:firstLine="720"/>
        <w:rPr>
          <w:color w:val="000000" w:themeColor="text1"/>
        </w:rPr>
      </w:pPr>
      <w:r w:rsidRPr="00771E6E">
        <w:rPr>
          <w:noProof/>
        </w:rPr>
        <w:lastRenderedPageBreak/>
        <w:t xml:space="preserve">Similarly, devoted individuals could experience auditory visions and “hear” the music of the angels. Illuminata Bembo recounts that Caterina Vigri had a vision in which her soul was transported to a beautiful place where she saw God, the Virgin Mary and other divine figures. Among these, she was particularly captivated by the music produced by an angel, who was singing and playing a </w:t>
      </w:r>
      <w:r w:rsidRPr="00771E6E">
        <w:rPr>
          <w:i/>
          <w:noProof/>
        </w:rPr>
        <w:t>violeta</w:t>
      </w:r>
      <w:r w:rsidRPr="00771E6E">
        <w:rPr>
          <w:noProof/>
        </w:rPr>
        <w:t xml:space="preserve">. The impression that this experience had on Caterina was so intense that she asked her fellow nuns to find a similar instrument for her to play, establishing a musical link between herself and the heavenly realm. In Illuminata Bembo’s words, “playing on it several times she [Caterina] seemed to melt like wax before the fire, now singing, now sitting in </w:t>
      </w:r>
      <w:r w:rsidRPr="00771E6E">
        <w:rPr>
          <w:noProof/>
          <w:color w:val="000000" w:themeColor="text1"/>
        </w:rPr>
        <w:t>silence with her face towards the sky.”</w:t>
      </w:r>
      <w:r w:rsidRPr="00771E6E">
        <w:rPr>
          <w:rStyle w:val="FootnoteReference"/>
        </w:rPr>
        <w:footnoteReference w:id="386"/>
      </w:r>
    </w:p>
    <w:p w14:paraId="74ACA84B" w14:textId="77777777" w:rsidR="008A116C" w:rsidRPr="00771E6E" w:rsidRDefault="008A116C" w:rsidP="008A116C">
      <w:pPr>
        <w:ind w:firstLine="720"/>
      </w:pPr>
      <w:r w:rsidRPr="00771E6E">
        <w:rPr>
          <w:color w:val="000000" w:themeColor="text1"/>
        </w:rPr>
        <w:t xml:space="preserve">As well as exceptional human beings (such as saints) being able to interact with angels in visual and auditory “visions”, clerics and laymen alike were frequently compared with angels as a means of </w:t>
      </w:r>
      <w:proofErr w:type="spellStart"/>
      <w:r w:rsidRPr="00771E6E">
        <w:rPr>
          <w:color w:val="000000" w:themeColor="text1"/>
        </w:rPr>
        <w:t>recognising</w:t>
      </w:r>
      <w:proofErr w:type="spellEnd"/>
      <w:r w:rsidRPr="00771E6E">
        <w:rPr>
          <w:color w:val="000000" w:themeColor="text1"/>
        </w:rPr>
        <w:t xml:space="preserve"> extraordinary qualities. In his praise of Fra Angelico’s </w:t>
      </w:r>
      <w:r w:rsidRPr="00771E6E">
        <w:rPr>
          <w:i/>
          <w:iCs/>
          <w:color w:val="000000" w:themeColor="text1"/>
        </w:rPr>
        <w:t>Coronation of the Virgin</w:t>
      </w:r>
      <w:r w:rsidRPr="00771E6E">
        <w:rPr>
          <w:color w:val="000000" w:themeColor="text1"/>
        </w:rPr>
        <w:t xml:space="preserve"> (now in the </w:t>
      </w:r>
      <w:proofErr w:type="spellStart"/>
      <w:r w:rsidRPr="00771E6E">
        <w:rPr>
          <w:color w:val="000000" w:themeColor="text1"/>
        </w:rPr>
        <w:t>Musée</w:t>
      </w:r>
      <w:proofErr w:type="spellEnd"/>
      <w:r w:rsidRPr="00771E6E">
        <w:rPr>
          <w:color w:val="000000" w:themeColor="text1"/>
        </w:rPr>
        <w:t xml:space="preserve"> du Louvre, Paris), for example, the Florentine biographer Giorgio Vasari claims that “all the </w:t>
      </w:r>
      <w:proofErr w:type="spellStart"/>
      <w:r w:rsidRPr="00771E6E">
        <w:rPr>
          <w:color w:val="000000" w:themeColor="text1"/>
        </w:rPr>
        <w:t>colouring</w:t>
      </w:r>
      <w:proofErr w:type="spellEnd"/>
      <w:r w:rsidRPr="00771E6E">
        <w:rPr>
          <w:color w:val="000000" w:themeColor="text1"/>
        </w:rPr>
        <w:t xml:space="preserve"> of that work seems done by the hand of a saint or an angel … so with good reason he [the painter] has always been called, due to his religiosity, brother Giovanni Angelico.”</w:t>
      </w:r>
      <w:r w:rsidRPr="00771E6E">
        <w:rPr>
          <w:rStyle w:val="FootnoteReference"/>
        </w:rPr>
        <w:footnoteReference w:id="387"/>
      </w:r>
      <w:r w:rsidRPr="00771E6E">
        <w:rPr>
          <w:color w:val="000000" w:themeColor="text1"/>
        </w:rPr>
        <w:t xml:space="preserve"> Similarly, when he comes to discuss Parmigianino’s features as they appear in his </w:t>
      </w:r>
      <w:r w:rsidRPr="00771E6E">
        <w:rPr>
          <w:i/>
          <w:iCs/>
          <w:color w:val="000000" w:themeColor="text1"/>
        </w:rPr>
        <w:t>Self-Portrait in a Convex Mirror</w:t>
      </w:r>
      <w:r w:rsidRPr="00771E6E">
        <w:rPr>
          <w:iCs/>
          <w:color w:val="000000" w:themeColor="text1"/>
        </w:rPr>
        <w:t xml:space="preserve"> (now in </w:t>
      </w:r>
      <w:r w:rsidRPr="00771E6E">
        <w:rPr>
          <w:color w:val="000000" w:themeColor="text1"/>
        </w:rPr>
        <w:t xml:space="preserve">the </w:t>
      </w:r>
      <w:proofErr w:type="spellStart"/>
      <w:r w:rsidRPr="00771E6E">
        <w:rPr>
          <w:color w:val="000000" w:themeColor="text1"/>
        </w:rPr>
        <w:t>Kunsthistorisches</w:t>
      </w:r>
      <w:proofErr w:type="spellEnd"/>
      <w:r w:rsidRPr="00771E6E">
        <w:rPr>
          <w:color w:val="000000" w:themeColor="text1"/>
        </w:rPr>
        <w:t xml:space="preserve"> Museum, Vienna), Vasari writes that “as Francesco was of very handsome air and had very delicate features and looks, rather of angel than of man, his image in that ball [the mirror] seemed a thing divine.”</w:t>
      </w:r>
      <w:r w:rsidRPr="00771E6E">
        <w:rPr>
          <w:rStyle w:val="FootnoteReference"/>
        </w:rPr>
        <w:footnoteReference w:id="388"/>
      </w:r>
      <w:r w:rsidRPr="00771E6E">
        <w:rPr>
          <w:color w:val="000000" w:themeColor="text1"/>
        </w:rPr>
        <w:t xml:space="preserve"> Beauty and virtue were commonly associated with angels, both for young men and young women</w:t>
      </w:r>
      <w:r w:rsidRPr="00771E6E">
        <w:t xml:space="preserve">. The Florentine merchant Gregorio </w:t>
      </w:r>
      <w:proofErr w:type="spellStart"/>
      <w:r w:rsidRPr="00771E6E">
        <w:t>Dati</w:t>
      </w:r>
      <w:proofErr w:type="spellEnd"/>
      <w:r w:rsidRPr="00771E6E">
        <w:t xml:space="preserve"> praises his town for its angelic female citizens: </w:t>
      </w:r>
      <w:r w:rsidRPr="00771E6E">
        <w:rPr>
          <w:noProof/>
        </w:rPr>
        <w:t>“Florence has girls and women of such refinement and manners, so respectable, virtuous, and marvelously beautiful as to appear angels descended from heaven”.</w:t>
      </w:r>
      <w:r w:rsidRPr="00771E6E">
        <w:rPr>
          <w:rStyle w:val="FootnoteReference"/>
        </w:rPr>
        <w:footnoteReference w:id="389"/>
      </w:r>
      <w:r w:rsidRPr="00771E6E">
        <w:t xml:space="preserve"> </w:t>
      </w:r>
    </w:p>
    <w:p w14:paraId="1EC12CE0" w14:textId="77777777" w:rsidR="008A116C" w:rsidRPr="00771E6E" w:rsidRDefault="008A116C" w:rsidP="008A116C">
      <w:pPr>
        <w:ind w:firstLine="720"/>
      </w:pPr>
      <w:r w:rsidRPr="00771E6E">
        <w:t xml:space="preserve">Human beings become like angels through the pursuit of exceptional virtue, as Saint Gregory the Great notes in his </w:t>
      </w:r>
      <w:r w:rsidRPr="00771E6E">
        <w:rPr>
          <w:iCs/>
        </w:rPr>
        <w:t>Homily 34</w:t>
      </w:r>
      <w:r w:rsidRPr="00771E6E">
        <w:t xml:space="preserve">: “clearly, there are ways of human life that coincide with single orders of angelic bands. By means of a correspondence in virtue, these </w:t>
      </w:r>
      <w:r w:rsidRPr="00771E6E">
        <w:lastRenderedPageBreak/>
        <w:t>people are counted worthy of the heavenly city by sharing in the angelic nature.”</w:t>
      </w:r>
      <w:r w:rsidRPr="00771E6E">
        <w:rPr>
          <w:rStyle w:val="FootnoteReference"/>
        </w:rPr>
        <w:footnoteReference w:id="390"/>
      </w:r>
      <w:r w:rsidRPr="00771E6E">
        <w:t xml:space="preserve"> This perspective found a fifteenth-century restatement in the works of the philosopher Pico </w:t>
      </w:r>
      <w:proofErr w:type="spellStart"/>
      <w:r w:rsidRPr="00771E6E">
        <w:t>della</w:t>
      </w:r>
      <w:proofErr w:type="spellEnd"/>
      <w:r w:rsidRPr="00771E6E">
        <w:t xml:space="preserve"> </w:t>
      </w:r>
      <w:proofErr w:type="spellStart"/>
      <w:r w:rsidRPr="00771E6E">
        <w:t>Mirandola</w:t>
      </w:r>
      <w:proofErr w:type="spellEnd"/>
      <w:r w:rsidRPr="00771E6E">
        <w:t>, among others. In works condemned as heretical by the Church, Pico urged mortals to aspire to be like angels in this pursuit of virtue, stating that,</w:t>
      </w:r>
    </w:p>
    <w:p w14:paraId="73E348F1" w14:textId="77777777" w:rsidR="008A116C" w:rsidRPr="00771E6E" w:rsidRDefault="008A116C" w:rsidP="008A116C">
      <w:r w:rsidRPr="00771E6E">
        <w:t xml:space="preserve"> </w:t>
      </w:r>
    </w:p>
    <w:p w14:paraId="71722EE6" w14:textId="77777777" w:rsidR="008A116C" w:rsidRPr="00771E6E" w:rsidRDefault="008A116C" w:rsidP="008A116C">
      <w:pPr>
        <w:pStyle w:val="IntenseQuote"/>
      </w:pPr>
      <w:r w:rsidRPr="00771E6E">
        <w:t>Therefore, by rivalling the life of a cherub upon the earth, by confining the onslaughts of the affections by means of moral science, and by shaking off the mist of reason by means of dialectic, as if washing off the filth of ignorance and vice, let us purge the soul, that the affections may not audaciously run riot, nor an imprudent reason sometime rave.</w:t>
      </w:r>
      <w:r w:rsidRPr="00771E6E">
        <w:rPr>
          <w:rStyle w:val="FootnoteReference"/>
        </w:rPr>
        <w:footnoteReference w:id="391"/>
      </w:r>
    </w:p>
    <w:p w14:paraId="447E1661" w14:textId="77777777" w:rsidR="008A116C" w:rsidRPr="00771E6E" w:rsidRDefault="008A116C" w:rsidP="008A116C"/>
    <w:p w14:paraId="342D6593" w14:textId="77777777" w:rsidR="008A116C" w:rsidRPr="00771E6E" w:rsidRDefault="008A116C" w:rsidP="008A116C">
      <w:r w:rsidRPr="00771E6E">
        <w:t xml:space="preserve">Furthermore, Pico considered human beings to be able to ascend beyond even angels, declaring that, “all of us, to whom the power is given to become sons of God through the grace whose giver is Christ, can be raised to an </w:t>
      </w:r>
      <w:proofErr w:type="spellStart"/>
      <w:r w:rsidRPr="00771E6E">
        <w:t>honour</w:t>
      </w:r>
      <w:proofErr w:type="spellEnd"/>
      <w:r w:rsidRPr="00771E6E">
        <w:t xml:space="preserve"> above that of the angels.”</w:t>
      </w:r>
      <w:r w:rsidRPr="00771E6E">
        <w:rPr>
          <w:rStyle w:val="FootnoteReference"/>
        </w:rPr>
        <w:footnoteReference w:id="392"/>
      </w:r>
    </w:p>
    <w:p w14:paraId="4C9E862D" w14:textId="77777777" w:rsidR="008A116C" w:rsidRPr="00771E6E" w:rsidRDefault="00EB1DA2" w:rsidP="008A116C">
      <w:pPr>
        <w:widowControl w:val="0"/>
        <w:tabs>
          <w:tab w:val="left" w:pos="220"/>
          <w:tab w:val="left" w:pos="720"/>
        </w:tabs>
        <w:autoSpaceDE w:val="0"/>
        <w:autoSpaceDN w:val="0"/>
        <w:adjustRightInd w:val="0"/>
      </w:pPr>
      <w:r w:rsidRPr="00771E6E">
        <w:tab/>
      </w:r>
      <w:r w:rsidRPr="00771E6E">
        <w:tab/>
      </w:r>
      <w:r w:rsidR="008A116C" w:rsidRPr="00771E6E">
        <w:t>The imitation of angels could lead to a degree of identification with them, in a process that Steven Chase refers to as “angelisation”.</w:t>
      </w:r>
      <w:r w:rsidR="008A116C" w:rsidRPr="00771E6E">
        <w:rPr>
          <w:rStyle w:val="FootnoteReference"/>
        </w:rPr>
        <w:footnoteReference w:id="393"/>
      </w:r>
      <w:r w:rsidR="008A116C" w:rsidRPr="00771E6E">
        <w:t xml:space="preserve"> This term is adopted by Amy Gillette to describe monks’ identification with angels through a virtuous life.</w:t>
      </w:r>
      <w:r w:rsidR="008A116C" w:rsidRPr="00771E6E">
        <w:rPr>
          <w:rStyle w:val="FootnoteReference"/>
        </w:rPr>
        <w:footnoteReference w:id="394"/>
      </w:r>
      <w:r w:rsidR="008A116C" w:rsidRPr="00771E6E">
        <w:rPr>
          <w:rStyle w:val="FootnoteReference"/>
        </w:rPr>
        <w:t xml:space="preserve"> </w:t>
      </w:r>
      <w:r w:rsidR="008A116C" w:rsidRPr="00771E6E">
        <w:t xml:space="preserve">Gillette suggests that the musical and non-musical angels that appear in the </w:t>
      </w:r>
      <w:proofErr w:type="spellStart"/>
      <w:r w:rsidR="008A116C" w:rsidRPr="00771E6E">
        <w:t>Baroncelli</w:t>
      </w:r>
      <w:proofErr w:type="spellEnd"/>
      <w:r w:rsidR="008A116C" w:rsidRPr="00771E6E">
        <w:t xml:space="preserve"> altarpiece attributed to Giotto (ca. 1334, in Santa Croce, Florence) would have appealed both to Franciscan patrons and to laypeople (in particular the members of the </w:t>
      </w:r>
      <w:proofErr w:type="spellStart"/>
      <w:r w:rsidR="008A116C" w:rsidRPr="00771E6E">
        <w:t>Baroncelli</w:t>
      </w:r>
      <w:proofErr w:type="spellEnd"/>
      <w:r w:rsidR="008A116C" w:rsidRPr="00771E6E">
        <w:t xml:space="preserve"> family), and their actions were likely intended to be imitated. The light and the music suggested by depictions of angels would have prompted an engagement of a devotee’s bodily senses together with their intellectual faculties in a way that would allow their perception through </w:t>
      </w:r>
      <w:r w:rsidR="008A116C" w:rsidRPr="00771E6E">
        <w:lastRenderedPageBreak/>
        <w:t>their inner senses.</w:t>
      </w:r>
      <w:r w:rsidR="008A116C" w:rsidRPr="00771E6E">
        <w:rPr>
          <w:rStyle w:val="FootnoteReference"/>
        </w:rPr>
        <w:footnoteReference w:id="395"/>
      </w:r>
      <w:r w:rsidR="008A116C" w:rsidRPr="00771E6E">
        <w:t xml:space="preserve"> In fact, in much the same way that clerics could “</w:t>
      </w:r>
      <w:proofErr w:type="spellStart"/>
      <w:r w:rsidR="008A116C" w:rsidRPr="00771E6E">
        <w:t>angelise</w:t>
      </w:r>
      <w:proofErr w:type="spellEnd"/>
      <w:r w:rsidR="008A116C" w:rsidRPr="00771E6E">
        <w:t xml:space="preserve">” themselves by imitating angelic songs of praise in their performance of the earthly liturgy, laymen were also involved in musical practices that mirrored the angelic worship represented in sacred art. Fifteenth-century Italy saw a continuing vogue for vernacular sacred songs, called </w:t>
      </w:r>
      <w:r w:rsidR="008A116C" w:rsidRPr="00771E6E">
        <w:rPr>
          <w:i/>
          <w:iCs/>
        </w:rPr>
        <w:t>laude</w:t>
      </w:r>
      <w:r w:rsidR="008A116C" w:rsidRPr="00771E6E">
        <w:t>, promoted by the mendicant orders to be sung not by clergy but by lay devotees, during evening services in church and processions through the city on feast days.</w:t>
      </w:r>
      <w:r w:rsidR="008A116C" w:rsidRPr="00771E6E">
        <w:rPr>
          <w:rStyle w:val="FootnoteReference"/>
        </w:rPr>
        <w:footnoteReference w:id="396"/>
      </w:r>
      <w:r w:rsidR="008A116C" w:rsidRPr="00771E6E">
        <w:t xml:space="preserve"> Frequently Marian in focus, some </w:t>
      </w:r>
      <w:r w:rsidR="008A116C" w:rsidRPr="00771E6E">
        <w:rPr>
          <w:i/>
        </w:rPr>
        <w:t>laude</w:t>
      </w:r>
      <w:r w:rsidR="008A116C" w:rsidRPr="00771E6E">
        <w:t xml:space="preserve"> refer specifically to the adoration of the Virgin by angels, as for example in </w:t>
      </w:r>
      <w:r w:rsidR="008A116C" w:rsidRPr="00771E6E">
        <w:rPr>
          <w:i/>
          <w:color w:val="000000"/>
        </w:rPr>
        <w:t xml:space="preserve">O Madre del Signore </w:t>
      </w:r>
      <w:proofErr w:type="spellStart"/>
      <w:r w:rsidR="008A116C" w:rsidRPr="00771E6E">
        <w:rPr>
          <w:i/>
          <w:color w:val="000000"/>
        </w:rPr>
        <w:t>te</w:t>
      </w:r>
      <w:proofErr w:type="spellEnd"/>
      <w:r w:rsidR="008A116C" w:rsidRPr="00771E6E">
        <w:rPr>
          <w:i/>
          <w:color w:val="000000"/>
        </w:rPr>
        <w:t xml:space="preserve"> </w:t>
      </w:r>
      <w:proofErr w:type="spellStart"/>
      <w:r w:rsidR="008A116C" w:rsidRPr="00771E6E">
        <w:rPr>
          <w:i/>
          <w:color w:val="000000"/>
        </w:rPr>
        <w:t>laudamo</w:t>
      </w:r>
      <w:proofErr w:type="spellEnd"/>
      <w:r w:rsidR="008A116C" w:rsidRPr="00771E6E">
        <w:rPr>
          <w:iCs/>
          <w:color w:val="000000"/>
        </w:rPr>
        <w:t>,</w:t>
      </w:r>
      <w:r w:rsidR="008A116C" w:rsidRPr="00771E6E">
        <w:rPr>
          <w:color w:val="000000"/>
        </w:rPr>
        <w:t xml:space="preserve"> where the pious sing “The angels and archangels always adore you”.</w:t>
      </w:r>
      <w:r w:rsidR="008A116C" w:rsidRPr="00771E6E">
        <w:rPr>
          <w:rStyle w:val="FootnoteReference"/>
        </w:rPr>
        <w:footnoteReference w:id="397"/>
      </w:r>
      <w:r w:rsidR="008A116C" w:rsidRPr="00771E6E">
        <w:rPr>
          <w:color w:val="000000"/>
        </w:rPr>
        <w:t xml:space="preserve"> Another </w:t>
      </w:r>
      <w:r w:rsidR="008A116C" w:rsidRPr="00771E6E">
        <w:rPr>
          <w:i/>
          <w:iCs/>
          <w:color w:val="000000"/>
        </w:rPr>
        <w:t>lauda</w:t>
      </w:r>
      <w:r w:rsidR="008A116C" w:rsidRPr="00771E6E">
        <w:rPr>
          <w:color w:val="000000"/>
        </w:rPr>
        <w:t xml:space="preserve">, Adam de </w:t>
      </w:r>
      <w:proofErr w:type="spellStart"/>
      <w:r w:rsidR="008A116C" w:rsidRPr="00771E6E">
        <w:rPr>
          <w:color w:val="000000"/>
        </w:rPr>
        <w:t>Antiquis</w:t>
      </w:r>
      <w:proofErr w:type="spellEnd"/>
      <w:r w:rsidR="008A116C" w:rsidRPr="00771E6E">
        <w:rPr>
          <w:color w:val="000000"/>
        </w:rPr>
        <w:t xml:space="preserve">’ </w:t>
      </w:r>
      <w:r w:rsidR="008A116C" w:rsidRPr="00771E6E">
        <w:rPr>
          <w:i/>
          <w:color w:val="000000"/>
        </w:rPr>
        <w:t xml:space="preserve">Senza </w:t>
      </w:r>
      <w:proofErr w:type="spellStart"/>
      <w:r w:rsidR="008A116C" w:rsidRPr="00771E6E">
        <w:rPr>
          <w:i/>
          <w:color w:val="000000"/>
        </w:rPr>
        <w:t>te</w:t>
      </w:r>
      <w:proofErr w:type="spellEnd"/>
      <w:r w:rsidR="008A116C" w:rsidRPr="00771E6E">
        <w:rPr>
          <w:i/>
          <w:color w:val="000000"/>
        </w:rPr>
        <w:t xml:space="preserve"> Sacra Regina</w:t>
      </w:r>
      <w:r w:rsidR="008A116C" w:rsidRPr="00771E6E">
        <w:rPr>
          <w:iCs/>
          <w:color w:val="000000"/>
        </w:rPr>
        <w:t>,</w:t>
      </w:r>
      <w:r w:rsidR="008A116C" w:rsidRPr="00771E6E">
        <w:rPr>
          <w:color w:val="000000"/>
        </w:rPr>
        <w:t xml:space="preserve"> gives the angels’ adoration an explicitly musical character: “For you [the Virgin Mary] the choir of angels sing: Hail morning star!”</w:t>
      </w:r>
      <w:r w:rsidR="008A116C" w:rsidRPr="00771E6E">
        <w:rPr>
          <w:rStyle w:val="FootnoteReference"/>
        </w:rPr>
        <w:footnoteReference w:id="398"/>
      </w:r>
      <w:r w:rsidR="008A116C" w:rsidRPr="00771E6E">
        <w:rPr>
          <w:color w:val="000000"/>
        </w:rPr>
        <w:t xml:space="preserve"> Through such songs, </w:t>
      </w:r>
      <w:r w:rsidR="008A116C" w:rsidRPr="00771E6E">
        <w:rPr>
          <w:i/>
          <w:color w:val="000000"/>
        </w:rPr>
        <w:t>laude</w:t>
      </w:r>
      <w:r w:rsidR="008A116C" w:rsidRPr="00771E6E">
        <w:rPr>
          <w:color w:val="000000"/>
        </w:rPr>
        <w:t xml:space="preserve"> singers established themselves as “earthly angels,” whose aims and practices reflected those of their celestial models. </w:t>
      </w:r>
    </w:p>
    <w:p w14:paraId="788E5B03" w14:textId="77777777" w:rsidR="008A116C" w:rsidRPr="00771E6E" w:rsidRDefault="008A116C" w:rsidP="008A116C">
      <w:pPr>
        <w:ind w:firstLine="720"/>
        <w:rPr>
          <w:color w:val="000000"/>
        </w:rPr>
      </w:pPr>
      <w:r w:rsidRPr="00771E6E">
        <w:rPr>
          <w:color w:val="000000"/>
        </w:rPr>
        <w:t xml:space="preserve">The link between </w:t>
      </w:r>
      <w:r w:rsidRPr="00771E6E">
        <w:rPr>
          <w:i/>
          <w:iCs/>
          <w:color w:val="000000"/>
        </w:rPr>
        <w:t>lauda</w:t>
      </w:r>
      <w:r w:rsidRPr="00771E6E">
        <w:rPr>
          <w:color w:val="000000"/>
        </w:rPr>
        <w:t xml:space="preserve"> singing and angelisation is particularly clear in contemporary reports of religious processions and mystery plays called </w:t>
      </w:r>
      <w:proofErr w:type="spellStart"/>
      <w:r w:rsidRPr="00771E6E">
        <w:rPr>
          <w:i/>
          <w:iCs/>
          <w:color w:val="000000"/>
        </w:rPr>
        <w:t>sacre</w:t>
      </w:r>
      <w:proofErr w:type="spellEnd"/>
      <w:r w:rsidRPr="00771E6E">
        <w:rPr>
          <w:i/>
          <w:iCs/>
          <w:color w:val="000000"/>
        </w:rPr>
        <w:t xml:space="preserve"> </w:t>
      </w:r>
      <w:proofErr w:type="spellStart"/>
      <w:r w:rsidRPr="00771E6E">
        <w:rPr>
          <w:i/>
          <w:iCs/>
          <w:color w:val="000000"/>
        </w:rPr>
        <w:t>rappresentazioni</w:t>
      </w:r>
      <w:proofErr w:type="spellEnd"/>
      <w:r w:rsidRPr="00771E6E">
        <w:rPr>
          <w:color w:val="000000"/>
        </w:rPr>
        <w:t xml:space="preserve">. For example, on 2 July 1496 a procession carrying Andrea Mantegna’s </w:t>
      </w:r>
      <w:r w:rsidRPr="00771E6E">
        <w:rPr>
          <w:i/>
          <w:color w:val="000000"/>
        </w:rPr>
        <w:t xml:space="preserve">Madonna </w:t>
      </w:r>
      <w:proofErr w:type="spellStart"/>
      <w:r w:rsidRPr="00771E6E">
        <w:rPr>
          <w:i/>
          <w:color w:val="000000"/>
        </w:rPr>
        <w:t>della</w:t>
      </w:r>
      <w:proofErr w:type="spellEnd"/>
      <w:r w:rsidRPr="00771E6E">
        <w:rPr>
          <w:i/>
          <w:color w:val="000000"/>
        </w:rPr>
        <w:t xml:space="preserve"> Vittoria</w:t>
      </w:r>
      <w:r w:rsidRPr="00771E6E">
        <w:rPr>
          <w:color w:val="000000"/>
        </w:rPr>
        <w:t xml:space="preserve"> (now in the </w:t>
      </w:r>
      <w:proofErr w:type="spellStart"/>
      <w:r w:rsidRPr="00771E6E">
        <w:rPr>
          <w:color w:val="000000"/>
        </w:rPr>
        <w:t>Musée</w:t>
      </w:r>
      <w:proofErr w:type="spellEnd"/>
      <w:r w:rsidRPr="00771E6E">
        <w:rPr>
          <w:color w:val="000000"/>
        </w:rPr>
        <w:t xml:space="preserve"> du Louvre, Paris) around the town of Mantua included three young boys dressed up as “little angels” (</w:t>
      </w:r>
      <w:proofErr w:type="spellStart"/>
      <w:r w:rsidRPr="00771E6E">
        <w:rPr>
          <w:i/>
          <w:iCs/>
          <w:color w:val="000000"/>
        </w:rPr>
        <w:t>anzoletti</w:t>
      </w:r>
      <w:proofErr w:type="spellEnd"/>
      <w:r w:rsidRPr="00771E6E">
        <w:rPr>
          <w:color w:val="000000"/>
        </w:rPr>
        <w:t xml:space="preserve">) singing </w:t>
      </w:r>
      <w:r w:rsidRPr="00771E6E">
        <w:rPr>
          <w:i/>
          <w:color w:val="000000"/>
        </w:rPr>
        <w:t>laude</w:t>
      </w:r>
      <w:r w:rsidRPr="00771E6E">
        <w:rPr>
          <w:color w:val="000000"/>
        </w:rPr>
        <w:t xml:space="preserve"> on both sides of the image, together with others representing God, prophets, and apostles.</w:t>
      </w:r>
      <w:r w:rsidRPr="00771E6E">
        <w:rPr>
          <w:rStyle w:val="FootnoteReference"/>
        </w:rPr>
        <w:footnoteReference w:id="399"/>
      </w:r>
      <w:r w:rsidRPr="00771E6E">
        <w:t xml:space="preserve"> </w:t>
      </w:r>
      <w:r w:rsidRPr="00771E6E">
        <w:rPr>
          <w:color w:val="000000"/>
        </w:rPr>
        <w:t xml:space="preserve">Such lay activities, undertaken in imitation of the angels, clearly mirrored the ubiquitous representation of musical angels in sacred art; but the interaction was likely reciprocal. Several scholars have suggested </w:t>
      </w:r>
      <w:r w:rsidRPr="00771E6E">
        <w:t xml:space="preserve">that the devotional performance of songs and music carried out by </w:t>
      </w:r>
      <w:r w:rsidRPr="00771E6E">
        <w:rPr>
          <w:i/>
        </w:rPr>
        <w:t>laude</w:t>
      </w:r>
      <w:r w:rsidRPr="00771E6E">
        <w:t xml:space="preserve"> singers could in fact have inspired the depiction of musical angels in frescoes and paintings, both in general and in specific instances. It is certainly significant that the multitude of </w:t>
      </w:r>
      <w:proofErr w:type="spellStart"/>
      <w:r w:rsidRPr="00771E6E">
        <w:rPr>
          <w:i/>
        </w:rPr>
        <w:t>laudesi</w:t>
      </w:r>
      <w:proofErr w:type="spellEnd"/>
      <w:r w:rsidRPr="00771E6E">
        <w:t xml:space="preserve"> companies established between the fourteenth and fifteenth </w:t>
      </w:r>
      <w:r w:rsidRPr="00771E6E">
        <w:lastRenderedPageBreak/>
        <w:t>centuries were active as patrons of religious art.</w:t>
      </w:r>
      <w:r w:rsidRPr="00771E6E">
        <w:rPr>
          <w:rStyle w:val="FootnoteReference"/>
        </w:rPr>
        <w:footnoteReference w:id="400"/>
      </w:r>
      <w:r w:rsidRPr="00771E6E">
        <w:t xml:space="preserve"> Susan Grange has suggested that musical angels appearing at the feet of the throne of the Virgin Mary in altarpieces could be intended to recall the </w:t>
      </w:r>
      <w:proofErr w:type="spellStart"/>
      <w:r w:rsidRPr="00771E6E">
        <w:rPr>
          <w:i/>
        </w:rPr>
        <w:t>laudesi</w:t>
      </w:r>
      <w:proofErr w:type="spellEnd"/>
      <w:r w:rsidRPr="00771E6E">
        <w:t xml:space="preserve"> companies’ practice of making music in front of the altar.</w:t>
      </w:r>
      <w:r w:rsidRPr="00771E6E">
        <w:rPr>
          <w:rStyle w:val="FootnoteReference"/>
        </w:rPr>
        <w:footnoteReference w:id="401"/>
      </w:r>
      <w:r w:rsidRPr="00771E6E">
        <w:t xml:space="preserve"> Similarly, </w:t>
      </w:r>
      <w:r w:rsidRPr="00771E6E">
        <w:rPr>
          <w:color w:val="000000"/>
        </w:rPr>
        <w:t>Gillette links depictions of musical angels to lay confraternities, on the grounds that they both manifest their worship of the Virgin through musical practices while kneeling in front of her</w:t>
      </w:r>
      <w:r w:rsidR="000F69B3" w:rsidRPr="00771E6E">
        <w:rPr>
          <w:color w:val="000000"/>
        </w:rPr>
        <w:t xml:space="preserve"> image</w:t>
      </w:r>
      <w:r w:rsidRPr="00771E6E">
        <w:rPr>
          <w:color w:val="000000"/>
        </w:rPr>
        <w:t>.</w:t>
      </w:r>
      <w:r w:rsidRPr="00771E6E">
        <w:rPr>
          <w:rStyle w:val="FootnoteReference"/>
        </w:rPr>
        <w:footnoteReference w:id="402"/>
      </w:r>
      <w:r w:rsidRPr="00771E6E">
        <w:rPr>
          <w:color w:val="000000"/>
        </w:rPr>
        <w:t xml:space="preserve"> </w:t>
      </w:r>
    </w:p>
    <w:p w14:paraId="08468D29" w14:textId="77777777" w:rsidR="008A116C" w:rsidRPr="00771E6E" w:rsidRDefault="008A116C" w:rsidP="008A116C">
      <w:pPr>
        <w:ind w:firstLine="720"/>
        <w:rPr>
          <w:color w:val="000000"/>
        </w:rPr>
      </w:pPr>
      <w:r w:rsidRPr="00771E6E">
        <w:t xml:space="preserve">In some cases, </w:t>
      </w:r>
      <w:r w:rsidRPr="00771E6E">
        <w:rPr>
          <w:color w:val="000000"/>
        </w:rPr>
        <w:t xml:space="preserve">the presence of depictions of musical angels adoring the Virgin Mary in the decorative apparatus of chapels used by </w:t>
      </w:r>
      <w:proofErr w:type="spellStart"/>
      <w:r w:rsidRPr="00771E6E">
        <w:rPr>
          <w:i/>
          <w:color w:val="000000"/>
        </w:rPr>
        <w:t>laudesi</w:t>
      </w:r>
      <w:proofErr w:type="spellEnd"/>
      <w:r w:rsidRPr="00771E6E">
        <w:rPr>
          <w:color w:val="000000"/>
        </w:rPr>
        <w:t xml:space="preserve"> companies was specified in documents recording the commission and its execution. The chapel frescoes in </w:t>
      </w:r>
      <w:proofErr w:type="spellStart"/>
      <w:r w:rsidRPr="00771E6E">
        <w:rPr>
          <w:color w:val="000000"/>
        </w:rPr>
        <w:t>Orsanmichele</w:t>
      </w:r>
      <w:proofErr w:type="spellEnd"/>
      <w:r w:rsidRPr="00771E6E">
        <w:rPr>
          <w:color w:val="000000"/>
        </w:rPr>
        <w:t xml:space="preserve"> in Florence, for example, designed by the novelist Franco </w:t>
      </w:r>
      <w:proofErr w:type="spellStart"/>
      <w:r w:rsidRPr="00771E6E">
        <w:rPr>
          <w:color w:val="000000"/>
        </w:rPr>
        <w:t>Sacchetti</w:t>
      </w:r>
      <w:proofErr w:type="spellEnd"/>
      <w:r w:rsidRPr="00771E6E">
        <w:rPr>
          <w:color w:val="000000"/>
        </w:rPr>
        <w:t>, were to include “angels, making music ... adoring you [the Virgin Mary]” (</w:t>
      </w:r>
      <w:proofErr w:type="spellStart"/>
      <w:r w:rsidRPr="00771E6E">
        <w:rPr>
          <w:i/>
          <w:color w:val="000000"/>
        </w:rPr>
        <w:t>angeli</w:t>
      </w:r>
      <w:proofErr w:type="spellEnd"/>
      <w:r w:rsidRPr="00771E6E">
        <w:rPr>
          <w:i/>
          <w:color w:val="000000"/>
        </w:rPr>
        <w:t xml:space="preserve">, </w:t>
      </w:r>
      <w:proofErr w:type="spellStart"/>
      <w:r w:rsidRPr="00771E6E">
        <w:rPr>
          <w:i/>
          <w:color w:val="000000"/>
        </w:rPr>
        <w:t>che</w:t>
      </w:r>
      <w:proofErr w:type="spellEnd"/>
      <w:r w:rsidRPr="00771E6E">
        <w:rPr>
          <w:i/>
          <w:color w:val="000000"/>
        </w:rPr>
        <w:t xml:space="preserve"> </w:t>
      </w:r>
      <w:proofErr w:type="spellStart"/>
      <w:r w:rsidRPr="00771E6E">
        <w:rPr>
          <w:i/>
          <w:color w:val="000000"/>
        </w:rPr>
        <w:t>suonano</w:t>
      </w:r>
      <w:proofErr w:type="spellEnd"/>
      <w:r w:rsidRPr="00771E6E">
        <w:rPr>
          <w:i/>
          <w:color w:val="000000"/>
        </w:rPr>
        <w:t xml:space="preserve">... </w:t>
      </w:r>
      <w:proofErr w:type="spellStart"/>
      <w:r w:rsidRPr="00771E6E">
        <w:rPr>
          <w:i/>
          <w:color w:val="000000"/>
        </w:rPr>
        <w:t>che</w:t>
      </w:r>
      <w:proofErr w:type="spellEnd"/>
      <w:r w:rsidRPr="00771E6E">
        <w:rPr>
          <w:i/>
          <w:color w:val="000000"/>
        </w:rPr>
        <w:t xml:space="preserve"> </w:t>
      </w:r>
      <w:proofErr w:type="spellStart"/>
      <w:r w:rsidRPr="00771E6E">
        <w:rPr>
          <w:i/>
          <w:color w:val="000000"/>
        </w:rPr>
        <w:t>t’adorano</w:t>
      </w:r>
      <w:proofErr w:type="spellEnd"/>
      <w:r w:rsidRPr="00771E6E">
        <w:rPr>
          <w:color w:val="000000"/>
        </w:rPr>
        <w:t>).</w:t>
      </w:r>
      <w:r w:rsidRPr="00771E6E">
        <w:rPr>
          <w:rStyle w:val="FootnoteReference"/>
        </w:rPr>
        <w:footnoteReference w:id="403"/>
      </w:r>
      <w:r w:rsidRPr="00771E6E">
        <w:rPr>
          <w:color w:val="000000"/>
        </w:rPr>
        <w:t xml:space="preserve"> As in the case of </w:t>
      </w:r>
      <w:r w:rsidRPr="00771E6E">
        <w:rPr>
          <w:i/>
          <w:color w:val="000000"/>
        </w:rPr>
        <w:t>laude</w:t>
      </w:r>
      <w:r w:rsidRPr="00771E6E">
        <w:rPr>
          <w:color w:val="000000"/>
        </w:rPr>
        <w:t xml:space="preserve"> singers, the musical figures in mystery plays could have also influenced the subjects of altarpieces.</w:t>
      </w:r>
      <w:r w:rsidRPr="00771E6E">
        <w:rPr>
          <w:rStyle w:val="FootnoteReference"/>
        </w:rPr>
        <w:footnoteReference w:id="404"/>
      </w:r>
      <w:r w:rsidRPr="00771E6E">
        <w:rPr>
          <w:color w:val="000000"/>
        </w:rPr>
        <w:t xml:space="preserve"> </w:t>
      </w:r>
      <w:r w:rsidRPr="00771E6E">
        <w:t xml:space="preserve">It would therefore seem that the relationship between humans and musical angels was bidirectional: earthly musicians such as </w:t>
      </w:r>
      <w:r w:rsidRPr="00771E6E">
        <w:rPr>
          <w:i/>
        </w:rPr>
        <w:t>laude</w:t>
      </w:r>
      <w:r w:rsidRPr="00771E6E">
        <w:t xml:space="preserve"> singers were used as models by artists when depicting images of musical angels, who, in turn, became examples for human beings to follow.</w:t>
      </w:r>
    </w:p>
    <w:p w14:paraId="15A2162B" w14:textId="77777777" w:rsidR="008A116C" w:rsidRPr="00771E6E" w:rsidRDefault="008A116C" w:rsidP="008A116C">
      <w:pPr>
        <w:ind w:firstLine="720"/>
      </w:pPr>
      <w:r w:rsidRPr="00771E6E">
        <w:rPr>
          <w:color w:val="000000"/>
        </w:rPr>
        <w:t>It is evident that fifteenth- and sixteenth-century Italian Christians had a highly developed connection with angels. In addition to clergymen identifying themselves with angels through their common ministry on Earth, human beings and angels had a bi-directional relationship: angels appeared on Earth during Mass and devotional practices to sing together with terrestrial devotees, while especially holy individuals would be able to meet with angels in Heaven during their visions. Children would have been able to identify with angels on an even deeper level, dressing up and playing instruments in processions and mystery plays, and singing hymns of divine praise as the angels do in Heaven. This familiarity with angels led to the use of the adjective “angelic” in everyday language, to denote remarkable qualities or physical beauty. Through leading a virtuous life, human beings were able to “</w:t>
      </w:r>
      <w:proofErr w:type="spellStart"/>
      <w:r w:rsidRPr="00771E6E">
        <w:rPr>
          <w:color w:val="000000"/>
        </w:rPr>
        <w:t>angelise</w:t>
      </w:r>
      <w:proofErr w:type="spellEnd"/>
      <w:r w:rsidRPr="00771E6E">
        <w:rPr>
          <w:color w:val="000000"/>
        </w:rPr>
        <w:t>” themselves.</w:t>
      </w:r>
    </w:p>
    <w:p w14:paraId="063932E9" w14:textId="77777777" w:rsidR="008A116C" w:rsidRPr="00771E6E" w:rsidRDefault="008A116C" w:rsidP="008A116C"/>
    <w:p w14:paraId="5B62CC77" w14:textId="77777777" w:rsidR="008A116C" w:rsidRPr="00771E6E" w:rsidRDefault="008A116C" w:rsidP="008A116C"/>
    <w:p w14:paraId="784AD76E" w14:textId="77777777" w:rsidR="008A116C" w:rsidRPr="00771E6E" w:rsidRDefault="008A116C" w:rsidP="008A116C">
      <w:pPr>
        <w:pStyle w:val="Subchapter"/>
      </w:pPr>
      <w:bookmarkStart w:id="45" w:name="_Toc3323226"/>
      <w:bookmarkStart w:id="46" w:name="_Toc20167603"/>
      <w:r w:rsidRPr="00771E6E">
        <w:rPr>
          <w:color w:val="000000"/>
        </w:rPr>
        <w:t xml:space="preserve">2.4 </w:t>
      </w:r>
      <w:r w:rsidRPr="00771E6E">
        <w:t>Angels as Guides and Teachers</w:t>
      </w:r>
      <w:bookmarkEnd w:id="45"/>
      <w:bookmarkEnd w:id="46"/>
    </w:p>
    <w:p w14:paraId="6A378DDF" w14:textId="77777777" w:rsidR="008A116C" w:rsidRPr="00771E6E" w:rsidRDefault="008A116C" w:rsidP="008A116C">
      <w:pPr>
        <w:rPr>
          <w:color w:val="000000"/>
        </w:rPr>
      </w:pPr>
    </w:p>
    <w:p w14:paraId="704A880A" w14:textId="77777777" w:rsidR="008A116C" w:rsidRPr="00771E6E" w:rsidRDefault="008A116C" w:rsidP="008A116C">
      <w:pPr>
        <w:pStyle w:val="NormalWeb"/>
        <w:spacing w:before="0" w:beforeAutospacing="0" w:after="0" w:afterAutospacing="0"/>
      </w:pPr>
      <w:r w:rsidRPr="00771E6E">
        <w:t>Visions of angelic companions, as well as the involvement of the lay community in sacred, “angelic” singing and their performance as musical angels during processions and plays, are evidence of a well-established link between human and angelic nature. It would seem that angels were not only acting as role models for members of the clergy to emulate, they were examples for lay people to imitate as well</w:t>
      </w:r>
      <w:r w:rsidRPr="00771E6E">
        <w:rPr>
          <w:color w:val="000000"/>
        </w:rPr>
        <w:t>.</w:t>
      </w:r>
      <w:r w:rsidRPr="00771E6E">
        <w:rPr>
          <w:rStyle w:val="FootnoteReference"/>
        </w:rPr>
        <w:footnoteReference w:id="405"/>
      </w:r>
      <w:r w:rsidRPr="00771E6E">
        <w:rPr>
          <w:color w:val="000000"/>
        </w:rPr>
        <w:t xml:space="preserve"> </w:t>
      </w:r>
      <w:r w:rsidRPr="00771E6E">
        <w:t xml:space="preserve">Considered together, the presence of angels in earthly experience and their exemplary function in promoting the human pursuit of virtue give celestial beings a role similar to that of a teacher or mentor. </w:t>
      </w:r>
    </w:p>
    <w:p w14:paraId="7651D447" w14:textId="77777777" w:rsidR="008A116C" w:rsidRPr="00771E6E" w:rsidRDefault="008A116C" w:rsidP="008A116C">
      <w:pPr>
        <w:widowControl w:val="0"/>
        <w:tabs>
          <w:tab w:val="left" w:pos="220"/>
          <w:tab w:val="left" w:pos="720"/>
        </w:tabs>
        <w:autoSpaceDE w:val="0"/>
        <w:autoSpaceDN w:val="0"/>
        <w:adjustRightInd w:val="0"/>
        <w:ind w:firstLine="720"/>
      </w:pPr>
      <w:r w:rsidRPr="00771E6E">
        <w:t xml:space="preserve">This point is clearly acknowledged </w:t>
      </w:r>
      <w:r w:rsidRPr="00771E6E">
        <w:rPr>
          <w:color w:val="000000"/>
        </w:rPr>
        <w:t>in the twelfth century by</w:t>
      </w:r>
      <w:r w:rsidRPr="00771E6E">
        <w:t xml:space="preserve"> </w:t>
      </w:r>
      <w:r w:rsidRPr="00771E6E">
        <w:rPr>
          <w:color w:val="000000"/>
        </w:rPr>
        <w:t xml:space="preserve">the French abbot </w:t>
      </w:r>
      <w:r w:rsidRPr="00771E6E">
        <w:t xml:space="preserve">Bernard of Clairvaux, among others, who notes that angels are </w:t>
      </w:r>
      <w:r w:rsidRPr="00771E6E">
        <w:rPr>
          <w:color w:val="000000"/>
        </w:rPr>
        <w:t>“</w:t>
      </w:r>
      <w:r w:rsidRPr="00771E6E">
        <w:t>established by the Father and set before us as guides and teachers. For now we are the children of God ... we are small children under guides and teachers.”</w:t>
      </w:r>
      <w:r w:rsidRPr="00771E6E">
        <w:rPr>
          <w:rStyle w:val="FootnoteReference"/>
        </w:rPr>
        <w:footnoteReference w:id="406"/>
      </w:r>
      <w:r w:rsidRPr="00771E6E">
        <w:t xml:space="preserve"> In the same century, a similar view was expressed by the theologian Hugh of Saint-Victor in his treatise </w:t>
      </w:r>
      <w:r w:rsidRPr="00771E6E">
        <w:rPr>
          <w:i/>
          <w:color w:val="000000" w:themeColor="text1"/>
        </w:rPr>
        <w:t>On the six wings of the Cherubim</w:t>
      </w:r>
      <w:r w:rsidRPr="00771E6E">
        <w:t>, according to whom angels’ existence is bound to their mission as mentors for humans: “Thus the seraphim themselves rise when they set us upright, they walk when they help us to make progress, and they stand when they transfix us in holy understanding</w:t>
      </w:r>
      <w:r w:rsidRPr="00771E6E">
        <w:rPr>
          <w:color w:val="000000" w:themeColor="text1"/>
        </w:rPr>
        <w:t>”.</w:t>
      </w:r>
      <w:r w:rsidRPr="00771E6E">
        <w:rPr>
          <w:rStyle w:val="FootnoteReference"/>
        </w:rPr>
        <w:footnoteReference w:id="407"/>
      </w:r>
      <w:r w:rsidRPr="00771E6E">
        <w:rPr>
          <w:color w:val="000000" w:themeColor="text1"/>
        </w:rPr>
        <w:t xml:space="preserve"> </w:t>
      </w:r>
    </w:p>
    <w:p w14:paraId="3C499052" w14:textId="77777777" w:rsidR="008A116C" w:rsidRPr="00771E6E" w:rsidRDefault="008A116C" w:rsidP="008A116C">
      <w:pPr>
        <w:pStyle w:val="NormalWeb"/>
        <w:spacing w:before="0" w:beforeAutospacing="0" w:after="0" w:afterAutospacing="0"/>
        <w:ind w:firstLine="720"/>
        <w:rPr>
          <w:color w:val="000000" w:themeColor="text1"/>
        </w:rPr>
      </w:pPr>
      <w:r w:rsidRPr="00771E6E">
        <w:t xml:space="preserve">Visionary experiences sometimes incorporated an aspect of angelic pedagogy, as for example when the </w:t>
      </w:r>
      <w:proofErr w:type="spellStart"/>
      <w:r w:rsidRPr="00771E6E">
        <w:t>Savonarolan</w:t>
      </w:r>
      <w:proofErr w:type="spellEnd"/>
      <w:r w:rsidRPr="00771E6E">
        <w:t xml:space="preserve"> Fra Domenico da </w:t>
      </w:r>
      <w:proofErr w:type="spellStart"/>
      <w:r w:rsidRPr="00771E6E">
        <w:t>Pescia</w:t>
      </w:r>
      <w:proofErr w:type="spellEnd"/>
      <w:r w:rsidRPr="00771E6E">
        <w:t xml:space="preserve"> reports that his companion Fra Silvestro </w:t>
      </w:r>
      <w:proofErr w:type="spellStart"/>
      <w:r w:rsidRPr="00771E6E">
        <w:t>Maruffi</w:t>
      </w:r>
      <w:proofErr w:type="spellEnd"/>
      <w:r w:rsidRPr="00771E6E">
        <w:t xml:space="preserve"> was taught the song </w:t>
      </w:r>
      <w:r w:rsidRPr="00771E6E">
        <w:rPr>
          <w:i/>
        </w:rPr>
        <w:t xml:space="preserve">Ecce </w:t>
      </w:r>
      <w:proofErr w:type="spellStart"/>
      <w:r w:rsidRPr="00771E6E">
        <w:rPr>
          <w:i/>
        </w:rPr>
        <w:t>quam</w:t>
      </w:r>
      <w:proofErr w:type="spellEnd"/>
      <w:r w:rsidRPr="00771E6E">
        <w:rPr>
          <w:i/>
        </w:rPr>
        <w:t xml:space="preserve"> </w:t>
      </w:r>
      <w:proofErr w:type="spellStart"/>
      <w:r w:rsidRPr="00771E6E">
        <w:rPr>
          <w:i/>
        </w:rPr>
        <w:t>bonum</w:t>
      </w:r>
      <w:proofErr w:type="spellEnd"/>
      <w:r w:rsidRPr="00771E6E">
        <w:t xml:space="preserve"> </w:t>
      </w:r>
      <w:r w:rsidRPr="00771E6E">
        <w:rPr>
          <w:i/>
        </w:rPr>
        <w:t xml:space="preserve">et </w:t>
      </w:r>
      <w:proofErr w:type="spellStart"/>
      <w:r w:rsidRPr="00771E6E">
        <w:rPr>
          <w:i/>
        </w:rPr>
        <w:t>quam</w:t>
      </w:r>
      <w:proofErr w:type="spellEnd"/>
      <w:r w:rsidRPr="00771E6E">
        <w:rPr>
          <w:i/>
        </w:rPr>
        <w:t xml:space="preserve"> </w:t>
      </w:r>
      <w:proofErr w:type="spellStart"/>
      <w:r w:rsidRPr="00771E6E">
        <w:rPr>
          <w:i/>
        </w:rPr>
        <w:t>iocundum</w:t>
      </w:r>
      <w:proofErr w:type="spellEnd"/>
      <w:r w:rsidRPr="00771E6E">
        <w:rPr>
          <w:i/>
        </w:rPr>
        <w:t xml:space="preserve"> </w:t>
      </w:r>
      <w:proofErr w:type="spellStart"/>
      <w:r w:rsidRPr="00771E6E">
        <w:rPr>
          <w:i/>
        </w:rPr>
        <w:t>habitare</w:t>
      </w:r>
      <w:proofErr w:type="spellEnd"/>
      <w:r w:rsidRPr="00771E6E">
        <w:rPr>
          <w:i/>
        </w:rPr>
        <w:t xml:space="preserve"> </w:t>
      </w:r>
      <w:proofErr w:type="spellStart"/>
      <w:r w:rsidRPr="00771E6E">
        <w:rPr>
          <w:i/>
        </w:rPr>
        <w:t>fratres</w:t>
      </w:r>
      <w:proofErr w:type="spellEnd"/>
      <w:r w:rsidRPr="00771E6E">
        <w:rPr>
          <w:i/>
        </w:rPr>
        <w:t xml:space="preserve"> in </w:t>
      </w:r>
      <w:proofErr w:type="spellStart"/>
      <w:r w:rsidRPr="00771E6E">
        <w:rPr>
          <w:i/>
        </w:rPr>
        <w:t>unum</w:t>
      </w:r>
      <w:proofErr w:type="spellEnd"/>
      <w:r w:rsidRPr="00771E6E">
        <w:t xml:space="preserve"> (</w:t>
      </w:r>
      <w:r w:rsidRPr="00771E6E">
        <w:rPr>
          <w:color w:val="000000" w:themeColor="text1"/>
        </w:rPr>
        <w:t xml:space="preserve">Behold how good and how pleasant it is for brethren to dwell together in unity), from the first verse of Psalm 132, by an angel: “Our angels appeared to Fra Silvestro (I say angels, because I believed them to be so), and with a braid, or actually a chain of gold, they bound us together, singing, if I remember rightly: </w:t>
      </w:r>
      <w:r w:rsidRPr="00771E6E">
        <w:rPr>
          <w:i/>
          <w:color w:val="000000" w:themeColor="text1"/>
        </w:rPr>
        <w:t xml:space="preserve">Ecce </w:t>
      </w:r>
      <w:proofErr w:type="spellStart"/>
      <w:r w:rsidRPr="00771E6E">
        <w:rPr>
          <w:i/>
          <w:color w:val="000000" w:themeColor="text1"/>
        </w:rPr>
        <w:t>quam</w:t>
      </w:r>
      <w:proofErr w:type="spellEnd"/>
      <w:r w:rsidRPr="00771E6E">
        <w:rPr>
          <w:i/>
          <w:color w:val="000000" w:themeColor="text1"/>
        </w:rPr>
        <w:t xml:space="preserve"> </w:t>
      </w:r>
      <w:proofErr w:type="spellStart"/>
      <w:r w:rsidRPr="00771E6E">
        <w:rPr>
          <w:i/>
          <w:color w:val="000000" w:themeColor="text1"/>
        </w:rPr>
        <w:t>bonum</w:t>
      </w:r>
      <w:proofErr w:type="spellEnd"/>
      <w:r w:rsidRPr="00771E6E">
        <w:rPr>
          <w:i/>
          <w:color w:val="000000" w:themeColor="text1"/>
        </w:rPr>
        <w:t xml:space="preserve"> et </w:t>
      </w:r>
      <w:proofErr w:type="spellStart"/>
      <w:r w:rsidRPr="00771E6E">
        <w:rPr>
          <w:i/>
          <w:color w:val="000000" w:themeColor="text1"/>
        </w:rPr>
        <w:lastRenderedPageBreak/>
        <w:t>quam</w:t>
      </w:r>
      <w:proofErr w:type="spellEnd"/>
      <w:r w:rsidRPr="00771E6E">
        <w:rPr>
          <w:i/>
          <w:color w:val="000000" w:themeColor="text1"/>
        </w:rPr>
        <w:t xml:space="preserve"> </w:t>
      </w:r>
      <w:proofErr w:type="spellStart"/>
      <w:r w:rsidRPr="00771E6E">
        <w:rPr>
          <w:i/>
          <w:color w:val="000000" w:themeColor="text1"/>
        </w:rPr>
        <w:t>iocundum</w:t>
      </w:r>
      <w:proofErr w:type="spellEnd"/>
      <w:r w:rsidRPr="00771E6E">
        <w:rPr>
          <w:i/>
          <w:color w:val="000000" w:themeColor="text1"/>
        </w:rPr>
        <w:t xml:space="preserve"> </w:t>
      </w:r>
      <w:proofErr w:type="spellStart"/>
      <w:r w:rsidRPr="00771E6E">
        <w:rPr>
          <w:i/>
          <w:color w:val="000000" w:themeColor="text1"/>
        </w:rPr>
        <w:t>habitare</w:t>
      </w:r>
      <w:proofErr w:type="spellEnd"/>
      <w:r w:rsidRPr="00771E6E">
        <w:rPr>
          <w:i/>
          <w:color w:val="000000" w:themeColor="text1"/>
        </w:rPr>
        <w:t xml:space="preserve"> </w:t>
      </w:r>
      <w:proofErr w:type="spellStart"/>
      <w:r w:rsidRPr="00771E6E">
        <w:rPr>
          <w:i/>
          <w:color w:val="000000" w:themeColor="text1"/>
        </w:rPr>
        <w:t>fratres</w:t>
      </w:r>
      <w:proofErr w:type="spellEnd"/>
      <w:r w:rsidRPr="00771E6E">
        <w:rPr>
          <w:i/>
          <w:color w:val="000000" w:themeColor="text1"/>
        </w:rPr>
        <w:t xml:space="preserve"> in </w:t>
      </w:r>
      <w:proofErr w:type="spellStart"/>
      <w:r w:rsidRPr="00771E6E">
        <w:rPr>
          <w:i/>
          <w:color w:val="000000" w:themeColor="text1"/>
        </w:rPr>
        <w:t>unum</w:t>
      </w:r>
      <w:proofErr w:type="spellEnd"/>
      <w:r w:rsidRPr="00771E6E">
        <w:rPr>
          <w:color w:val="000000" w:themeColor="text1"/>
        </w:rPr>
        <w:t>”.</w:t>
      </w:r>
      <w:r w:rsidRPr="00771E6E">
        <w:rPr>
          <w:rStyle w:val="FootnoteReference"/>
        </w:rPr>
        <w:footnoteReference w:id="408"/>
      </w:r>
      <w:r w:rsidRPr="00771E6E">
        <w:rPr>
          <w:color w:val="000000" w:themeColor="text1"/>
        </w:rPr>
        <w:t xml:space="preserve"> The song was thereafter sung by the friars of San Marco during processions, in the second half of the 1490s.</w:t>
      </w:r>
      <w:r w:rsidRPr="00771E6E">
        <w:rPr>
          <w:rStyle w:val="FootnoteReference"/>
        </w:rPr>
        <w:footnoteReference w:id="409"/>
      </w:r>
      <w:r w:rsidRPr="00771E6E">
        <w:rPr>
          <w:color w:val="000000" w:themeColor="text1"/>
        </w:rPr>
        <w:t xml:space="preserve"> In his </w:t>
      </w:r>
      <w:proofErr w:type="spellStart"/>
      <w:r w:rsidRPr="00771E6E">
        <w:rPr>
          <w:i/>
          <w:color w:val="000000" w:themeColor="text1"/>
        </w:rPr>
        <w:t>Legenda</w:t>
      </w:r>
      <w:proofErr w:type="spellEnd"/>
      <w:r w:rsidRPr="00771E6E">
        <w:rPr>
          <w:i/>
          <w:color w:val="000000" w:themeColor="text1"/>
        </w:rPr>
        <w:t xml:space="preserve"> Aurea</w:t>
      </w:r>
      <w:r w:rsidRPr="00771E6E">
        <w:rPr>
          <w:color w:val="000000" w:themeColor="text1"/>
        </w:rPr>
        <w:t xml:space="preserve">, </w:t>
      </w:r>
      <w:proofErr w:type="spellStart"/>
      <w:r w:rsidRPr="00771E6E">
        <w:rPr>
          <w:color w:val="000000" w:themeColor="text1"/>
        </w:rPr>
        <w:t>Voragine</w:t>
      </w:r>
      <w:proofErr w:type="spellEnd"/>
      <w:r w:rsidRPr="00771E6E">
        <w:rPr>
          <w:color w:val="000000" w:themeColor="text1"/>
        </w:rPr>
        <w:t xml:space="preserve"> reports from John of Damascus that, during the litanies, </w:t>
      </w:r>
      <w:r w:rsidRPr="00771E6E">
        <w:rPr>
          <w:noProof/>
          <w:color w:val="000000" w:themeColor="text1"/>
        </w:rPr>
        <w:t xml:space="preserve">a boy was carried to heaven, where he learned the angelic canticle </w:t>
      </w:r>
      <w:r w:rsidRPr="00771E6E">
        <w:rPr>
          <w:i/>
          <w:noProof/>
          <w:color w:val="000000" w:themeColor="text1"/>
        </w:rPr>
        <w:t>Sancte Deus, sancte fortis, sancte et immortalis, miserere nobis</w:t>
      </w:r>
      <w:r w:rsidRPr="00771E6E">
        <w:rPr>
          <w:noProof/>
          <w:color w:val="000000" w:themeColor="text1"/>
        </w:rPr>
        <w:t>, which he sung to the congregation upon his return.</w:t>
      </w:r>
      <w:r w:rsidRPr="00771E6E">
        <w:rPr>
          <w:rStyle w:val="FootnoteReference"/>
        </w:rPr>
        <w:footnoteReference w:id="410"/>
      </w:r>
      <w:r w:rsidRPr="00771E6E">
        <w:rPr>
          <w:noProof/>
          <w:color w:val="000000" w:themeColor="text1"/>
        </w:rPr>
        <w:t xml:space="preserve"> </w:t>
      </w:r>
      <w:r w:rsidRPr="00771E6E">
        <w:rPr>
          <w:color w:val="000000" w:themeColor="text1"/>
        </w:rPr>
        <w:t xml:space="preserve">Moreover, the idea that music students were encouraged to relate to musical angels was reinforced by Nicolaus de Capua, who, as seen above, substituted the concept of </w:t>
      </w:r>
      <w:proofErr w:type="spellStart"/>
      <w:r w:rsidRPr="00771E6E">
        <w:rPr>
          <w:i/>
          <w:color w:val="000000" w:themeColor="text1"/>
        </w:rPr>
        <w:t>musica</w:t>
      </w:r>
      <w:proofErr w:type="spellEnd"/>
      <w:r w:rsidRPr="00771E6E">
        <w:rPr>
          <w:i/>
          <w:color w:val="000000" w:themeColor="text1"/>
        </w:rPr>
        <w:t xml:space="preserve"> </w:t>
      </w:r>
      <w:proofErr w:type="spellStart"/>
      <w:r w:rsidRPr="00771E6E">
        <w:rPr>
          <w:i/>
          <w:color w:val="000000" w:themeColor="text1"/>
        </w:rPr>
        <w:t>mundana</w:t>
      </w:r>
      <w:proofErr w:type="spellEnd"/>
      <w:r w:rsidRPr="00771E6E">
        <w:rPr>
          <w:i/>
          <w:color w:val="000000" w:themeColor="text1"/>
        </w:rPr>
        <w:t xml:space="preserve"> </w:t>
      </w:r>
      <w:r w:rsidRPr="00771E6E">
        <w:rPr>
          <w:color w:val="000000" w:themeColor="text1"/>
        </w:rPr>
        <w:t xml:space="preserve">with that of </w:t>
      </w:r>
      <w:proofErr w:type="spellStart"/>
      <w:r w:rsidRPr="00771E6E">
        <w:rPr>
          <w:i/>
          <w:color w:val="000000" w:themeColor="text1"/>
        </w:rPr>
        <w:t>musica</w:t>
      </w:r>
      <w:proofErr w:type="spellEnd"/>
      <w:r w:rsidRPr="00771E6E">
        <w:rPr>
          <w:i/>
          <w:color w:val="000000" w:themeColor="text1"/>
        </w:rPr>
        <w:t xml:space="preserve"> angelica </w:t>
      </w:r>
      <w:r w:rsidRPr="00771E6E">
        <w:rPr>
          <w:color w:val="000000" w:themeColor="text1"/>
        </w:rPr>
        <w:t xml:space="preserve">in his didactic work </w:t>
      </w:r>
      <w:r w:rsidRPr="00771E6E">
        <w:rPr>
          <w:i/>
          <w:color w:val="000000" w:themeColor="text1"/>
        </w:rPr>
        <w:t>Compendium musicale</w:t>
      </w:r>
      <w:r w:rsidRPr="00771E6E">
        <w:rPr>
          <w:color w:val="000000" w:themeColor="text1"/>
        </w:rPr>
        <w:t>, intended to help young pupils to memorise the rules of singing.</w:t>
      </w:r>
      <w:r w:rsidRPr="00771E6E">
        <w:rPr>
          <w:rStyle w:val="FootnoteReference"/>
        </w:rPr>
        <w:footnoteReference w:id="411"/>
      </w:r>
      <w:r w:rsidRPr="00771E6E">
        <w:rPr>
          <w:color w:val="000000" w:themeColor="text1"/>
        </w:rPr>
        <w:t xml:space="preserve"> </w:t>
      </w:r>
    </w:p>
    <w:p w14:paraId="6D325C3F" w14:textId="77777777" w:rsidR="008A116C" w:rsidRPr="00771E6E" w:rsidRDefault="008A116C" w:rsidP="008A116C">
      <w:pPr>
        <w:widowControl w:val="0"/>
        <w:tabs>
          <w:tab w:val="left" w:pos="220"/>
          <w:tab w:val="left" w:pos="720"/>
        </w:tabs>
        <w:autoSpaceDE w:val="0"/>
        <w:autoSpaceDN w:val="0"/>
        <w:adjustRightInd w:val="0"/>
        <w:rPr>
          <w:color w:val="000000" w:themeColor="text1"/>
        </w:rPr>
      </w:pPr>
      <w:r w:rsidRPr="00771E6E">
        <w:rPr>
          <w:color w:val="000000" w:themeColor="text1"/>
        </w:rPr>
        <w:tab/>
      </w:r>
      <w:r w:rsidRPr="00771E6E">
        <w:rPr>
          <w:color w:val="000000" w:themeColor="text1"/>
        </w:rPr>
        <w:tab/>
      </w:r>
      <w:r w:rsidRPr="00771E6E">
        <w:t>As well as their pedagogic role, it was also widely believed that angels would act as guardians for human beings, protecting them from harm</w:t>
      </w:r>
      <w:r w:rsidRPr="00771E6E">
        <w:rPr>
          <w:color w:val="000000" w:themeColor="text1"/>
        </w:rPr>
        <w:t>. During the thirteenth century, a prayer to the guardian angel was officially incorporated into the liturgy.</w:t>
      </w:r>
      <w:r w:rsidRPr="00771E6E">
        <w:rPr>
          <w:rStyle w:val="FootnoteReference"/>
        </w:rPr>
        <w:footnoteReference w:id="412"/>
      </w:r>
      <w:r w:rsidRPr="00771E6E">
        <w:rPr>
          <w:color w:val="000000" w:themeColor="text1"/>
        </w:rPr>
        <w:t xml:space="preserve"> Around the same time, Thomas Aquinas stated that “the final and principal effect of guardianship </w:t>
      </w:r>
      <w:r w:rsidRPr="00771E6E">
        <w:t xml:space="preserve">is enlightenment by instruction,” restating the ideas about angels’ pedagogical role </w:t>
      </w:r>
      <w:r w:rsidRPr="00771E6E">
        <w:rPr>
          <w:color w:val="000000" w:themeColor="text1"/>
        </w:rPr>
        <w:t>that had been expressed a century earlier, but this time linking it to their function as guardians.</w:t>
      </w:r>
      <w:r w:rsidRPr="00771E6E">
        <w:rPr>
          <w:rStyle w:val="FootnoteReference"/>
        </w:rPr>
        <w:footnoteReference w:id="413"/>
      </w:r>
      <w:r w:rsidRPr="00771E6E">
        <w:rPr>
          <w:color w:val="000000" w:themeColor="text1"/>
        </w:rPr>
        <w:t xml:space="preserve"> Angels were therefore considered to be both teachers and protectors. Jacobus da </w:t>
      </w:r>
      <w:proofErr w:type="spellStart"/>
      <w:r w:rsidRPr="00771E6E">
        <w:rPr>
          <w:color w:val="000000" w:themeColor="text1"/>
        </w:rPr>
        <w:t>Voragine</w:t>
      </w:r>
      <w:proofErr w:type="spellEnd"/>
      <w:r w:rsidRPr="00771E6E">
        <w:rPr>
          <w:color w:val="000000" w:themeColor="text1"/>
        </w:rPr>
        <w:t xml:space="preserve"> even assigned two angels per human being: “to every man two angels are given, one good and the other bad, the bad one to test him and the good one to protect him”, which further </w:t>
      </w:r>
      <w:proofErr w:type="spellStart"/>
      <w:r w:rsidRPr="00771E6E">
        <w:rPr>
          <w:color w:val="000000" w:themeColor="text1"/>
        </w:rPr>
        <w:t>emphasised</w:t>
      </w:r>
      <w:proofErr w:type="spellEnd"/>
      <w:r w:rsidRPr="00771E6E">
        <w:rPr>
          <w:color w:val="000000" w:themeColor="text1"/>
        </w:rPr>
        <w:t xml:space="preserve"> the moral implications of human </w:t>
      </w:r>
      <w:proofErr w:type="spellStart"/>
      <w:r w:rsidRPr="00771E6E">
        <w:rPr>
          <w:color w:val="000000" w:themeColor="text1"/>
        </w:rPr>
        <w:t>behaviour</w:t>
      </w:r>
      <w:proofErr w:type="spellEnd"/>
      <w:r w:rsidRPr="00771E6E">
        <w:rPr>
          <w:color w:val="000000" w:themeColor="text1"/>
        </w:rPr>
        <w:t>.</w:t>
      </w:r>
      <w:r w:rsidRPr="00771E6E">
        <w:rPr>
          <w:rStyle w:val="FootnoteReference"/>
        </w:rPr>
        <w:footnoteReference w:id="414"/>
      </w:r>
      <w:r w:rsidRPr="00771E6E">
        <w:rPr>
          <w:color w:val="000000" w:themeColor="text1"/>
        </w:rPr>
        <w:t xml:space="preserve"> Similarly, his contemporary, Saint </w:t>
      </w:r>
      <w:proofErr w:type="spellStart"/>
      <w:r w:rsidRPr="00771E6E">
        <w:rPr>
          <w:color w:val="000000" w:themeColor="text1"/>
        </w:rPr>
        <w:t>Umiltà</w:t>
      </w:r>
      <w:proofErr w:type="spellEnd"/>
      <w:r w:rsidRPr="00771E6E">
        <w:rPr>
          <w:color w:val="000000" w:themeColor="text1"/>
        </w:rPr>
        <w:t xml:space="preserve"> of Faenza, in her </w:t>
      </w:r>
      <w:r w:rsidRPr="00771E6E">
        <w:rPr>
          <w:i/>
          <w:color w:val="000000" w:themeColor="text1"/>
        </w:rPr>
        <w:t xml:space="preserve">De </w:t>
      </w:r>
      <w:proofErr w:type="spellStart"/>
      <w:r w:rsidRPr="00771E6E">
        <w:rPr>
          <w:i/>
          <w:color w:val="000000" w:themeColor="text1"/>
        </w:rPr>
        <w:t>angelis</w:t>
      </w:r>
      <w:proofErr w:type="spellEnd"/>
      <w:r w:rsidRPr="00771E6E">
        <w:rPr>
          <w:i/>
          <w:color w:val="000000" w:themeColor="text1"/>
        </w:rPr>
        <w:t xml:space="preserve"> </w:t>
      </w:r>
      <w:proofErr w:type="spellStart"/>
      <w:r w:rsidRPr="00771E6E">
        <w:rPr>
          <w:i/>
          <w:color w:val="000000" w:themeColor="text1"/>
        </w:rPr>
        <w:t>sanctis</w:t>
      </w:r>
      <w:proofErr w:type="spellEnd"/>
      <w:r w:rsidRPr="00771E6E">
        <w:rPr>
          <w:color w:val="000000" w:themeColor="text1"/>
        </w:rPr>
        <w:t xml:space="preserve"> (On the Holy Angels), claimed that two angels named </w:t>
      </w:r>
      <w:proofErr w:type="spellStart"/>
      <w:r w:rsidRPr="00771E6E">
        <w:rPr>
          <w:color w:val="000000" w:themeColor="text1"/>
        </w:rPr>
        <w:t>Sapiel</w:t>
      </w:r>
      <w:proofErr w:type="spellEnd"/>
      <w:r w:rsidRPr="00771E6E">
        <w:rPr>
          <w:color w:val="000000" w:themeColor="text1"/>
        </w:rPr>
        <w:t xml:space="preserve"> and Emmanuel were sent by God to be her guardians, although in this case both were charged with her protection.</w:t>
      </w:r>
      <w:r w:rsidRPr="00771E6E">
        <w:rPr>
          <w:rStyle w:val="FootnoteReference"/>
        </w:rPr>
        <w:footnoteReference w:id="415"/>
      </w:r>
    </w:p>
    <w:p w14:paraId="4009E183" w14:textId="77777777" w:rsidR="008A116C" w:rsidRPr="00771E6E" w:rsidRDefault="008A116C" w:rsidP="008A116C">
      <w:pPr>
        <w:widowControl w:val="0"/>
        <w:tabs>
          <w:tab w:val="left" w:pos="220"/>
          <w:tab w:val="left" w:pos="720"/>
        </w:tabs>
        <w:autoSpaceDE w:val="0"/>
        <w:autoSpaceDN w:val="0"/>
        <w:adjustRightInd w:val="0"/>
        <w:rPr>
          <w:color w:val="000000" w:themeColor="text1"/>
        </w:rPr>
      </w:pPr>
      <w:r w:rsidRPr="00771E6E">
        <w:rPr>
          <w:color w:val="000000" w:themeColor="text1"/>
        </w:rPr>
        <w:tab/>
      </w:r>
      <w:r w:rsidRPr="00771E6E">
        <w:rPr>
          <w:color w:val="000000" w:themeColor="text1"/>
        </w:rPr>
        <w:tab/>
        <w:t xml:space="preserve">The idea that angels protected human beings was very common. Some authors </w:t>
      </w:r>
      <w:r w:rsidRPr="00771E6E">
        <w:rPr>
          <w:color w:val="000000" w:themeColor="text1"/>
        </w:rPr>
        <w:lastRenderedPageBreak/>
        <w:t>believed that angelic protection started before even the moment of birth.</w:t>
      </w:r>
      <w:r w:rsidRPr="00771E6E">
        <w:rPr>
          <w:rStyle w:val="FootnoteReference"/>
        </w:rPr>
        <w:footnoteReference w:id="416"/>
      </w:r>
      <w:r w:rsidRPr="00771E6E">
        <w:rPr>
          <w:color w:val="000000" w:themeColor="text1"/>
        </w:rPr>
        <w:t xml:space="preserve"> The Franciscan Saint Bonaventure, in his commentary on Peter Lombard’s </w:t>
      </w:r>
      <w:r w:rsidRPr="00771E6E">
        <w:rPr>
          <w:i/>
          <w:color w:val="000000" w:themeColor="text1"/>
        </w:rPr>
        <w:t>Sentences</w:t>
      </w:r>
      <w:r w:rsidRPr="00771E6E">
        <w:rPr>
          <w:color w:val="000000" w:themeColor="text1"/>
        </w:rPr>
        <w:t xml:space="preserve">, asserted that the relationship between human beings and their guardian angels would start from the moment of conception, as the angels would protect the </w:t>
      </w:r>
      <w:proofErr w:type="spellStart"/>
      <w:r w:rsidRPr="00771E6E">
        <w:rPr>
          <w:color w:val="000000" w:themeColor="text1"/>
        </w:rPr>
        <w:t>foetus</w:t>
      </w:r>
      <w:proofErr w:type="spellEnd"/>
      <w:r w:rsidRPr="00771E6E">
        <w:rPr>
          <w:color w:val="000000" w:themeColor="text1"/>
        </w:rPr>
        <w:t xml:space="preserve">’ soul: “it is understood that an angel is assigned to the custody of a man from his birth; meaning not only the birth </w:t>
      </w:r>
      <w:r w:rsidRPr="00771E6E">
        <w:rPr>
          <w:i/>
          <w:color w:val="000000" w:themeColor="text1"/>
        </w:rPr>
        <w:t>from</w:t>
      </w:r>
      <w:r w:rsidRPr="00771E6E">
        <w:rPr>
          <w:color w:val="000000" w:themeColor="text1"/>
        </w:rPr>
        <w:t xml:space="preserve"> the womb, but also the conception </w:t>
      </w:r>
      <w:r w:rsidRPr="00771E6E">
        <w:rPr>
          <w:i/>
          <w:color w:val="000000" w:themeColor="text1"/>
        </w:rPr>
        <w:t>in</w:t>
      </w:r>
      <w:r w:rsidRPr="00771E6E">
        <w:rPr>
          <w:color w:val="000000" w:themeColor="text1"/>
        </w:rPr>
        <w:t xml:space="preserve"> the womb. From this moment and not before, angelic custody must be assigned to him who is born” (my </w:t>
      </w:r>
      <w:r w:rsidR="00AB409C" w:rsidRPr="00771E6E">
        <w:rPr>
          <w:color w:val="000000" w:themeColor="text1"/>
        </w:rPr>
        <w:t>I</w:t>
      </w:r>
      <w:r w:rsidRPr="00771E6E">
        <w:rPr>
          <w:color w:val="000000" w:themeColor="text1"/>
        </w:rPr>
        <w:t>talics).</w:t>
      </w:r>
      <w:r w:rsidRPr="00771E6E">
        <w:rPr>
          <w:rStyle w:val="FootnoteReference"/>
        </w:rPr>
        <w:footnoteReference w:id="417"/>
      </w:r>
      <w:r w:rsidRPr="00771E6E">
        <w:rPr>
          <w:color w:val="000000" w:themeColor="text1"/>
        </w:rPr>
        <w:t xml:space="preserve"> </w:t>
      </w:r>
      <w:r w:rsidRPr="00771E6E">
        <w:t>Similarly, around the same time, Thomas Aquinas stated that:</w:t>
      </w:r>
    </w:p>
    <w:p w14:paraId="561D258C" w14:textId="77777777" w:rsidR="008A116C" w:rsidRPr="00771E6E" w:rsidRDefault="008A116C" w:rsidP="008A116C">
      <w:pPr>
        <w:widowControl w:val="0"/>
        <w:tabs>
          <w:tab w:val="left" w:pos="220"/>
          <w:tab w:val="left" w:pos="720"/>
        </w:tabs>
        <w:autoSpaceDE w:val="0"/>
        <w:autoSpaceDN w:val="0"/>
        <w:adjustRightInd w:val="0"/>
      </w:pPr>
    </w:p>
    <w:p w14:paraId="37364639" w14:textId="77777777" w:rsidR="008A116C" w:rsidRPr="00771E6E" w:rsidRDefault="008A116C" w:rsidP="008A116C">
      <w:pPr>
        <w:pStyle w:val="IntenseQuote"/>
      </w:pPr>
      <w:r w:rsidRPr="00771E6E">
        <w:t xml:space="preserve">The endowments bestowed by God on man as a rational being are given at the moment of birth … Among the latter kind of endowments is the guardianship of the angels … So, from the very moment of his birth man has an angel appointed to guard him … So long as the child is in mother’s womb it is not altogether separate from its mother … so it can be said with some probability that the angel guarding the mother also guards the child in its mother’s </w:t>
      </w:r>
      <w:r w:rsidRPr="00771E6E">
        <w:rPr>
          <w:color w:val="000000" w:themeColor="text1"/>
        </w:rPr>
        <w:t>womb.</w:t>
      </w:r>
      <w:r w:rsidRPr="00771E6E">
        <w:rPr>
          <w:rStyle w:val="FootnoteReference"/>
        </w:rPr>
        <w:footnoteReference w:id="418"/>
      </w:r>
      <w:r w:rsidRPr="00771E6E">
        <w:rPr>
          <w:color w:val="000000" w:themeColor="text1"/>
        </w:rPr>
        <w:t xml:space="preserve">  </w:t>
      </w:r>
    </w:p>
    <w:p w14:paraId="3830D4CB" w14:textId="77777777" w:rsidR="008A116C" w:rsidRPr="00771E6E" w:rsidRDefault="008A116C" w:rsidP="008A116C">
      <w:pPr>
        <w:widowControl w:val="0"/>
        <w:tabs>
          <w:tab w:val="left" w:pos="220"/>
          <w:tab w:val="left" w:pos="720"/>
        </w:tabs>
        <w:autoSpaceDE w:val="0"/>
        <w:autoSpaceDN w:val="0"/>
        <w:adjustRightInd w:val="0"/>
      </w:pPr>
    </w:p>
    <w:p w14:paraId="446052A7" w14:textId="77777777" w:rsidR="008A116C" w:rsidRPr="00771E6E" w:rsidRDefault="008A116C" w:rsidP="008A116C">
      <w:pPr>
        <w:widowControl w:val="0"/>
        <w:tabs>
          <w:tab w:val="left" w:pos="220"/>
          <w:tab w:val="left" w:pos="720"/>
        </w:tabs>
        <w:autoSpaceDE w:val="0"/>
        <w:autoSpaceDN w:val="0"/>
        <w:adjustRightInd w:val="0"/>
        <w:rPr>
          <w:color w:val="000000"/>
        </w:rPr>
      </w:pPr>
      <w:r w:rsidRPr="00771E6E">
        <w:rPr>
          <w:color w:val="000000"/>
        </w:rPr>
        <w:t>Either from the moment of conception or birth, guardian angels were believed to remain</w:t>
      </w:r>
      <w:r w:rsidRPr="00771E6E">
        <w:rPr>
          <w:rStyle w:val="CommentReference"/>
        </w:rPr>
        <w:t xml:space="preserve"> </w:t>
      </w:r>
      <w:r w:rsidRPr="00771E6E">
        <w:rPr>
          <w:rStyle w:val="CommentReference"/>
          <w:sz w:val="24"/>
          <w:szCs w:val="24"/>
        </w:rPr>
        <w:t>beside</w:t>
      </w:r>
      <w:r w:rsidRPr="00771E6E">
        <w:rPr>
          <w:rStyle w:val="CommentReference"/>
        </w:rPr>
        <w:t xml:space="preserve"> </w:t>
      </w:r>
      <w:r w:rsidRPr="00771E6E">
        <w:rPr>
          <w:color w:val="000000"/>
        </w:rPr>
        <w:t xml:space="preserve">an individual and protect them until the moment of their death, as depicted in a miniature in a Book of Hours created in Naples around 1460 (fig. 2.17). In this, an angel is presenting a kneeling devotee to Christ, with a scroll bearing the words “Ecce Servitor </w:t>
      </w:r>
      <w:proofErr w:type="spellStart"/>
      <w:r w:rsidRPr="00771E6E">
        <w:rPr>
          <w:color w:val="000000"/>
        </w:rPr>
        <w:t>tuus</w:t>
      </w:r>
      <w:proofErr w:type="spellEnd"/>
      <w:r w:rsidRPr="00771E6E">
        <w:rPr>
          <w:color w:val="000000"/>
        </w:rPr>
        <w:t>” (Here is your servant).</w:t>
      </w:r>
    </w:p>
    <w:p w14:paraId="3E4FA184" w14:textId="77777777" w:rsidR="008A116C" w:rsidRPr="00771E6E" w:rsidRDefault="008A116C" w:rsidP="008A116C">
      <w:pPr>
        <w:widowControl w:val="0"/>
        <w:tabs>
          <w:tab w:val="left" w:pos="220"/>
          <w:tab w:val="left" w:pos="720"/>
        </w:tabs>
        <w:autoSpaceDE w:val="0"/>
        <w:autoSpaceDN w:val="0"/>
        <w:adjustRightInd w:val="0"/>
        <w:ind w:firstLine="720"/>
        <w:rPr>
          <w:color w:val="000000" w:themeColor="text1"/>
        </w:rPr>
      </w:pPr>
      <w:r w:rsidRPr="00771E6E">
        <w:rPr>
          <w:color w:val="000000"/>
        </w:rPr>
        <w:t xml:space="preserve">Thus, angels appear to be associated with both pedagogic and custodial roles. Especially when considered in relation to children, they could be interpreted as personal guides, as is clear in the reception of the story of Tobias </w:t>
      </w:r>
      <w:r w:rsidRPr="00771E6E">
        <w:rPr>
          <w:color w:val="000000" w:themeColor="text1"/>
        </w:rPr>
        <w:t xml:space="preserve">and the angel in Italian Renaissance art. The Book of Tobit sees the Archangel Raphael, disguised as a human being, accompanying the young Tobias in his journey from Nineveh to Media to collect his father Tobit’s monetary deposits. The biblical focus of the story is a miracle in which Tobit’s blindness was cured using a fish retrieved by his son from a river during the journey; however, artistic representations of the story are concerned principally with the </w:t>
      </w:r>
      <w:r w:rsidRPr="00771E6E">
        <w:rPr>
          <w:color w:val="000000" w:themeColor="text1"/>
        </w:rPr>
        <w:lastRenderedPageBreak/>
        <w:t>journey itself, and depict the fish in Tobias’ hands only as an aid to the identification of the subject. Raphael is usually represented as an angel with wings rather than disguised in human form, and Tobias appears much younger than his biblical counterpart. These creative adaptations suggest Raphael’s role as a guide, and in a sense served to establish him as an archetypal Guardian Angel.</w:t>
      </w:r>
      <w:r w:rsidRPr="00771E6E">
        <w:rPr>
          <w:rStyle w:val="FootnoteReference"/>
        </w:rPr>
        <w:footnoteReference w:id="419"/>
      </w:r>
      <w:r w:rsidRPr="00771E6E">
        <w:rPr>
          <w:color w:val="000000" w:themeColor="text1"/>
        </w:rPr>
        <w:t xml:space="preserve"> The childlike Tobias is found in Italian art from the mid-fourteenth century (see, for example, a fresco in San Zeno, Verona, from ca. 1350), and it continues through the fifteenth into the first half of the sixteenth century.</w:t>
      </w:r>
      <w:r w:rsidRPr="00771E6E">
        <w:rPr>
          <w:rStyle w:val="FootnoteReference"/>
        </w:rPr>
        <w:footnoteReference w:id="420"/>
      </w:r>
      <w:r w:rsidRPr="00771E6E">
        <w:rPr>
          <w:color w:val="000000" w:themeColor="text1"/>
        </w:rPr>
        <w:t xml:space="preserve"> Tobias appears as a young child on a pillar in the church of Sant Agostino, San </w:t>
      </w:r>
      <w:proofErr w:type="spellStart"/>
      <w:r w:rsidRPr="00771E6E">
        <w:rPr>
          <w:color w:val="000000" w:themeColor="text1"/>
        </w:rPr>
        <w:t>Gimignano</w:t>
      </w:r>
      <w:proofErr w:type="spellEnd"/>
      <w:r w:rsidRPr="00771E6E">
        <w:rPr>
          <w:color w:val="000000" w:themeColor="text1"/>
        </w:rPr>
        <w:t xml:space="preserve">, frescoed by </w:t>
      </w:r>
      <w:proofErr w:type="spellStart"/>
      <w:r w:rsidRPr="00771E6E">
        <w:rPr>
          <w:color w:val="000000" w:themeColor="text1"/>
        </w:rPr>
        <w:t>Benozzo</w:t>
      </w:r>
      <w:proofErr w:type="spellEnd"/>
      <w:r w:rsidRPr="00771E6E">
        <w:rPr>
          <w:color w:val="000000" w:themeColor="text1"/>
        </w:rPr>
        <w:t xml:space="preserve"> </w:t>
      </w:r>
      <w:proofErr w:type="spellStart"/>
      <w:r w:rsidRPr="00771E6E">
        <w:rPr>
          <w:color w:val="000000" w:themeColor="text1"/>
        </w:rPr>
        <w:t>Gozzoli</w:t>
      </w:r>
      <w:proofErr w:type="spellEnd"/>
      <w:r w:rsidRPr="00771E6E">
        <w:rPr>
          <w:color w:val="000000" w:themeColor="text1"/>
        </w:rPr>
        <w:t xml:space="preserve"> (fig. 2.18), and in </w:t>
      </w:r>
      <w:proofErr w:type="spellStart"/>
      <w:r w:rsidRPr="00771E6E">
        <w:rPr>
          <w:color w:val="000000" w:themeColor="text1"/>
        </w:rPr>
        <w:t>Cima</w:t>
      </w:r>
      <w:proofErr w:type="spellEnd"/>
      <w:r w:rsidRPr="00771E6E">
        <w:rPr>
          <w:color w:val="000000" w:themeColor="text1"/>
        </w:rPr>
        <w:t xml:space="preserve"> da Conegliano’s panel in Venice (fig. 2.19); whilst in a miniature by Giorgio Giulio </w:t>
      </w:r>
      <w:proofErr w:type="spellStart"/>
      <w:r w:rsidRPr="00771E6E">
        <w:rPr>
          <w:color w:val="000000" w:themeColor="text1"/>
        </w:rPr>
        <w:t>Clovio</w:t>
      </w:r>
      <w:proofErr w:type="spellEnd"/>
      <w:r w:rsidRPr="00771E6E">
        <w:rPr>
          <w:color w:val="000000" w:themeColor="text1"/>
        </w:rPr>
        <w:t xml:space="preserve"> in the Stuart de Rothesay Hours he is not much older than a baby (fig. 2.20). As Konrad </w:t>
      </w:r>
      <w:proofErr w:type="spellStart"/>
      <w:r w:rsidRPr="00771E6E">
        <w:rPr>
          <w:color w:val="000000" w:themeColor="text1"/>
        </w:rPr>
        <w:t>Eisenbichler</w:t>
      </w:r>
      <w:proofErr w:type="spellEnd"/>
      <w:r w:rsidRPr="00771E6E">
        <w:rPr>
          <w:color w:val="000000" w:themeColor="text1"/>
        </w:rPr>
        <w:t xml:space="preserve"> suggests, in this context Raphael’s role can be interpreted as one of providing moral guidance rather than physical companionship.</w:t>
      </w:r>
      <w:r w:rsidRPr="00771E6E">
        <w:rPr>
          <w:rStyle w:val="FootnoteReference"/>
        </w:rPr>
        <w:footnoteReference w:id="421"/>
      </w:r>
      <w:r w:rsidRPr="00771E6E">
        <w:rPr>
          <w:color w:val="000000" w:themeColor="text1"/>
        </w:rPr>
        <w:t xml:space="preserve"> This subject became tremendously popular in Florence from the mid-fifteenth century onwards, and we know that at least nine versions were painted by </w:t>
      </w:r>
      <w:proofErr w:type="spellStart"/>
      <w:r w:rsidRPr="00771E6E">
        <w:rPr>
          <w:color w:val="000000" w:themeColor="text1"/>
        </w:rPr>
        <w:t>Neri</w:t>
      </w:r>
      <w:proofErr w:type="spellEnd"/>
      <w:r w:rsidRPr="00771E6E">
        <w:rPr>
          <w:color w:val="000000" w:themeColor="text1"/>
        </w:rPr>
        <w:t xml:space="preserve"> di </w:t>
      </w:r>
      <w:proofErr w:type="spellStart"/>
      <w:r w:rsidRPr="00771E6E">
        <w:rPr>
          <w:color w:val="000000" w:themeColor="text1"/>
        </w:rPr>
        <w:t>Bicci</w:t>
      </w:r>
      <w:proofErr w:type="spellEnd"/>
      <w:r w:rsidRPr="00771E6E">
        <w:rPr>
          <w:color w:val="000000" w:themeColor="text1"/>
        </w:rPr>
        <w:t xml:space="preserve"> for his clientele.</w:t>
      </w:r>
      <w:r w:rsidRPr="00771E6E">
        <w:rPr>
          <w:rStyle w:val="FootnoteReference"/>
        </w:rPr>
        <w:footnoteReference w:id="422"/>
      </w:r>
      <w:r w:rsidR="000F69B3" w:rsidRPr="00771E6E">
        <w:rPr>
          <w:color w:val="000000" w:themeColor="text1"/>
        </w:rPr>
        <w:t xml:space="preserve"> </w:t>
      </w:r>
      <w:r w:rsidRPr="00771E6E">
        <w:rPr>
          <w:color w:val="000000" w:themeColor="text1"/>
        </w:rPr>
        <w:t>The popularity of this theme was not limited to the visual arts but it also appeared in plays.</w:t>
      </w:r>
      <w:r w:rsidRPr="00771E6E">
        <w:rPr>
          <w:rStyle w:val="FootnoteReference"/>
        </w:rPr>
        <w:footnoteReference w:id="423"/>
      </w:r>
      <w:r w:rsidRPr="00771E6E">
        <w:rPr>
          <w:color w:val="000000" w:themeColor="text1"/>
        </w:rPr>
        <w:t xml:space="preserve"> The </w:t>
      </w:r>
      <w:proofErr w:type="spellStart"/>
      <w:r w:rsidRPr="00771E6E">
        <w:rPr>
          <w:i/>
          <w:color w:val="000000" w:themeColor="text1"/>
        </w:rPr>
        <w:t>Festa</w:t>
      </w:r>
      <w:proofErr w:type="spellEnd"/>
      <w:r w:rsidRPr="00771E6E">
        <w:rPr>
          <w:i/>
          <w:color w:val="000000" w:themeColor="text1"/>
        </w:rPr>
        <w:t xml:space="preserve"> </w:t>
      </w:r>
      <w:proofErr w:type="spellStart"/>
      <w:r w:rsidRPr="00771E6E">
        <w:rPr>
          <w:i/>
          <w:color w:val="000000" w:themeColor="text1"/>
        </w:rPr>
        <w:t>dell’Angiolo</w:t>
      </w:r>
      <w:proofErr w:type="spellEnd"/>
      <w:r w:rsidRPr="00771E6E">
        <w:rPr>
          <w:i/>
          <w:color w:val="000000" w:themeColor="text1"/>
        </w:rPr>
        <w:t xml:space="preserve"> </w:t>
      </w:r>
      <w:proofErr w:type="spellStart"/>
      <w:r w:rsidRPr="00771E6E">
        <w:rPr>
          <w:i/>
          <w:color w:val="000000" w:themeColor="text1"/>
        </w:rPr>
        <w:t>Raphaello</w:t>
      </w:r>
      <w:proofErr w:type="spellEnd"/>
      <w:r w:rsidRPr="00771E6E">
        <w:rPr>
          <w:i/>
          <w:color w:val="000000" w:themeColor="text1"/>
        </w:rPr>
        <w:t xml:space="preserve"> et di </w:t>
      </w:r>
      <w:proofErr w:type="spellStart"/>
      <w:r w:rsidRPr="00771E6E">
        <w:rPr>
          <w:i/>
          <w:color w:val="000000" w:themeColor="text1"/>
        </w:rPr>
        <w:t>Tobia</w:t>
      </w:r>
      <w:proofErr w:type="spellEnd"/>
      <w:r w:rsidRPr="00771E6E">
        <w:rPr>
          <w:i/>
          <w:color w:val="000000" w:themeColor="text1"/>
        </w:rPr>
        <w:t xml:space="preserve"> </w:t>
      </w:r>
      <w:r w:rsidRPr="00771E6E">
        <w:rPr>
          <w:color w:val="000000" w:themeColor="text1"/>
        </w:rPr>
        <w:t xml:space="preserve">was published as part of a collection of </w:t>
      </w:r>
      <w:proofErr w:type="spellStart"/>
      <w:r w:rsidRPr="00771E6E">
        <w:rPr>
          <w:i/>
          <w:color w:val="000000" w:themeColor="text1"/>
        </w:rPr>
        <w:t>sacre</w:t>
      </w:r>
      <w:proofErr w:type="spellEnd"/>
      <w:r w:rsidRPr="00771E6E">
        <w:rPr>
          <w:i/>
          <w:color w:val="000000" w:themeColor="text1"/>
        </w:rPr>
        <w:t xml:space="preserve"> </w:t>
      </w:r>
      <w:proofErr w:type="spellStart"/>
      <w:r w:rsidRPr="00771E6E">
        <w:rPr>
          <w:i/>
          <w:color w:val="000000" w:themeColor="text1"/>
        </w:rPr>
        <w:t>rappresentazioni</w:t>
      </w:r>
      <w:proofErr w:type="spellEnd"/>
      <w:r w:rsidRPr="00771E6E">
        <w:rPr>
          <w:i/>
          <w:color w:val="000000" w:themeColor="text1"/>
        </w:rPr>
        <w:t xml:space="preserve"> </w:t>
      </w:r>
      <w:r w:rsidRPr="00771E6E">
        <w:rPr>
          <w:color w:val="000000" w:themeColor="text1"/>
        </w:rPr>
        <w:t>in the fifteenth century.</w:t>
      </w:r>
      <w:r w:rsidRPr="00771E6E">
        <w:rPr>
          <w:rStyle w:val="FootnoteReference"/>
        </w:rPr>
        <w:footnoteReference w:id="424"/>
      </w:r>
    </w:p>
    <w:p w14:paraId="0FF41E6C" w14:textId="77777777" w:rsidR="008A116C" w:rsidRPr="00771E6E" w:rsidRDefault="008A116C" w:rsidP="008A116C">
      <w:pPr>
        <w:widowControl w:val="0"/>
        <w:tabs>
          <w:tab w:val="left" w:pos="220"/>
          <w:tab w:val="left" w:pos="720"/>
        </w:tabs>
        <w:autoSpaceDE w:val="0"/>
        <w:autoSpaceDN w:val="0"/>
        <w:adjustRightInd w:val="0"/>
        <w:rPr>
          <w:color w:val="000000" w:themeColor="text1"/>
        </w:rPr>
      </w:pPr>
      <w:r w:rsidRPr="00771E6E">
        <w:rPr>
          <w:color w:val="000000" w:themeColor="text1"/>
        </w:rPr>
        <w:t xml:space="preserve"> </w:t>
      </w:r>
      <w:r w:rsidRPr="00771E6E">
        <w:rPr>
          <w:color w:val="000000" w:themeColor="text1"/>
        </w:rPr>
        <w:tab/>
      </w:r>
      <w:r w:rsidRPr="00771E6E">
        <w:rPr>
          <w:color w:val="000000" w:themeColor="text1"/>
        </w:rPr>
        <w:tab/>
        <w:t xml:space="preserve">Inspired </w:t>
      </w:r>
      <w:r w:rsidRPr="00771E6E">
        <w:t xml:space="preserve">by Tobias’ story, </w:t>
      </w:r>
      <w:r w:rsidRPr="00771E6E">
        <w:rPr>
          <w:color w:val="000000" w:themeColor="text1"/>
        </w:rPr>
        <w:t xml:space="preserve">Florentine parents sought to place their children under the guidance and protection of the Archangel Raphael. In a letter from 1465, for example, the noblewoman Alessandra </w:t>
      </w:r>
      <w:proofErr w:type="spellStart"/>
      <w:r w:rsidRPr="00771E6E">
        <w:rPr>
          <w:color w:val="000000" w:themeColor="text1"/>
        </w:rPr>
        <w:t>Macinghi</w:t>
      </w:r>
      <w:proofErr w:type="spellEnd"/>
      <w:r w:rsidRPr="00771E6E">
        <w:rPr>
          <w:color w:val="000000" w:themeColor="text1"/>
        </w:rPr>
        <w:t xml:space="preserve"> </w:t>
      </w:r>
      <w:proofErr w:type="spellStart"/>
      <w:r w:rsidRPr="00771E6E">
        <w:rPr>
          <w:color w:val="000000" w:themeColor="text1"/>
        </w:rPr>
        <w:t>Strozzi</w:t>
      </w:r>
      <w:proofErr w:type="spellEnd"/>
      <w:r w:rsidRPr="00771E6E">
        <w:rPr>
          <w:color w:val="000000" w:themeColor="text1"/>
        </w:rPr>
        <w:t xml:space="preserve"> advises her son to seek out the archangel’s </w:t>
      </w:r>
      <w:proofErr w:type="spellStart"/>
      <w:r w:rsidRPr="00771E6E">
        <w:rPr>
          <w:color w:val="000000" w:themeColor="text1"/>
        </w:rPr>
        <w:t>favour</w:t>
      </w:r>
      <w:proofErr w:type="spellEnd"/>
      <w:r w:rsidRPr="00771E6E">
        <w:rPr>
          <w:color w:val="000000" w:themeColor="text1"/>
        </w:rPr>
        <w:t>, so that he would protect and guide him back home, as he did the little Tobias.</w:t>
      </w:r>
      <w:r w:rsidRPr="00771E6E">
        <w:rPr>
          <w:rStyle w:val="FootnoteReference"/>
        </w:rPr>
        <w:footnoteReference w:id="425"/>
      </w:r>
      <w:r w:rsidRPr="00771E6E">
        <w:rPr>
          <w:color w:val="000000" w:themeColor="text1"/>
        </w:rPr>
        <w:t xml:space="preserve"> Representations of the Archangel Raphael guiding a childlike Tobias were sometimes commissioned for the birth of a son, such as Bartolomeo </w:t>
      </w:r>
      <w:proofErr w:type="spellStart"/>
      <w:r w:rsidRPr="00771E6E">
        <w:rPr>
          <w:color w:val="000000" w:themeColor="text1"/>
        </w:rPr>
        <w:t>Caporali’s</w:t>
      </w:r>
      <w:proofErr w:type="spellEnd"/>
      <w:r w:rsidRPr="00771E6E">
        <w:rPr>
          <w:color w:val="000000" w:themeColor="text1"/>
        </w:rPr>
        <w:t xml:space="preserve"> fresco in the church of San Francesco, </w:t>
      </w:r>
      <w:proofErr w:type="spellStart"/>
      <w:r w:rsidRPr="00771E6E">
        <w:rPr>
          <w:color w:val="000000" w:themeColor="text1"/>
        </w:rPr>
        <w:t>Montone</w:t>
      </w:r>
      <w:proofErr w:type="spellEnd"/>
      <w:r w:rsidRPr="00771E6E">
        <w:rPr>
          <w:color w:val="000000" w:themeColor="text1"/>
        </w:rPr>
        <w:t xml:space="preserve"> (near Perugia), in which an inscription refers to the birth of </w:t>
      </w:r>
      <w:r w:rsidRPr="00771E6E">
        <w:rPr>
          <w:color w:val="000000" w:themeColor="text1"/>
        </w:rPr>
        <w:lastRenderedPageBreak/>
        <w:t xml:space="preserve">Bernardino, the son of Carlo </w:t>
      </w:r>
      <w:proofErr w:type="spellStart"/>
      <w:r w:rsidRPr="00771E6E">
        <w:rPr>
          <w:color w:val="000000" w:themeColor="text1"/>
        </w:rPr>
        <w:t>Fortebracci</w:t>
      </w:r>
      <w:proofErr w:type="spellEnd"/>
      <w:r w:rsidRPr="00771E6E">
        <w:rPr>
          <w:color w:val="000000" w:themeColor="text1"/>
        </w:rPr>
        <w:t>.</w:t>
      </w:r>
      <w:r w:rsidRPr="00771E6E">
        <w:rPr>
          <w:rStyle w:val="FootnoteReference"/>
        </w:rPr>
        <w:footnoteReference w:id="426"/>
      </w:r>
      <w:r w:rsidRPr="00771E6E">
        <w:rPr>
          <w:color w:val="000000" w:themeColor="text1"/>
        </w:rPr>
        <w:t xml:space="preserve"> The donor’s son may even be portrayed as the young Tobias, as appears to be the case in a panel by Francesco </w:t>
      </w:r>
      <w:proofErr w:type="spellStart"/>
      <w:r w:rsidRPr="00771E6E">
        <w:rPr>
          <w:color w:val="000000" w:themeColor="text1"/>
        </w:rPr>
        <w:t>Botticini</w:t>
      </w:r>
      <w:proofErr w:type="spellEnd"/>
      <w:r w:rsidRPr="00771E6E">
        <w:rPr>
          <w:color w:val="000000" w:themeColor="text1"/>
        </w:rPr>
        <w:t xml:space="preserve"> in the sacristy of Santa Maria del Fiore, Florence (fig. 2.21), commissioned by the </w:t>
      </w:r>
      <w:proofErr w:type="spellStart"/>
      <w:r w:rsidRPr="00771E6E">
        <w:rPr>
          <w:color w:val="000000" w:themeColor="text1"/>
        </w:rPr>
        <w:t>Doni</w:t>
      </w:r>
      <w:proofErr w:type="spellEnd"/>
      <w:r w:rsidRPr="00771E6E">
        <w:rPr>
          <w:color w:val="000000" w:themeColor="text1"/>
        </w:rPr>
        <w:t xml:space="preserve"> family.</w:t>
      </w:r>
      <w:r w:rsidRPr="00771E6E">
        <w:rPr>
          <w:rStyle w:val="FootnoteReference"/>
        </w:rPr>
        <w:footnoteReference w:id="427"/>
      </w:r>
      <w:r w:rsidRPr="00771E6E">
        <w:rPr>
          <w:color w:val="000000" w:themeColor="text1"/>
        </w:rPr>
        <w:t xml:space="preserve"> This confirms that parents wanted their children to be associated with and protected by angelic figures, establishing a special connection between children and celestial creatures.</w:t>
      </w:r>
    </w:p>
    <w:p w14:paraId="233FC411" w14:textId="77777777" w:rsidR="008A116C" w:rsidRPr="00771E6E" w:rsidRDefault="008A116C" w:rsidP="008A116C">
      <w:pPr>
        <w:widowControl w:val="0"/>
        <w:tabs>
          <w:tab w:val="left" w:pos="220"/>
          <w:tab w:val="left" w:pos="720"/>
        </w:tabs>
        <w:autoSpaceDE w:val="0"/>
        <w:autoSpaceDN w:val="0"/>
        <w:adjustRightInd w:val="0"/>
      </w:pPr>
      <w:r w:rsidRPr="00771E6E">
        <w:tab/>
      </w:r>
      <w:r w:rsidRPr="00771E6E">
        <w:tab/>
        <w:t xml:space="preserve">Although most depictions of guardian angels show Raphael as the protector, it is the Archangel Michael who is portrayed in a panel from the 1480s by Bartolomeo </w:t>
      </w:r>
      <w:proofErr w:type="spellStart"/>
      <w:r w:rsidRPr="00771E6E">
        <w:t>della</w:t>
      </w:r>
      <w:proofErr w:type="spellEnd"/>
      <w:r w:rsidRPr="00771E6E">
        <w:t xml:space="preserve"> </w:t>
      </w:r>
      <w:proofErr w:type="spellStart"/>
      <w:r w:rsidRPr="00771E6E">
        <w:t>Gatta</w:t>
      </w:r>
      <w:proofErr w:type="spellEnd"/>
      <w:r w:rsidRPr="00771E6E">
        <w:t xml:space="preserve"> (Pietro Dei) (fig. 2.22). Here, the archangel stands firmly, protecting a woman and her child behind him. The woman can probably be identified as Teodora, daughter of Lorenza </w:t>
      </w:r>
      <w:proofErr w:type="spellStart"/>
      <w:r w:rsidRPr="00771E6E">
        <w:t>Guiducci</w:t>
      </w:r>
      <w:proofErr w:type="spellEnd"/>
      <w:r w:rsidRPr="00771E6E">
        <w:t xml:space="preserve">, </w:t>
      </w:r>
      <w:proofErr w:type="spellStart"/>
      <w:r w:rsidRPr="00771E6E">
        <w:t>Paolino</w:t>
      </w:r>
      <w:proofErr w:type="spellEnd"/>
      <w:r w:rsidRPr="00771E6E">
        <w:t xml:space="preserve"> Visconti’s widow, who commissioned the work according to a scroll on the panel.</w:t>
      </w:r>
      <w:r w:rsidRPr="00771E6E">
        <w:rPr>
          <w:rStyle w:val="FootnoteReference"/>
        </w:rPr>
        <w:footnoteReference w:id="428"/>
      </w:r>
      <w:r w:rsidRPr="00771E6E">
        <w:t xml:space="preserve"> The presence of the Archangel Michael as a protector, instead of the more common figure of Raphael, can be explained by Michael being the patron saint of the town of </w:t>
      </w:r>
      <w:proofErr w:type="spellStart"/>
      <w:r w:rsidRPr="00771E6E">
        <w:t>Castiglion</w:t>
      </w:r>
      <w:proofErr w:type="spellEnd"/>
      <w:r w:rsidRPr="00771E6E">
        <w:t xml:space="preserve"> </w:t>
      </w:r>
      <w:proofErr w:type="spellStart"/>
      <w:r w:rsidRPr="00771E6E">
        <w:t>Fiorentino</w:t>
      </w:r>
      <w:proofErr w:type="spellEnd"/>
      <w:r w:rsidRPr="00771E6E">
        <w:t>, where the painting was made.</w:t>
      </w:r>
      <w:r w:rsidRPr="00771E6E">
        <w:rPr>
          <w:rStyle w:val="FootnoteReference"/>
        </w:rPr>
        <w:footnoteReference w:id="429"/>
      </w:r>
      <w:r w:rsidRPr="00771E6E">
        <w:t xml:space="preserve"> Vasari mentions the panel as an organ shutter in a chapel of the parish church of San Giuliano.</w:t>
      </w:r>
      <w:r w:rsidRPr="00771E6E">
        <w:rPr>
          <w:rStyle w:val="FootnoteReference"/>
        </w:rPr>
        <w:footnoteReference w:id="430"/>
      </w:r>
      <w:r w:rsidRPr="00771E6E">
        <w:t xml:space="preserve"> From this, it seems that this painting was commissioned by a mother, Lorenza, for the protection of her daughter Teodora and that of her grandchild, and that it would have been installed in a private chapel, as the subject of semi-private devotion.</w:t>
      </w:r>
    </w:p>
    <w:p w14:paraId="605187CE" w14:textId="77777777" w:rsidR="008A116C" w:rsidRPr="00771E6E" w:rsidRDefault="008A116C" w:rsidP="008A116C">
      <w:pPr>
        <w:widowControl w:val="0"/>
        <w:tabs>
          <w:tab w:val="left" w:pos="220"/>
          <w:tab w:val="left" w:pos="720"/>
        </w:tabs>
        <w:autoSpaceDE w:val="0"/>
        <w:autoSpaceDN w:val="0"/>
        <w:adjustRightInd w:val="0"/>
      </w:pPr>
      <w:r w:rsidRPr="00771E6E">
        <w:tab/>
      </w:r>
      <w:r w:rsidRPr="00771E6E">
        <w:tab/>
        <w:t xml:space="preserve">Images of Raphael and Tobias were also used in spaces dedicated to private devotion, as demonstrated by the inclusion of these figures in a </w:t>
      </w:r>
      <w:r w:rsidRPr="00771E6E">
        <w:rPr>
          <w:i/>
        </w:rPr>
        <w:t>tondo</w:t>
      </w:r>
      <w:r w:rsidRPr="00771E6E">
        <w:t xml:space="preserve"> attributed to Jacopo del </w:t>
      </w:r>
      <w:proofErr w:type="spellStart"/>
      <w:r w:rsidRPr="00771E6E">
        <w:t>Sellaio</w:t>
      </w:r>
      <w:proofErr w:type="spellEnd"/>
      <w:r w:rsidRPr="00771E6E">
        <w:t xml:space="preserve"> (fig. 2.23). In this, the Virgin accompanied by </w:t>
      </w:r>
      <w:r w:rsidR="000F69B3" w:rsidRPr="00771E6E">
        <w:t>the</w:t>
      </w:r>
      <w:r w:rsidRPr="00771E6E">
        <w:t xml:space="preserve"> young Saint John the Baptist is kneeling in adoration before the Child in the foreground, while on the right, in the distance, the Archangel Raphael is leading the young Tobias. As </w:t>
      </w:r>
      <w:r w:rsidRPr="00771E6E">
        <w:rPr>
          <w:i/>
        </w:rPr>
        <w:t>tondi</w:t>
      </w:r>
      <w:r w:rsidRPr="00771E6E">
        <w:t xml:space="preserve"> were principally domestic pictures, one can imagine that the owners were particularly concerned with the angelic protection of the young members of the household. This is also confirmed by another </w:t>
      </w:r>
      <w:r w:rsidRPr="00771E6E">
        <w:rPr>
          <w:i/>
        </w:rPr>
        <w:t>tondo</w:t>
      </w:r>
      <w:r w:rsidRPr="00771E6E">
        <w:t xml:space="preserve"> attributed to </w:t>
      </w:r>
      <w:proofErr w:type="spellStart"/>
      <w:r w:rsidRPr="00771E6E">
        <w:t>Gherardo</w:t>
      </w:r>
      <w:proofErr w:type="spellEnd"/>
      <w:r w:rsidRPr="00771E6E">
        <w:t xml:space="preserve"> di Giovanni del Fora, in which Raphael and Tobias are an independent subject in their own right (fig. 2.24).</w:t>
      </w:r>
    </w:p>
    <w:p w14:paraId="32D3DC8D" w14:textId="77777777" w:rsidR="008A116C" w:rsidRPr="00771E6E" w:rsidRDefault="008A116C" w:rsidP="008A116C">
      <w:pPr>
        <w:widowControl w:val="0"/>
        <w:tabs>
          <w:tab w:val="left" w:pos="220"/>
          <w:tab w:val="left" w:pos="720"/>
        </w:tabs>
        <w:autoSpaceDE w:val="0"/>
        <w:autoSpaceDN w:val="0"/>
        <w:adjustRightInd w:val="0"/>
        <w:ind w:firstLine="720"/>
      </w:pPr>
      <w:r w:rsidRPr="00771E6E">
        <w:t xml:space="preserve">Considering the earlier discussion about how musical angels would interact with humans and, in turn, how humans would attempt to emulate them, it should not be forgotten that the biblical story of Tobias and the Archangel Raphael also presents a </w:t>
      </w:r>
      <w:r w:rsidRPr="00771E6E">
        <w:lastRenderedPageBreak/>
        <w:t>musical aspect. Towards the end of his mission, when Raphael reveals his true identity, he exhorts his human companions: “Praise him [God] all your days and sing to him!”</w:t>
      </w:r>
      <w:r w:rsidRPr="00771E6E">
        <w:rPr>
          <w:rStyle w:val="FootnoteReference"/>
        </w:rPr>
        <w:footnoteReference w:id="431"/>
      </w:r>
      <w:r w:rsidRPr="00771E6E">
        <w:t xml:space="preserve"> Although Raphael cannot strictly be described as a musical angel, this passage nonetheless portrays him as a promoter of musical devotion. As teachers and guardians, angels had a special relationship with children, who would imitate them and their musical activity, as will be discussed in the following section.</w:t>
      </w:r>
    </w:p>
    <w:p w14:paraId="04C0EA96" w14:textId="77777777" w:rsidR="008A116C" w:rsidRPr="00771E6E" w:rsidRDefault="008A116C" w:rsidP="008A116C"/>
    <w:p w14:paraId="77F43C67" w14:textId="77777777" w:rsidR="008A116C" w:rsidRPr="00771E6E" w:rsidRDefault="008A116C" w:rsidP="008A116C"/>
    <w:p w14:paraId="6FBE394B" w14:textId="77777777" w:rsidR="008A116C" w:rsidRPr="00771E6E" w:rsidRDefault="008A116C" w:rsidP="008A116C">
      <w:pPr>
        <w:pStyle w:val="Subchapter"/>
      </w:pPr>
      <w:bookmarkStart w:id="47" w:name="_Toc3323227"/>
      <w:bookmarkStart w:id="48" w:name="_Toc20167604"/>
      <w:r w:rsidRPr="00771E6E">
        <w:t>2.5 Angels and Children</w:t>
      </w:r>
      <w:bookmarkEnd w:id="47"/>
      <w:bookmarkEnd w:id="48"/>
    </w:p>
    <w:p w14:paraId="6FA8F871" w14:textId="77777777" w:rsidR="008A116C" w:rsidRPr="00771E6E" w:rsidRDefault="008A116C" w:rsidP="008A116C">
      <w:pPr>
        <w:widowControl w:val="0"/>
        <w:tabs>
          <w:tab w:val="left" w:pos="220"/>
          <w:tab w:val="left" w:pos="720"/>
        </w:tabs>
        <w:autoSpaceDE w:val="0"/>
        <w:autoSpaceDN w:val="0"/>
        <w:adjustRightInd w:val="0"/>
      </w:pPr>
    </w:p>
    <w:p w14:paraId="404FED2E" w14:textId="77777777" w:rsidR="008A116C" w:rsidRPr="00771E6E" w:rsidRDefault="008A116C" w:rsidP="008A116C">
      <w:pPr>
        <w:rPr>
          <w:color w:val="000000" w:themeColor="text1"/>
        </w:rPr>
      </w:pPr>
      <w:r w:rsidRPr="00771E6E">
        <w:t xml:space="preserve">While the role </w:t>
      </w:r>
      <w:r w:rsidRPr="00771E6E">
        <w:rPr>
          <w:color w:val="000000" w:themeColor="text1"/>
        </w:rPr>
        <w:t xml:space="preserve">of Guardian Angels in protecting children has been considered, this is not the only part they could play in the lives of the young. As has been discussed, angels would have been a ubiquitous presence, and children were frequently associated with angelic qualities and </w:t>
      </w:r>
      <w:proofErr w:type="spellStart"/>
      <w:r w:rsidRPr="00771E6E">
        <w:rPr>
          <w:color w:val="000000" w:themeColor="text1"/>
        </w:rPr>
        <w:t>behaviour</w:t>
      </w:r>
      <w:proofErr w:type="spellEnd"/>
      <w:r w:rsidRPr="00771E6E">
        <w:rPr>
          <w:color w:val="000000" w:themeColor="text1"/>
        </w:rPr>
        <w:t>. As has already been noted, people would have been encouraged to emulate angels in different ways, and of course this would have also applied to children, perhaps to an even greater degree.</w:t>
      </w:r>
    </w:p>
    <w:p w14:paraId="554AC75D" w14:textId="77777777" w:rsidR="008A116C" w:rsidRPr="00771E6E" w:rsidRDefault="008A116C" w:rsidP="008A116C">
      <w:pPr>
        <w:ind w:firstLine="720"/>
      </w:pPr>
      <w:r w:rsidRPr="00771E6E">
        <w:rPr>
          <w:color w:val="000000" w:themeColor="text1"/>
        </w:rPr>
        <w:t xml:space="preserve">Florence was home to two confraternities </w:t>
      </w:r>
      <w:r w:rsidRPr="00771E6E">
        <w:t>dedicated to the Archangel Raphael: “</w:t>
      </w:r>
      <w:proofErr w:type="spellStart"/>
      <w:r w:rsidRPr="00771E6E">
        <w:t>il</w:t>
      </w:r>
      <w:proofErr w:type="spellEnd"/>
      <w:r w:rsidRPr="00771E6E">
        <w:t xml:space="preserve"> Raffa” for adults, and “la Scala” for children.</w:t>
      </w:r>
      <w:r w:rsidRPr="00771E6E">
        <w:rPr>
          <w:rStyle w:val="FootnoteReference"/>
        </w:rPr>
        <w:footnoteReference w:id="432"/>
      </w:r>
      <w:r w:rsidRPr="00771E6E">
        <w:t xml:space="preserve"> As the </w:t>
      </w:r>
      <w:proofErr w:type="spellStart"/>
      <w:r w:rsidRPr="00771E6E">
        <w:t>Camaldolese</w:t>
      </w:r>
      <w:proofErr w:type="spellEnd"/>
      <w:r w:rsidRPr="00771E6E">
        <w:t xml:space="preserve"> monk </w:t>
      </w:r>
      <w:proofErr w:type="spellStart"/>
      <w:r w:rsidRPr="00771E6E">
        <w:t>Ambrogio</w:t>
      </w:r>
      <w:proofErr w:type="spellEnd"/>
      <w:r w:rsidRPr="00771E6E">
        <w:t xml:space="preserve"> </w:t>
      </w:r>
      <w:proofErr w:type="spellStart"/>
      <w:r w:rsidRPr="00771E6E">
        <w:t>Traversari</w:t>
      </w:r>
      <w:proofErr w:type="spellEnd"/>
      <w:r w:rsidRPr="00771E6E">
        <w:t xml:space="preserve"> states in a letter to Pope Eugenius IV in 1435, youth confraternities were thought crucial to children’s education in Christian virtues, equipping them with the necessary qualities to be examples for their relatives once they returned home, and inspiring them to pursue a good and Christian lifestyle. The boys of the confraternity of the Archangel Raphael were educated in music, singing hymns on Sundays and feast days, and dressed as musical angels for theatrical representations. In </w:t>
      </w:r>
      <w:proofErr w:type="spellStart"/>
      <w:r w:rsidRPr="00771E6E">
        <w:t>Traversari’s</w:t>
      </w:r>
      <w:proofErr w:type="spellEnd"/>
      <w:r w:rsidRPr="00771E6E">
        <w:t xml:space="preserve"> words:</w:t>
      </w:r>
    </w:p>
    <w:p w14:paraId="30CF29D5" w14:textId="77777777" w:rsidR="008A116C" w:rsidRPr="00771E6E" w:rsidRDefault="008A116C" w:rsidP="008A116C"/>
    <w:p w14:paraId="16848B33" w14:textId="77777777" w:rsidR="008A116C" w:rsidRPr="00771E6E" w:rsidRDefault="008A116C" w:rsidP="008A116C">
      <w:pPr>
        <w:pStyle w:val="IntenseQuote"/>
      </w:pPr>
      <w:r w:rsidRPr="00771E6E">
        <w:t xml:space="preserve">The leaders of the city are repeatedly pleased to send their sons to be nourished in this school and to be educated in this school of Christian virtue. In it nothing impious is learned, nothing other than good habits is imbibed … [Through this training] they often remain innocent amidst the obscene raillery of criminals … On Sundays and feast days, when greater </w:t>
      </w:r>
      <w:proofErr w:type="spellStart"/>
      <w:r w:rsidRPr="00771E6E">
        <w:t>licence</w:t>
      </w:r>
      <w:proofErr w:type="spellEnd"/>
      <w:r w:rsidRPr="00771E6E">
        <w:t xml:space="preserve"> for lasciviousness is usurped, they gather together, and after salubrious admonitions, they either recite the psalms or sing hymns together.</w:t>
      </w:r>
      <w:r w:rsidRPr="00771E6E">
        <w:rPr>
          <w:rStyle w:val="FootnoteReference"/>
        </w:rPr>
        <w:footnoteReference w:id="433"/>
      </w:r>
    </w:p>
    <w:p w14:paraId="75DCED8E" w14:textId="77777777" w:rsidR="008A116C" w:rsidRPr="00771E6E" w:rsidRDefault="008A116C" w:rsidP="008A116C">
      <w:pPr>
        <w:ind w:left="720"/>
      </w:pPr>
      <w:r w:rsidRPr="00771E6E">
        <w:lastRenderedPageBreak/>
        <w:t xml:space="preserve"> </w:t>
      </w:r>
    </w:p>
    <w:p w14:paraId="37924C1C" w14:textId="77777777" w:rsidR="008A116C" w:rsidRPr="00771E6E" w:rsidRDefault="008A116C" w:rsidP="008A116C">
      <w:pPr>
        <w:ind w:firstLine="720"/>
        <w:rPr>
          <w:color w:val="000000"/>
        </w:rPr>
      </w:pPr>
      <w:r w:rsidRPr="00771E6E">
        <w:rPr>
          <w:color w:val="000000"/>
        </w:rPr>
        <w:t xml:space="preserve">Boys are extensively documented playing the part of musical angels, both in processions and in </w:t>
      </w:r>
      <w:proofErr w:type="spellStart"/>
      <w:r w:rsidRPr="00771E6E">
        <w:rPr>
          <w:i/>
          <w:color w:val="000000"/>
        </w:rPr>
        <w:t>sacre</w:t>
      </w:r>
      <w:proofErr w:type="spellEnd"/>
      <w:r w:rsidRPr="00771E6E">
        <w:rPr>
          <w:i/>
          <w:color w:val="000000"/>
        </w:rPr>
        <w:t xml:space="preserve"> </w:t>
      </w:r>
      <w:proofErr w:type="spellStart"/>
      <w:r w:rsidRPr="00771E6E">
        <w:rPr>
          <w:i/>
          <w:color w:val="000000"/>
        </w:rPr>
        <w:t>rappresentazioni</w:t>
      </w:r>
      <w:proofErr w:type="spellEnd"/>
      <w:r w:rsidRPr="00771E6E">
        <w:rPr>
          <w:i/>
          <w:color w:val="000000"/>
        </w:rPr>
        <w:t>.</w:t>
      </w:r>
      <w:r w:rsidRPr="00771E6E">
        <w:t xml:space="preserve"> </w:t>
      </w:r>
      <w:r w:rsidRPr="00771E6E">
        <w:rPr>
          <w:color w:val="000000"/>
        </w:rPr>
        <w:t xml:space="preserve">The Russian Bishop of </w:t>
      </w:r>
      <w:proofErr w:type="spellStart"/>
      <w:r w:rsidRPr="00771E6E">
        <w:rPr>
          <w:color w:val="000000"/>
        </w:rPr>
        <w:t>Suzdal</w:t>
      </w:r>
      <w:proofErr w:type="spellEnd"/>
      <w:r w:rsidRPr="00771E6E">
        <w:rPr>
          <w:color w:val="000000"/>
        </w:rPr>
        <w:t xml:space="preserve">, Abraham, left a detailed description of two </w:t>
      </w:r>
      <w:proofErr w:type="spellStart"/>
      <w:r w:rsidRPr="00771E6E">
        <w:rPr>
          <w:i/>
          <w:color w:val="000000"/>
        </w:rPr>
        <w:t>feste</w:t>
      </w:r>
      <w:proofErr w:type="spellEnd"/>
      <w:r w:rsidRPr="00771E6E">
        <w:rPr>
          <w:color w:val="000000"/>
        </w:rPr>
        <w:t xml:space="preserve"> (celebrations on feast days) that he witnessed while he was in Florence on the occasion of the Council in 1439: one for the feast of the Annunciation and one for that of the Ascension. In these, young boys could be seen impersonating celestial beings, and engaging with the musical activities that pertain to them.</w:t>
      </w:r>
    </w:p>
    <w:p w14:paraId="027E9AD4" w14:textId="77777777" w:rsidR="008A116C" w:rsidRPr="00771E6E" w:rsidRDefault="008A116C" w:rsidP="008A116C">
      <w:pPr>
        <w:ind w:firstLine="720"/>
        <w:rPr>
          <w:noProof/>
        </w:rPr>
      </w:pPr>
      <w:r w:rsidRPr="00771E6E">
        <w:rPr>
          <w:color w:val="000000"/>
        </w:rPr>
        <w:t>During the feast of the Annunciation that took place on 25 March, in the church of the Annunziata, the Bishop describes seeing “four little boys, crowned and dressed as angels, with a cymbal, a lute or a tambourine in their hands.”</w:t>
      </w:r>
      <w:r w:rsidRPr="00771E6E">
        <w:rPr>
          <w:rStyle w:val="FootnoteReference"/>
        </w:rPr>
        <w:footnoteReference w:id="434"/>
      </w:r>
      <w:r w:rsidRPr="00771E6E">
        <w:rPr>
          <w:color w:val="000000"/>
        </w:rPr>
        <w:t xml:space="preserve"> The figure of God the Father was located in the </w:t>
      </w:r>
      <w:proofErr w:type="spellStart"/>
      <w:r w:rsidRPr="00771E6E">
        <w:rPr>
          <w:i/>
          <w:color w:val="000000"/>
        </w:rPr>
        <w:t>tribuna</w:t>
      </w:r>
      <w:proofErr w:type="spellEnd"/>
      <w:r w:rsidRPr="00771E6E">
        <w:rPr>
          <w:color w:val="000000"/>
        </w:rPr>
        <w:t>, and the Bishop reports that “little boys in white robes, surrounded him, representing heavenly virtues. Some of them were singing, another played the cymbals, others played the lute and pipes. In every respect it is a wonderfully joyous spectacle that no man can describe.”</w:t>
      </w:r>
      <w:r w:rsidRPr="00771E6E">
        <w:rPr>
          <w:rStyle w:val="FootnoteReference"/>
        </w:rPr>
        <w:footnoteReference w:id="435"/>
      </w:r>
      <w:r w:rsidRPr="00771E6E">
        <w:rPr>
          <w:color w:val="000000"/>
        </w:rPr>
        <w:t xml:space="preserve"> </w:t>
      </w:r>
      <w:r w:rsidRPr="00771E6E">
        <w:rPr>
          <w:noProof/>
        </w:rPr>
        <w:t xml:space="preserve">The Bishop further describes the annunciating angel and his actions at the beginning of the play: </w:t>
      </w:r>
    </w:p>
    <w:p w14:paraId="4E066386" w14:textId="77777777" w:rsidR="008A116C" w:rsidRPr="00771E6E" w:rsidRDefault="008A116C" w:rsidP="008A116C">
      <w:pPr>
        <w:ind w:left="720"/>
        <w:rPr>
          <w:noProof/>
        </w:rPr>
      </w:pPr>
    </w:p>
    <w:p w14:paraId="6624E179" w14:textId="77777777" w:rsidR="008A116C" w:rsidRPr="00771E6E" w:rsidRDefault="008A116C" w:rsidP="008A116C">
      <w:pPr>
        <w:pStyle w:val="IntenseQuote"/>
        <w:rPr>
          <w:noProof/>
        </w:rPr>
      </w:pPr>
      <w:r w:rsidRPr="00771E6E">
        <w:rPr>
          <w:noProof/>
        </w:rPr>
        <w:t>The Angel was played by a beautiful, curly-haired boy: his gown was snow-white and decorated all over with gold as was the Angel’s stole over his shoulders. He had golden wings, and in everything his appearance expressed perfectly the picture of one of God’s angels. He came down on the ropes singing softly and he stood sweetly, just like a [real] angel.</w:t>
      </w:r>
      <w:r w:rsidRPr="00771E6E">
        <w:rPr>
          <w:rStyle w:val="FootnoteReference"/>
        </w:rPr>
        <w:footnoteReference w:id="436"/>
      </w:r>
      <w:r w:rsidRPr="00771E6E">
        <w:rPr>
          <w:noProof/>
        </w:rPr>
        <w:t xml:space="preserve"> </w:t>
      </w:r>
    </w:p>
    <w:p w14:paraId="2FEACEFA" w14:textId="77777777" w:rsidR="008A116C" w:rsidRPr="00771E6E" w:rsidRDefault="008A116C" w:rsidP="008A116C">
      <w:pPr>
        <w:ind w:left="720"/>
        <w:rPr>
          <w:noProof/>
        </w:rPr>
      </w:pPr>
    </w:p>
    <w:p w14:paraId="5E131580" w14:textId="77777777" w:rsidR="008A116C" w:rsidRPr="00771E6E" w:rsidRDefault="008A116C" w:rsidP="008A116C">
      <w:pPr>
        <w:rPr>
          <w:noProof/>
        </w:rPr>
      </w:pPr>
      <w:r w:rsidRPr="00771E6E">
        <w:rPr>
          <w:noProof/>
        </w:rPr>
        <w:t xml:space="preserve">In this description, perfectly exemplifying the close relationship between the embodiment of angels in performance and their representation in visual art, even Gabriel’s salutation to the Virgin becomes a song. </w:t>
      </w:r>
    </w:p>
    <w:p w14:paraId="1D2CB0AF" w14:textId="77777777" w:rsidR="008A116C" w:rsidRPr="00771E6E" w:rsidRDefault="008A116C" w:rsidP="008A116C">
      <w:pPr>
        <w:ind w:firstLine="720"/>
        <w:rPr>
          <w:color w:val="000000"/>
        </w:rPr>
      </w:pPr>
      <w:r w:rsidRPr="00771E6E">
        <w:rPr>
          <w:noProof/>
        </w:rPr>
        <w:lastRenderedPageBreak/>
        <w:t xml:space="preserve">Similarly, in the Ascension play organised by the </w:t>
      </w:r>
      <w:r w:rsidRPr="00771E6E">
        <w:rPr>
          <w:i/>
          <w:noProof/>
        </w:rPr>
        <w:t>Compagnia di Santa Maria delle Laude</w:t>
      </w:r>
      <w:r w:rsidRPr="00771E6E">
        <w:rPr>
          <w:noProof/>
        </w:rPr>
        <w:t xml:space="preserve"> </w:t>
      </w:r>
      <w:r w:rsidRPr="00771E6E">
        <w:t>on 14 May in the church of Santa Maria del Carmine, “little children”, around God,</w:t>
      </w:r>
      <w:r w:rsidRPr="00771E6E">
        <w:rPr>
          <w:color w:val="000000"/>
        </w:rPr>
        <w:t xml:space="preserve"> represented angels </w:t>
      </w:r>
      <w:r w:rsidRPr="00771E6E">
        <w:rPr>
          <w:noProof/>
        </w:rPr>
        <w:t>“with pipes and lutes and lots of tiny bells;”</w:t>
      </w:r>
      <w:r w:rsidRPr="00771E6E">
        <w:rPr>
          <w:rStyle w:val="FootnoteReference"/>
        </w:rPr>
        <w:footnoteReference w:id="437"/>
      </w:r>
      <w:r w:rsidRPr="00771E6E">
        <w:rPr>
          <w:noProof/>
        </w:rPr>
        <w:t xml:space="preserve"> and later, when the sky opens to reveal God the Father in Heaven, “the little boys, who represent the heavenly Powers, move around him to the sounds of deafening music and sweet singing.”</w:t>
      </w:r>
      <w:r w:rsidRPr="00771E6E">
        <w:rPr>
          <w:rStyle w:val="FootnoteReference"/>
        </w:rPr>
        <w:footnoteReference w:id="438"/>
      </w:r>
      <w:r w:rsidRPr="00771E6E">
        <w:rPr>
          <w:noProof/>
        </w:rPr>
        <w:t xml:space="preserve"> Cyrilla Barr has suggested that the music might have not been directly played by the children using the musical instruments that they were holding, but might have been produced from another source, possibly by hidden musicians.</w:t>
      </w:r>
      <w:r w:rsidRPr="00771E6E">
        <w:rPr>
          <w:rStyle w:val="FootnoteReference"/>
        </w:rPr>
        <w:footnoteReference w:id="439"/>
      </w:r>
      <w:r w:rsidRPr="00771E6E">
        <w:rPr>
          <w:noProof/>
        </w:rPr>
        <w:t xml:space="preserve"> </w:t>
      </w:r>
    </w:p>
    <w:p w14:paraId="5682F39A" w14:textId="77777777" w:rsidR="008A116C" w:rsidRPr="00771E6E" w:rsidRDefault="008A116C" w:rsidP="008A116C">
      <w:pPr>
        <w:ind w:firstLine="720"/>
        <w:rPr>
          <w:noProof/>
        </w:rPr>
      </w:pPr>
      <w:r w:rsidRPr="00771E6E">
        <w:rPr>
          <w:noProof/>
        </w:rPr>
        <w:t xml:space="preserve">Children were also at the core of the Palm Sunday procession organised by Gerolamo Savonarola in 1496. As part of his wider strategy to reform the behaviour of children, the preacher dedicated his Sunday sermon especially to them, and invited adults to give up their places in favour of the children: “Let the </w:t>
      </w:r>
      <w:r w:rsidRPr="00771E6E">
        <w:rPr>
          <w:i/>
          <w:noProof/>
        </w:rPr>
        <w:t>fanciulli</w:t>
      </w:r>
      <w:r w:rsidRPr="00771E6E">
        <w:rPr>
          <w:noProof/>
        </w:rPr>
        <w:t xml:space="preserve"> all come to the sermon … because it is theirs, and so that there is no scandal, the men will give them use of all these seats that are around here”.</w:t>
      </w:r>
      <w:r w:rsidRPr="00771E6E">
        <w:rPr>
          <w:rStyle w:val="FootnoteReference"/>
        </w:rPr>
        <w:footnoteReference w:id="440"/>
      </w:r>
      <w:r w:rsidRPr="00771E6E">
        <w:rPr>
          <w:noProof/>
        </w:rPr>
        <w:t xml:space="preserve"> He invited the children to join one of the </w:t>
      </w:r>
      <w:r w:rsidRPr="00771E6E">
        <w:rPr>
          <w:i/>
          <w:noProof/>
        </w:rPr>
        <w:t>compagnie</w:t>
      </w:r>
      <w:r w:rsidRPr="00771E6E">
        <w:rPr>
          <w:noProof/>
        </w:rPr>
        <w:t xml:space="preserve"> present in the town, so that they could be raised in purity. These children wore white robes during the procession, impersonating angels, but had no need for wings, since their purity had already been established by the preacher, because the day before they were seen “making garlands and singing hymns, and it looked like paradise”.</w:t>
      </w:r>
      <w:r w:rsidRPr="00771E6E">
        <w:rPr>
          <w:rStyle w:val="FootnoteReference"/>
        </w:rPr>
        <w:footnoteReference w:id="441"/>
      </w:r>
      <w:r w:rsidRPr="00771E6E">
        <w:rPr>
          <w:noProof/>
        </w:rPr>
        <w:t xml:space="preserve"> Through Savonarola’s efforts a transformation of the children into angels was made possible. In his sermons, even adults were invited to become like children:</w:t>
      </w:r>
    </w:p>
    <w:p w14:paraId="78C84677" w14:textId="77777777" w:rsidR="008A116C" w:rsidRPr="00771E6E" w:rsidRDefault="008A116C" w:rsidP="008A116C">
      <w:pPr>
        <w:ind w:firstLine="720"/>
        <w:rPr>
          <w:noProof/>
        </w:rPr>
      </w:pPr>
    </w:p>
    <w:p w14:paraId="3644362C" w14:textId="77777777" w:rsidR="008A116C" w:rsidRPr="00771E6E" w:rsidRDefault="008A116C" w:rsidP="008A116C">
      <w:pPr>
        <w:pStyle w:val="IntenseQuote"/>
        <w:rPr>
          <w:noProof/>
        </w:rPr>
      </w:pPr>
      <w:r w:rsidRPr="00771E6E">
        <w:rPr>
          <w:noProof/>
        </w:rPr>
        <w:t xml:space="preserve">This sermon is for the children and we deliver it for them, but it can also be for those adults who want to become </w:t>
      </w:r>
      <w:r w:rsidRPr="00771E6E">
        <w:rPr>
          <w:i/>
          <w:noProof/>
        </w:rPr>
        <w:t>fanciulli</w:t>
      </w:r>
      <w:r w:rsidRPr="00771E6E">
        <w:rPr>
          <w:noProof/>
        </w:rPr>
        <w:t xml:space="preserve"> in purity … Thus, this will be a sermon </w:t>
      </w:r>
      <w:r w:rsidRPr="00771E6E">
        <w:rPr>
          <w:noProof/>
        </w:rPr>
        <w:lastRenderedPageBreak/>
        <w:t>for those who are children due to their age and those who are children due to their purity.</w:t>
      </w:r>
      <w:r w:rsidRPr="00771E6E">
        <w:rPr>
          <w:rStyle w:val="FootnoteReference"/>
        </w:rPr>
        <w:footnoteReference w:id="442"/>
      </w:r>
      <w:r w:rsidRPr="00771E6E">
        <w:rPr>
          <w:rStyle w:val="CommentReference"/>
        </w:rPr>
        <w:t xml:space="preserve"> </w:t>
      </w:r>
    </w:p>
    <w:p w14:paraId="71DF0209" w14:textId="77777777" w:rsidR="008A116C" w:rsidRPr="00771E6E" w:rsidRDefault="008A116C" w:rsidP="008A116C">
      <w:pPr>
        <w:ind w:firstLine="720"/>
        <w:rPr>
          <w:noProof/>
        </w:rPr>
      </w:pPr>
    </w:p>
    <w:p w14:paraId="135DFB20" w14:textId="77777777" w:rsidR="008A116C" w:rsidRPr="00771E6E" w:rsidRDefault="008A116C" w:rsidP="008A116C">
      <w:pPr>
        <w:ind w:firstLine="720"/>
        <w:rPr>
          <w:color w:val="000000"/>
        </w:rPr>
      </w:pPr>
      <w:r w:rsidRPr="00771E6E">
        <w:rPr>
          <w:color w:val="000000"/>
        </w:rPr>
        <w:t>The practice of having children impersonate angels during processions and sacred plays was commonplace, and by no means restricted to Florence</w:t>
      </w:r>
      <w:r w:rsidRPr="00771E6E">
        <w:t>. Evidence survives of this practice in towns in different regions of the Italian peninsula, testifying to its widespread occurrence.</w:t>
      </w:r>
      <w:r w:rsidRPr="00771E6E">
        <w:rPr>
          <w:rStyle w:val="FootnoteReference"/>
        </w:rPr>
        <w:footnoteReference w:id="443"/>
      </w:r>
      <w:r w:rsidRPr="00771E6E">
        <w:t xml:space="preserve"> For example, in Padua, children dressed up as angels in order to take part in the magnificent processions that the confraternity of Saint Anthony would </w:t>
      </w:r>
      <w:proofErr w:type="spellStart"/>
      <w:r w:rsidRPr="00771E6E">
        <w:t>organise</w:t>
      </w:r>
      <w:proofErr w:type="spellEnd"/>
      <w:r w:rsidRPr="00771E6E">
        <w:t xml:space="preserve"> in order to commemorate the death of their saint. These processions included music and singing.</w:t>
      </w:r>
      <w:r w:rsidRPr="00771E6E">
        <w:rPr>
          <w:rStyle w:val="FootnoteReference"/>
        </w:rPr>
        <w:footnoteReference w:id="444"/>
      </w:r>
      <w:r w:rsidRPr="00771E6E">
        <w:t xml:space="preserve"> In Rome, during a feast to celebrate the </w:t>
      </w:r>
      <w:r w:rsidRPr="00771E6E">
        <w:rPr>
          <w:color w:val="000000"/>
        </w:rPr>
        <w:t>transportation of the head of Saint Andrew in 1462, “boys in the form of angels … sang sweetly, others played organs; no instrument of the art of music was lacking”.</w:t>
      </w:r>
      <w:r w:rsidRPr="00771E6E">
        <w:rPr>
          <w:rStyle w:val="FootnoteReference"/>
        </w:rPr>
        <w:footnoteReference w:id="445"/>
      </w:r>
      <w:r w:rsidRPr="00771E6E">
        <w:rPr>
          <w:color w:val="000000"/>
        </w:rPr>
        <w:t xml:space="preserve"> In the same year, during the feast for </w:t>
      </w:r>
      <w:r w:rsidRPr="00771E6E">
        <w:rPr>
          <w:i/>
          <w:color w:val="000000"/>
        </w:rPr>
        <w:t>Corpus Domini</w:t>
      </w:r>
      <w:r w:rsidRPr="00771E6E">
        <w:rPr>
          <w:color w:val="000000"/>
        </w:rPr>
        <w:t xml:space="preserve"> in </w:t>
      </w:r>
      <w:proofErr w:type="spellStart"/>
      <w:r w:rsidRPr="00771E6E">
        <w:rPr>
          <w:color w:val="000000"/>
        </w:rPr>
        <w:t>Viterbo</w:t>
      </w:r>
      <w:proofErr w:type="spellEnd"/>
      <w:r w:rsidRPr="00771E6E">
        <w:rPr>
          <w:color w:val="000000"/>
        </w:rPr>
        <w:t>, attended by Pope Pius II, children were part of the representation of Heaven: “singers, representing angels, intoned sweet chants … now one could hear lovely melodies sung by human voices, now delightful chords played by musical instruments”.</w:t>
      </w:r>
      <w:r w:rsidRPr="00771E6E">
        <w:rPr>
          <w:rStyle w:val="FootnoteReference"/>
        </w:rPr>
        <w:footnoteReference w:id="446"/>
      </w:r>
      <w:r w:rsidRPr="00771E6E">
        <w:rPr>
          <w:color w:val="000000"/>
        </w:rPr>
        <w:t xml:space="preserve"> As part of this feast, a </w:t>
      </w:r>
      <w:r w:rsidRPr="00771E6E">
        <w:t xml:space="preserve">Resurrection play was performed in the town’s square, for which the Cardinal of </w:t>
      </w:r>
      <w:proofErr w:type="spellStart"/>
      <w:r w:rsidRPr="00771E6E">
        <w:t>Teano</w:t>
      </w:r>
      <w:proofErr w:type="spellEnd"/>
      <w:r w:rsidRPr="00771E6E">
        <w:t xml:space="preserve">, Niccolò </w:t>
      </w:r>
      <w:proofErr w:type="spellStart"/>
      <w:r w:rsidRPr="00771E6E">
        <w:t>Forteguerri</w:t>
      </w:r>
      <w:proofErr w:type="spellEnd"/>
      <w:r w:rsidRPr="00771E6E">
        <w:t>,</w:t>
      </w:r>
      <w:r w:rsidRPr="00771E6E">
        <w:rPr>
          <w:lang w:val="it-IT"/>
        </w:rPr>
        <w:t xml:space="preserve"> </w:t>
      </w:r>
      <w:r w:rsidRPr="00771E6E">
        <w:t>recruited young boys from Pistoia, “to sing</w:t>
      </w:r>
      <w:r w:rsidRPr="00771E6E">
        <w:rPr>
          <w:lang w:val="it-IT"/>
        </w:rPr>
        <w:t xml:space="preserve"> </w:t>
      </w:r>
      <w:proofErr w:type="spellStart"/>
      <w:r w:rsidRPr="00771E6E">
        <w:rPr>
          <w:lang w:val="it-IT"/>
        </w:rPr>
        <w:t>sweetly</w:t>
      </w:r>
      <w:proofErr w:type="spellEnd"/>
      <w:r w:rsidRPr="00771E6E">
        <w:rPr>
          <w:lang w:val="it-IT"/>
        </w:rPr>
        <w:t>” (</w:t>
      </w:r>
      <w:r w:rsidRPr="00771E6E">
        <w:rPr>
          <w:i/>
          <w:lang w:val="it-IT"/>
        </w:rPr>
        <w:t>che dolcemente cantassero</w:t>
      </w:r>
      <w:r w:rsidRPr="00771E6E">
        <w:rPr>
          <w:lang w:val="it-IT"/>
        </w:rPr>
        <w:t>): “</w:t>
      </w:r>
      <w:r w:rsidRPr="00771E6E">
        <w:t>eighteenth were the young boys who, in their features, in their voice and in their robes, imitated the nature of angels, and who, with soft song, intoned the required hymns in alternation.</w:t>
      </w:r>
      <w:r w:rsidRPr="00771E6E">
        <w:rPr>
          <w:lang w:val="it-IT"/>
        </w:rPr>
        <w:t>”</w:t>
      </w:r>
      <w:r w:rsidRPr="00771E6E">
        <w:rPr>
          <w:rStyle w:val="FootnoteReference"/>
        </w:rPr>
        <w:footnoteReference w:id="447"/>
      </w:r>
      <w:r w:rsidRPr="00771E6E">
        <w:t xml:space="preserve"> </w:t>
      </w:r>
      <w:r w:rsidRPr="00771E6E">
        <w:rPr>
          <w:color w:val="000000"/>
        </w:rPr>
        <w:t>With their golden wings decorated with real feathers and bright vestments, angels in these plays certainly attracted the attention of the audience.</w:t>
      </w:r>
      <w:r w:rsidRPr="00771E6E">
        <w:rPr>
          <w:rStyle w:val="FootnoteReference"/>
        </w:rPr>
        <w:footnoteReference w:id="448"/>
      </w:r>
      <w:r w:rsidRPr="00771E6E">
        <w:rPr>
          <w:color w:val="000000"/>
        </w:rPr>
        <w:t xml:space="preserve"> </w:t>
      </w:r>
    </w:p>
    <w:p w14:paraId="1777A4D0" w14:textId="77777777" w:rsidR="008A116C" w:rsidRPr="00771E6E" w:rsidRDefault="008A116C" w:rsidP="008A116C">
      <w:pPr>
        <w:ind w:firstLine="720"/>
        <w:rPr>
          <w:noProof/>
        </w:rPr>
      </w:pPr>
      <w:r w:rsidRPr="00771E6E">
        <w:rPr>
          <w:noProof/>
        </w:rPr>
        <w:lastRenderedPageBreak/>
        <w:t xml:space="preserve">Nerida Newbigin has identified three types of angels that were part of these performances. Aside from the aforementioned angels that were personified by children, who could either be part of the heavenly hosts or fly above the stage attached to ropes, they could also be represented using painted and gilded figures attached to the </w:t>
      </w:r>
      <w:r w:rsidRPr="00771E6E">
        <w:rPr>
          <w:i/>
          <w:noProof/>
        </w:rPr>
        <w:t>stella</w:t>
      </w:r>
      <w:r w:rsidRPr="00771E6E">
        <w:rPr>
          <w:noProof/>
        </w:rPr>
        <w:t>, a large star located in the middle of the nave, that could accommodate a large number of celestial figures.</w:t>
      </w:r>
      <w:r w:rsidRPr="00771E6E">
        <w:rPr>
          <w:rStyle w:val="FootnoteReference"/>
        </w:rPr>
        <w:footnoteReference w:id="449"/>
      </w:r>
      <w:r w:rsidRPr="00771E6E">
        <w:rPr>
          <w:noProof/>
        </w:rPr>
        <w:t xml:space="preserve"> </w:t>
      </w:r>
      <w:r w:rsidRPr="00771E6E">
        <w:rPr>
          <w:color w:val="000000"/>
        </w:rPr>
        <w:t>The fact that angels could be painted as part of the stage scenography makes the presence of children all the more significant, indicating that the necessity of having them participate in the play was linked to the fact that the painted angels were mute figures, while children would seem to be able to engage with the other actors and with the audience on a different level, thanks to their music-making.</w:t>
      </w:r>
      <w:r w:rsidRPr="00771E6E">
        <w:rPr>
          <w:rStyle w:val="FootnoteReference"/>
        </w:rPr>
        <w:footnoteReference w:id="450"/>
      </w:r>
    </w:p>
    <w:p w14:paraId="63FA7D27" w14:textId="77777777" w:rsidR="008A116C" w:rsidRPr="00771E6E" w:rsidRDefault="008A116C" w:rsidP="008A116C">
      <w:pPr>
        <w:pStyle w:val="CommentText"/>
        <w:ind w:firstLine="720"/>
      </w:pPr>
      <w:r w:rsidRPr="00771E6E">
        <w:rPr>
          <w:color w:val="000000"/>
        </w:rPr>
        <w:t xml:space="preserve">However, singing and playing instruments was not the only musical activity with which these “child angels” could engage. For the </w:t>
      </w:r>
      <w:r w:rsidRPr="00771E6E">
        <w:rPr>
          <w:noProof/>
          <w:shd w:val="clear" w:color="auto" w:fill="FFFFFF" w:themeFill="background1"/>
        </w:rPr>
        <w:t>the feast of the Annunciation discussed above,</w:t>
      </w:r>
      <w:r w:rsidRPr="00771E6E">
        <w:rPr>
          <w:i/>
          <w:noProof/>
          <w:shd w:val="clear" w:color="auto" w:fill="FFFFFF" w:themeFill="background1"/>
        </w:rPr>
        <w:t xml:space="preserve"> </w:t>
      </w:r>
      <w:r w:rsidRPr="00771E6E">
        <w:rPr>
          <w:color w:val="000000"/>
        </w:rPr>
        <w:t>Filippo</w:t>
      </w:r>
      <w:r w:rsidRPr="00771E6E">
        <w:rPr>
          <w:noProof/>
          <w:shd w:val="clear" w:color="auto" w:fill="FFFFFF" w:themeFill="background1"/>
        </w:rPr>
        <w:t xml:space="preserve"> Brunelleschi designed a special device that would rotate in such a way that it could be perceived by the viewers as</w:t>
      </w:r>
      <w:r w:rsidRPr="00771E6E">
        <w:t xml:space="preserve"> if the angels were dancing in a ring</w:t>
      </w:r>
      <w:r w:rsidRPr="00771E6E">
        <w:rPr>
          <w:noProof/>
          <w:shd w:val="clear" w:color="auto" w:fill="FFFFFF" w:themeFill="background1"/>
        </w:rPr>
        <w:t xml:space="preserve">. In Vasari’s words: </w:t>
      </w:r>
    </w:p>
    <w:p w14:paraId="1BA026D9" w14:textId="77777777" w:rsidR="008A116C" w:rsidRPr="00771E6E" w:rsidRDefault="008A116C" w:rsidP="008A116C">
      <w:pPr>
        <w:ind w:left="720"/>
        <w:rPr>
          <w:noProof/>
          <w:shd w:val="clear" w:color="auto" w:fill="FFFFFF" w:themeFill="background1"/>
        </w:rPr>
      </w:pPr>
    </w:p>
    <w:p w14:paraId="69FF18F6" w14:textId="77777777" w:rsidR="008A116C" w:rsidRPr="00771E6E" w:rsidRDefault="008A116C" w:rsidP="008A116C">
      <w:pPr>
        <w:pStyle w:val="IntenseQuote"/>
        <w:rPr>
          <w:noProof/>
          <w:shd w:val="clear" w:color="auto" w:fill="FFFFFF" w:themeFill="background1"/>
        </w:rPr>
      </w:pPr>
      <w:r w:rsidRPr="00771E6E">
        <w:rPr>
          <w:noProof/>
          <w:shd w:val="clear" w:color="auto" w:fill="FFFFFF" w:themeFill="background1"/>
        </w:rPr>
        <w:t xml:space="preserve">These </w:t>
      </w:r>
      <w:r w:rsidRPr="00771E6E">
        <w:rPr>
          <w:i/>
          <w:noProof/>
          <w:shd w:val="clear" w:color="auto" w:fill="FFFFFF" w:themeFill="background1"/>
        </w:rPr>
        <w:t xml:space="preserve">putti, </w:t>
      </w:r>
      <w:r w:rsidRPr="00771E6E">
        <w:rPr>
          <w:noProof/>
          <w:shd w:val="clear" w:color="auto" w:fill="FFFFFF" w:themeFill="background1"/>
        </w:rPr>
        <w:t>who were twelve in total … were dressed as angels with golden wings and golden skeins of hair. At the right time, they took each other by the hand and by swinging their arms it seemed like as if they were dancing, especially since the dome was continuou</w:t>
      </w:r>
      <w:r w:rsidR="000F69B3" w:rsidRPr="00771E6E">
        <w:rPr>
          <w:noProof/>
          <w:shd w:val="clear" w:color="auto" w:fill="FFFFFF" w:themeFill="background1"/>
        </w:rPr>
        <w:t>s</w:t>
      </w:r>
      <w:r w:rsidRPr="00771E6E">
        <w:rPr>
          <w:noProof/>
          <w:shd w:val="clear" w:color="auto" w:fill="FFFFFF" w:themeFill="background1"/>
        </w:rPr>
        <w:t>ly turning and moving.</w:t>
      </w:r>
      <w:r w:rsidRPr="00771E6E">
        <w:rPr>
          <w:rStyle w:val="FootnoteReference"/>
        </w:rPr>
        <w:footnoteReference w:id="451"/>
      </w:r>
    </w:p>
    <w:p w14:paraId="7A6D962A" w14:textId="77777777" w:rsidR="008A116C" w:rsidRPr="00771E6E" w:rsidRDefault="008A116C" w:rsidP="008A116C"/>
    <w:p w14:paraId="5926D2AD" w14:textId="77777777" w:rsidR="008A116C" w:rsidRPr="00771E6E" w:rsidRDefault="008A116C" w:rsidP="008A116C">
      <w:pPr>
        <w:rPr>
          <w:lang w:val="it-IT"/>
        </w:rPr>
      </w:pPr>
      <w:r w:rsidRPr="00771E6E">
        <w:t xml:space="preserve">This association between children and angelic dancing appears also in Matteo Palmieri’s </w:t>
      </w:r>
      <w:r w:rsidRPr="00771E6E">
        <w:rPr>
          <w:i/>
          <w:iCs/>
        </w:rPr>
        <w:t xml:space="preserve">Della vita </w:t>
      </w:r>
      <w:proofErr w:type="spellStart"/>
      <w:r w:rsidRPr="00771E6E">
        <w:rPr>
          <w:i/>
          <w:iCs/>
        </w:rPr>
        <w:t>civile</w:t>
      </w:r>
      <w:proofErr w:type="spellEnd"/>
      <w:r w:rsidRPr="00771E6E">
        <w:rPr>
          <w:iCs/>
        </w:rPr>
        <w:t xml:space="preserve">, </w:t>
      </w:r>
      <w:r w:rsidRPr="00771E6E">
        <w:t xml:space="preserve">circulated in the 1430s. The author observes that “at home, one should deliberate good and honest things, and even women’s tales should be advice for living honestly: with these frighten them [your children] from evil and teach them to love the good things, and say that a hairy ogre with horns in Hell will take the wicked children, while the good children will go to Heaven, </w:t>
      </w:r>
      <w:r w:rsidRPr="00771E6E">
        <w:rPr>
          <w:i/>
        </w:rPr>
        <w:t>dancing</w:t>
      </w:r>
      <w:r w:rsidRPr="00771E6E">
        <w:t xml:space="preserve"> with the angels” (my italics).</w:t>
      </w:r>
      <w:r w:rsidRPr="00771E6E">
        <w:rPr>
          <w:rStyle w:val="FootnoteReference"/>
        </w:rPr>
        <w:footnoteReference w:id="452"/>
      </w:r>
    </w:p>
    <w:p w14:paraId="416D15C8" w14:textId="77777777" w:rsidR="008A116C" w:rsidRPr="00771E6E" w:rsidRDefault="008A116C" w:rsidP="008A116C">
      <w:pPr>
        <w:ind w:firstLine="720"/>
      </w:pPr>
      <w:r w:rsidRPr="00771E6E">
        <w:lastRenderedPageBreak/>
        <w:t xml:space="preserve">Furthermore, references to angels were used when describing children and their activities. Children’s musical performances were commonly referred to as angelic, even in a secular context. Writing about the management of the household at the beginning of the fifteenth century, the Dominican friar Giovanni </w:t>
      </w:r>
      <w:proofErr w:type="spellStart"/>
      <w:r w:rsidRPr="00771E6E">
        <w:t>Dominici</w:t>
      </w:r>
      <w:proofErr w:type="spellEnd"/>
      <w:r w:rsidRPr="00771E6E">
        <w:t xml:space="preserve"> compares pious children to “angels, who cannot stop singing to the </w:t>
      </w:r>
      <w:proofErr w:type="spellStart"/>
      <w:r w:rsidRPr="00771E6E">
        <w:t>Saviour</w:t>
      </w:r>
      <w:proofErr w:type="spellEnd"/>
      <w:r w:rsidRPr="00771E6E">
        <w:t xml:space="preserve"> ‘</w:t>
      </w:r>
      <w:r w:rsidRPr="00771E6E">
        <w:rPr>
          <w:iCs/>
        </w:rPr>
        <w:t>Sanctus, Sanctus, Sanctus Dominus Deus Sabaoth.’</w:t>
      </w:r>
      <w:r w:rsidRPr="00771E6E">
        <w:t>”</w:t>
      </w:r>
      <w:r w:rsidRPr="00771E6E">
        <w:rPr>
          <w:rStyle w:val="FootnoteReference"/>
        </w:rPr>
        <w:footnoteReference w:id="453"/>
      </w:r>
      <w:r w:rsidRPr="00771E6E">
        <w:t xml:space="preserve"> Among many examples, a letter of 1460 written by the Apostolic Protonotary Teodoro of </w:t>
      </w:r>
      <w:proofErr w:type="spellStart"/>
      <w:r w:rsidRPr="00771E6E">
        <w:t>Montefeltro</w:t>
      </w:r>
      <w:proofErr w:type="spellEnd"/>
      <w:r w:rsidRPr="00771E6E">
        <w:t xml:space="preserve"> (or </w:t>
      </w:r>
      <w:proofErr w:type="spellStart"/>
      <w:r w:rsidRPr="00771E6E">
        <w:t>Monteferrato</w:t>
      </w:r>
      <w:proofErr w:type="spellEnd"/>
      <w:r w:rsidRPr="00771E6E">
        <w:t xml:space="preserve">) to the Marchioness of Mantua reports that an organ recital given by the fourteen-year-old Bianca de’ Medici, daughter of Piero di Cosimo and elder sister of Lorenzo </w:t>
      </w:r>
      <w:proofErr w:type="spellStart"/>
      <w:r w:rsidRPr="00771E6E">
        <w:t>il</w:t>
      </w:r>
      <w:proofErr w:type="spellEnd"/>
      <w:r w:rsidRPr="00771E6E">
        <w:t xml:space="preserve"> Magnifico, was “angelic” (</w:t>
      </w:r>
      <w:proofErr w:type="spellStart"/>
      <w:r w:rsidRPr="00771E6E">
        <w:rPr>
          <w:i/>
        </w:rPr>
        <w:t>sonò</w:t>
      </w:r>
      <w:proofErr w:type="spellEnd"/>
      <w:r w:rsidRPr="00771E6E">
        <w:rPr>
          <w:i/>
        </w:rPr>
        <w:t xml:space="preserve"> un canto </w:t>
      </w:r>
      <w:proofErr w:type="spellStart"/>
      <w:r w:rsidRPr="00771E6E">
        <w:rPr>
          <w:i/>
        </w:rPr>
        <w:t>angelico</w:t>
      </w:r>
      <w:proofErr w:type="spellEnd"/>
      <w:r w:rsidRPr="00771E6E">
        <w:rPr>
          <w:i/>
        </w:rPr>
        <w:t xml:space="preserve"> cum li </w:t>
      </w:r>
      <w:proofErr w:type="spellStart"/>
      <w:r w:rsidRPr="00771E6E">
        <w:rPr>
          <w:i/>
        </w:rPr>
        <w:t>organi</w:t>
      </w:r>
      <w:proofErr w:type="spellEnd"/>
      <w:r w:rsidRPr="00771E6E">
        <w:t>), comparing her and her young companions to “angels in paradise” (</w:t>
      </w:r>
      <w:proofErr w:type="spellStart"/>
      <w:r w:rsidRPr="00771E6E">
        <w:rPr>
          <w:i/>
          <w:iCs/>
        </w:rPr>
        <w:t>como</w:t>
      </w:r>
      <w:proofErr w:type="spellEnd"/>
      <w:r w:rsidRPr="00771E6E">
        <w:rPr>
          <w:i/>
          <w:iCs/>
        </w:rPr>
        <w:t xml:space="preserve"> </w:t>
      </w:r>
      <w:proofErr w:type="spellStart"/>
      <w:r w:rsidRPr="00771E6E">
        <w:rPr>
          <w:i/>
          <w:iCs/>
        </w:rPr>
        <w:t>anzeli</w:t>
      </w:r>
      <w:proofErr w:type="spellEnd"/>
      <w:r w:rsidRPr="00771E6E">
        <w:rPr>
          <w:i/>
          <w:iCs/>
        </w:rPr>
        <w:t xml:space="preserve"> di </w:t>
      </w:r>
      <w:proofErr w:type="spellStart"/>
      <w:r w:rsidRPr="00771E6E">
        <w:rPr>
          <w:i/>
          <w:iCs/>
        </w:rPr>
        <w:t>paradisso</w:t>
      </w:r>
      <w:proofErr w:type="spellEnd"/>
      <w:r w:rsidRPr="00771E6E">
        <w:t>).</w:t>
      </w:r>
      <w:r w:rsidRPr="00771E6E">
        <w:rPr>
          <w:rStyle w:val="FootnoteReference"/>
        </w:rPr>
        <w:footnoteReference w:id="454"/>
      </w:r>
      <w:r w:rsidRPr="00771E6E">
        <w:t xml:space="preserve"> </w:t>
      </w:r>
      <w:r w:rsidRPr="00771E6E">
        <w:rPr>
          <w:noProof/>
        </w:rPr>
        <w:t xml:space="preserve">Pietro Bembo, in a </w:t>
      </w:r>
      <w:r w:rsidRPr="00771E6E">
        <w:rPr>
          <w:i/>
          <w:noProof/>
        </w:rPr>
        <w:t>ballata</w:t>
      </w:r>
      <w:r w:rsidRPr="00771E6E">
        <w:rPr>
          <w:noProof/>
        </w:rPr>
        <w:t xml:space="preserve"> written shortly before 1500, describes his beloved as a “lovely and innocent little angel”, whose singing gives him the impression of having been transported to Heaven (</w:t>
      </w:r>
      <w:r w:rsidRPr="00771E6E">
        <w:rPr>
          <w:i/>
          <w:iCs/>
          <w:noProof/>
        </w:rPr>
        <w:t>esser mi parea pur su nel cielo</w:t>
      </w:r>
      <w:r w:rsidRPr="00771E6E">
        <w:rPr>
          <w:noProof/>
        </w:rPr>
        <w:t>).</w:t>
      </w:r>
      <w:r w:rsidRPr="00771E6E">
        <w:rPr>
          <w:rStyle w:val="FootnoteReference"/>
        </w:rPr>
        <w:footnoteReference w:id="455"/>
      </w:r>
    </w:p>
    <w:p w14:paraId="10E978D2" w14:textId="77777777" w:rsidR="008A116C" w:rsidRPr="00771E6E" w:rsidRDefault="008A116C" w:rsidP="008A116C">
      <w:pPr>
        <w:ind w:firstLine="720"/>
        <w:rPr>
          <w:noProof/>
        </w:rPr>
      </w:pPr>
      <w:r w:rsidRPr="00771E6E">
        <w:rPr>
          <w:noProof/>
        </w:rPr>
        <w:t>In a similar way, the Florentine apothecary Luca Landucci recounts the impression left upon him by some young singers when he saw them perform on the occasion of Savonarola’s sermon in Santa Maria del Fiore on 15 August 1496. He reports in his diary:</w:t>
      </w:r>
    </w:p>
    <w:p w14:paraId="67CCB7A0" w14:textId="77777777" w:rsidR="008A116C" w:rsidRPr="00771E6E" w:rsidRDefault="008A116C" w:rsidP="008A116C">
      <w:pPr>
        <w:rPr>
          <w:noProof/>
        </w:rPr>
      </w:pPr>
    </w:p>
    <w:p w14:paraId="33AD5CD4" w14:textId="77777777" w:rsidR="008A116C" w:rsidRPr="00771E6E" w:rsidRDefault="008A116C" w:rsidP="008A116C">
      <w:pPr>
        <w:pStyle w:val="IntenseQuote"/>
        <w:rPr>
          <w:noProof/>
          <w:lang w:val="it-IT"/>
        </w:rPr>
      </w:pPr>
      <w:r w:rsidRPr="00771E6E">
        <w:rPr>
          <w:noProof/>
        </w:rPr>
        <w:t>And observe that there was such a feeling of grace in this church, and such sweet consolation in hearing these boys sing, now above, now below, now from the side, all in turn, quite modestly and low, as if to themselves; it seemed impossible that it was done by boys. I write this because I was present, and saw and heard it many times, and felt much spiritual comfort. Truly the church was full of angels.</w:t>
      </w:r>
      <w:r w:rsidRPr="00771E6E">
        <w:rPr>
          <w:rStyle w:val="FootnoteReference"/>
        </w:rPr>
        <w:footnoteReference w:id="456"/>
      </w:r>
    </w:p>
    <w:p w14:paraId="1CCEF37B" w14:textId="77777777" w:rsidR="008A116C" w:rsidRPr="00771E6E" w:rsidRDefault="008A116C" w:rsidP="008A116C"/>
    <w:p w14:paraId="4A5F6D94" w14:textId="77777777" w:rsidR="008A116C" w:rsidRPr="00771E6E" w:rsidRDefault="008A116C" w:rsidP="008A116C">
      <w:r w:rsidRPr="00771E6E">
        <w:t xml:space="preserve">The association of children with angels was even strong enough that the inverse connection could also be made, such as when Vasari calls the musical angels in a panel by Fra </w:t>
      </w:r>
      <w:r w:rsidRPr="00771E6E">
        <w:lastRenderedPageBreak/>
        <w:t xml:space="preserve">Bartolomeo for the church of Saint Mark in Florence “two </w:t>
      </w:r>
      <w:r w:rsidRPr="00771E6E">
        <w:rPr>
          <w:iCs/>
        </w:rPr>
        <w:t>children</w:t>
      </w:r>
      <w:r w:rsidRPr="00771E6E">
        <w:t xml:space="preserve"> who are playing, one the lute and the other the </w:t>
      </w:r>
      <w:r w:rsidRPr="00771E6E">
        <w:rPr>
          <w:i/>
          <w:iCs/>
        </w:rPr>
        <w:t>lira</w:t>
      </w:r>
      <w:r w:rsidRPr="00771E6E">
        <w:t xml:space="preserve">”, in which it is evident that the “children” in the description are in fact meant to be musical angels, as can be seen in the surviving altarpiece now kept in the Galleria </w:t>
      </w:r>
      <w:proofErr w:type="spellStart"/>
      <w:r w:rsidRPr="00771E6E">
        <w:t>Palatina</w:t>
      </w:r>
      <w:proofErr w:type="spellEnd"/>
      <w:r w:rsidRPr="00771E6E">
        <w:t>, Florence (fig. 2.25).</w:t>
      </w:r>
      <w:r w:rsidRPr="00771E6E">
        <w:rPr>
          <w:rStyle w:val="FootnoteReference"/>
        </w:rPr>
        <w:footnoteReference w:id="457"/>
      </w:r>
      <w:r w:rsidRPr="00771E6E">
        <w:t xml:space="preserve"> In addition, in a letter to Pier Francesco Riccio, dated 27 January 1551, the Florentine painter </w:t>
      </w:r>
      <w:proofErr w:type="spellStart"/>
      <w:r w:rsidRPr="00771E6E">
        <w:t>Agnolo</w:t>
      </w:r>
      <w:proofErr w:type="spellEnd"/>
      <w:r w:rsidRPr="00771E6E">
        <w:t xml:space="preserve"> </w:t>
      </w:r>
      <w:proofErr w:type="spellStart"/>
      <w:r w:rsidRPr="00771E6E">
        <w:t>Bronzino</w:t>
      </w:r>
      <w:proofErr w:type="spellEnd"/>
      <w:r w:rsidRPr="00771E6E">
        <w:t>, who painted the portraits of the children of Cosimo I de’ Medici and Eleonora of Toledo in Pisa, describes these children not only as “angelic and sweet” (</w:t>
      </w:r>
      <w:proofErr w:type="spellStart"/>
      <w:r w:rsidRPr="00771E6E">
        <w:rPr>
          <w:i/>
        </w:rPr>
        <w:t>angelici</w:t>
      </w:r>
      <w:proofErr w:type="spellEnd"/>
      <w:r w:rsidRPr="00771E6E">
        <w:rPr>
          <w:i/>
        </w:rPr>
        <w:t xml:space="preserve"> et </w:t>
      </w:r>
      <w:proofErr w:type="spellStart"/>
      <w:r w:rsidRPr="00771E6E">
        <w:rPr>
          <w:i/>
        </w:rPr>
        <w:t>dolcissimi</w:t>
      </w:r>
      <w:proofErr w:type="spellEnd"/>
      <w:r w:rsidRPr="00771E6E">
        <w:t>), but also declares: “When I see them [the children], it seems to me that I am seeing many angels, and when I hear them, [it seems to me that I am] hearing many Spirits from heaven”.</w:t>
      </w:r>
      <w:r w:rsidRPr="00771E6E">
        <w:rPr>
          <w:rStyle w:val="FootnoteReference"/>
        </w:rPr>
        <w:footnoteReference w:id="458"/>
      </w:r>
      <w:r w:rsidRPr="00771E6E">
        <w:t xml:space="preserve"> </w:t>
      </w:r>
    </w:p>
    <w:p w14:paraId="49FBB3F0" w14:textId="77777777" w:rsidR="008A116C" w:rsidRPr="00771E6E" w:rsidRDefault="008A116C" w:rsidP="008A116C">
      <w:r w:rsidRPr="00771E6E">
        <w:rPr>
          <w:noProof/>
        </w:rPr>
        <w:tab/>
      </w:r>
      <w:r w:rsidRPr="00771E6E">
        <w:t>As discussed earlier in this chapter, the use of a winged child to represent an angel was a convention which had developed over the course of the fifteenth century, drawn from the revival of classical imagery, combined with the iconography of the winds and of the souls</w:t>
      </w:r>
      <w:r w:rsidRPr="00771E6E" w:rsidDel="00622182">
        <w:t xml:space="preserve"> </w:t>
      </w:r>
      <w:r w:rsidRPr="00771E6E">
        <w:t xml:space="preserve">from the previous centuries. Scholars have long discussed this practice of depicting angels as young children. Estelle M. </w:t>
      </w:r>
      <w:proofErr w:type="spellStart"/>
      <w:r w:rsidRPr="00771E6E">
        <w:t>Hurll</w:t>
      </w:r>
      <w:proofErr w:type="spellEnd"/>
      <w:r w:rsidRPr="00771E6E">
        <w:t xml:space="preserve">, in 1895, dedicated a section of her book </w:t>
      </w:r>
      <w:r w:rsidRPr="00771E6E">
        <w:rPr>
          <w:i/>
        </w:rPr>
        <w:t>Child-life in art</w:t>
      </w:r>
      <w:r w:rsidRPr="00771E6E">
        <w:t xml:space="preserve"> to the figure of the child-angel, focusing on a selection of works made by the most popular artists from the Italian Renaissance in which angels are depicted as young boys. However, this has not been linked to the common custom of having children fashion themselves as angels, as in </w:t>
      </w:r>
      <w:proofErr w:type="spellStart"/>
      <w:r w:rsidRPr="00771E6E">
        <w:rPr>
          <w:i/>
        </w:rPr>
        <w:t>sacre</w:t>
      </w:r>
      <w:proofErr w:type="spellEnd"/>
      <w:r w:rsidRPr="00771E6E">
        <w:rPr>
          <w:i/>
        </w:rPr>
        <w:t xml:space="preserve"> </w:t>
      </w:r>
      <w:proofErr w:type="spellStart"/>
      <w:r w:rsidRPr="00771E6E">
        <w:rPr>
          <w:i/>
        </w:rPr>
        <w:t>rappresentazioni</w:t>
      </w:r>
      <w:proofErr w:type="spellEnd"/>
      <w:r w:rsidRPr="00771E6E">
        <w:t>.</w:t>
      </w:r>
    </w:p>
    <w:p w14:paraId="5832CA9D" w14:textId="77777777" w:rsidR="008A116C" w:rsidRPr="00771E6E" w:rsidRDefault="008A116C" w:rsidP="008A116C">
      <w:pPr>
        <w:ind w:firstLine="720"/>
        <w:rPr>
          <w:color w:val="0000FF"/>
        </w:rPr>
      </w:pPr>
      <w:r w:rsidRPr="00771E6E">
        <w:t xml:space="preserve">In this context, a number of statuettes of young boys playing musical instruments, produced by the workshops of Andrea and Giovanni </w:t>
      </w:r>
      <w:proofErr w:type="spellStart"/>
      <w:r w:rsidRPr="00771E6E">
        <w:t>della</w:t>
      </w:r>
      <w:proofErr w:type="spellEnd"/>
      <w:r w:rsidRPr="00771E6E">
        <w:t xml:space="preserve"> Robbia, were most likely intended as representations of musical angels. One, a statuette kept in the Hermitage Museum in Saint Petersburg (fig. 2.26), shows a boy playing a wind instrument. A second statuette, of a boy playing the bagpipes, was probably originally part of an altarpiece (fig. 2.27), while others show a child-angel playing a lute (fig. 2.28) or a tambourine (fig. 2.29). These statuettes can be compared with those of four musical angels that appear above the lunette which tops the altarpiece made by Giovanni </w:t>
      </w:r>
      <w:proofErr w:type="spellStart"/>
      <w:r w:rsidRPr="00771E6E">
        <w:t>della</w:t>
      </w:r>
      <w:proofErr w:type="spellEnd"/>
      <w:r w:rsidRPr="00771E6E">
        <w:t xml:space="preserve"> Robbia for the church of San Lucchese in </w:t>
      </w:r>
      <w:proofErr w:type="spellStart"/>
      <w:r w:rsidRPr="00771E6E">
        <w:t>Poggibonsi</w:t>
      </w:r>
      <w:proofErr w:type="spellEnd"/>
      <w:r w:rsidRPr="00771E6E">
        <w:t>, near Siena (fig. 2.30).</w:t>
      </w:r>
      <w:r w:rsidRPr="00771E6E">
        <w:rPr>
          <w:rStyle w:val="FootnoteReference"/>
        </w:rPr>
        <w:footnoteReference w:id="459"/>
      </w:r>
    </w:p>
    <w:p w14:paraId="2F93CD5E" w14:textId="77777777" w:rsidR="008A116C" w:rsidRPr="00771E6E" w:rsidRDefault="008A116C" w:rsidP="008A116C">
      <w:pPr>
        <w:ind w:firstLine="720"/>
      </w:pPr>
      <w:r w:rsidRPr="00771E6E">
        <w:lastRenderedPageBreak/>
        <w:t xml:space="preserve">Child angels playing these instruments can be found in both ecclesiastical and private settings. The aforementioned statuette of a boy playing a wind instrument can be likened to the musical angels in the </w:t>
      </w:r>
      <w:r w:rsidRPr="00771E6E">
        <w:rPr>
          <w:i/>
        </w:rPr>
        <w:t>Assumption of the Virgin</w:t>
      </w:r>
      <w:r w:rsidRPr="00771E6E">
        <w:t xml:space="preserve"> by Andrea’s workshop, now in the Metropolitan Museum, New York (fig. 2.31). Similar figures are often also included in the decoration of books of hours. A young bagpipe player is part of the border decoration of a book of hours probably from the Veneto of ca. 1425-1450 (fig. 2.32), and a similar one can be seen in another book of hours probably made for Cecilia Gonzaga, around 1470 (fig. 2.33). These small books of prayers were mainly owned by women and were mainly intended for domestic use, although they could be also taken to church and read during the service. At home, they also served another purpose, as they were often used when teaching children to read.</w:t>
      </w:r>
      <w:r w:rsidRPr="00771E6E">
        <w:rPr>
          <w:rStyle w:val="FootnoteReference"/>
        </w:rPr>
        <w:footnoteReference w:id="460"/>
      </w:r>
      <w:r w:rsidRPr="00771E6E">
        <w:t xml:space="preserve"> Because of this, children of rich families would of course have been directly exposed to the lavish illuminations that often decorated the pages, and would have been able to find figures in which they could </w:t>
      </w:r>
      <w:proofErr w:type="spellStart"/>
      <w:r w:rsidRPr="00771E6E">
        <w:t>recognise</w:t>
      </w:r>
      <w:proofErr w:type="spellEnd"/>
      <w:r w:rsidRPr="00771E6E">
        <w:t xml:space="preserve"> themselves. </w:t>
      </w:r>
    </w:p>
    <w:p w14:paraId="543A4AF1" w14:textId="77777777" w:rsidR="008A116C" w:rsidRPr="00771E6E" w:rsidRDefault="008A116C" w:rsidP="008A116C">
      <w:pPr>
        <w:ind w:firstLine="720"/>
      </w:pPr>
      <w:r w:rsidRPr="00771E6E">
        <w:t xml:space="preserve">It seems clear that, for contemporary Italians, the identities of angels and children would have been tightly intertwined, and would have frequently overlapped. This effect was no doubt both encouraged and </w:t>
      </w:r>
      <w:proofErr w:type="spellStart"/>
      <w:r w:rsidRPr="00771E6E">
        <w:t>emphasised</w:t>
      </w:r>
      <w:proofErr w:type="spellEnd"/>
      <w:r w:rsidRPr="00771E6E">
        <w:t xml:space="preserve">, with angels taking on more and more child-like attributes, and children frequently being </w:t>
      </w:r>
      <w:proofErr w:type="spellStart"/>
      <w:r w:rsidRPr="00771E6E">
        <w:t>utilised</w:t>
      </w:r>
      <w:proofErr w:type="spellEnd"/>
      <w:r w:rsidRPr="00771E6E">
        <w:t xml:space="preserve"> in the earthly representation of angels. The strength of this association would have allowed these figures to be employed with a didactic purpose, to provide children with positive examples that they were intended to emulate.</w:t>
      </w:r>
    </w:p>
    <w:p w14:paraId="5B59D771" w14:textId="77777777" w:rsidR="008A116C" w:rsidRPr="00771E6E" w:rsidRDefault="008A116C" w:rsidP="008A116C">
      <w:pPr>
        <w:ind w:firstLine="720"/>
        <w:rPr>
          <w:color w:val="0000FF"/>
        </w:rPr>
      </w:pPr>
    </w:p>
    <w:p w14:paraId="57544F3B" w14:textId="77777777" w:rsidR="00EB1DA2" w:rsidRPr="00771E6E" w:rsidRDefault="00EB1DA2" w:rsidP="00182EED">
      <w:bookmarkStart w:id="49" w:name="_Toc3323228"/>
    </w:p>
    <w:p w14:paraId="58707548" w14:textId="77777777" w:rsidR="008A116C" w:rsidRPr="00771E6E" w:rsidRDefault="008A116C" w:rsidP="008A116C">
      <w:pPr>
        <w:pStyle w:val="Subchapter"/>
      </w:pPr>
      <w:bookmarkStart w:id="50" w:name="_Toc20167605"/>
      <w:r w:rsidRPr="00771E6E">
        <w:t>2.6 Angels at Home</w:t>
      </w:r>
      <w:bookmarkEnd w:id="49"/>
      <w:bookmarkEnd w:id="50"/>
    </w:p>
    <w:p w14:paraId="6D5025BE" w14:textId="77777777" w:rsidR="008A116C" w:rsidRPr="00771E6E" w:rsidRDefault="008A116C" w:rsidP="008A116C"/>
    <w:p w14:paraId="36C4DB04" w14:textId="77777777" w:rsidR="008A116C" w:rsidRPr="00771E6E" w:rsidRDefault="008A116C" w:rsidP="008A116C">
      <w:pPr>
        <w:pStyle w:val="NormalWeb"/>
        <w:shd w:val="clear" w:color="auto" w:fill="FFFFFF"/>
        <w:spacing w:before="0" w:beforeAutospacing="0" w:after="0" w:afterAutospacing="0"/>
        <w:rPr>
          <w:color w:val="000000" w:themeColor="text1"/>
        </w:rPr>
      </w:pPr>
      <w:r w:rsidRPr="00771E6E">
        <w:t xml:space="preserve">As is demonstrated by the quantity of surviving artworks, depictions of angels were frequently found in both public </w:t>
      </w:r>
      <w:r w:rsidRPr="00771E6E">
        <w:rPr>
          <w:color w:val="000000" w:themeColor="text1"/>
        </w:rPr>
        <w:t xml:space="preserve">spaces, such as churches and town halls, and private locations such as domestic environments. However, establishing which pictures were created for which type of setting, or matching specific works with a specific location, can be a difficult task, especially as documentation explicitly recording this rarely survives. In light of this, the extent to which depictions of angels are recorded in archival documents, </w:t>
      </w:r>
      <w:r w:rsidRPr="00771E6E">
        <w:rPr>
          <w:color w:val="000000" w:themeColor="text1"/>
        </w:rPr>
        <w:lastRenderedPageBreak/>
        <w:t>and the insight that this together with analysis of surviving depictions can provide, is considered in this section.</w:t>
      </w:r>
    </w:p>
    <w:p w14:paraId="3912FEFF" w14:textId="6A6D1851" w:rsidR="008A116C" w:rsidRPr="00771E6E" w:rsidRDefault="008A116C" w:rsidP="008A116C">
      <w:pPr>
        <w:pStyle w:val="NormalWeb"/>
        <w:shd w:val="clear" w:color="auto" w:fill="FFFFFF"/>
        <w:spacing w:before="0" w:beforeAutospacing="0" w:after="0" w:afterAutospacing="0"/>
        <w:ind w:firstLine="720"/>
      </w:pPr>
      <w:r w:rsidRPr="00771E6E">
        <w:rPr>
          <w:color w:val="000000" w:themeColor="text1"/>
        </w:rPr>
        <w:t>A lack of awareness of the original context for which works were produced and how they were viewed can affect considerations about their meaning and purpose. However, as Beth Williamson convincingly argued, the function of a work of art would not be completely different if this were to be displayed in a public or in a private setting, and the subjective perception of the viewer depended on a range of different factors in addition to its location. The boundary between the realms of public and private devotion is not a rigid one, and therefore some flexibility and overlap between the two religious practices can occur. This is particularly evident in the activities carried out by groups of laypeople who were part of confraternities, as they often met and performed their devotional acts inside churches, gathering in semi-private settings such as side chapels.</w:t>
      </w:r>
      <w:r w:rsidRPr="00771E6E">
        <w:rPr>
          <w:rStyle w:val="FootnoteReference"/>
        </w:rPr>
        <w:footnoteReference w:id="461"/>
      </w:r>
      <w:r w:rsidRPr="00771E6E">
        <w:rPr>
          <w:color w:val="000000" w:themeColor="text1"/>
        </w:rPr>
        <w:t xml:space="preserve"> Similarly, processions and sacred plays took place in the town’s streets and squares, being witnessed by regular citizens or by specially invited guests. For this reason, it is not possible to categorise altarpieces in churches only in relation to the liturgy or their eucharistic meanings, as </w:t>
      </w:r>
      <w:r w:rsidRPr="00771E6E">
        <w:t>they could also cover more personal devotional needs, and, in the same way, religious art produced for domestic use cannot be confined to private devotional practices only, but could also be used to stimulate associations with the ecclesiastical liturgy.</w:t>
      </w:r>
      <w:r w:rsidRPr="00771E6E">
        <w:rPr>
          <w:rStyle w:val="FootnoteReference"/>
        </w:rPr>
        <w:footnoteReference w:id="462"/>
      </w:r>
      <w:r w:rsidRPr="00771E6E">
        <w:t xml:space="preserve"> </w:t>
      </w:r>
    </w:p>
    <w:p w14:paraId="764ADB53" w14:textId="17A2B0E3" w:rsidR="00ED5672" w:rsidRPr="00771E6E" w:rsidRDefault="00ED5672" w:rsidP="0015426C">
      <w:pPr>
        <w:pStyle w:val="NormalWeb"/>
        <w:shd w:val="clear" w:color="auto" w:fill="FFFFFF"/>
        <w:spacing w:before="0" w:beforeAutospacing="0" w:after="0" w:afterAutospacing="0"/>
        <w:ind w:firstLine="720"/>
      </w:pPr>
      <w:r w:rsidRPr="00771E6E">
        <w:t xml:space="preserve">In some cases, devotional artworks created for </w:t>
      </w:r>
      <w:r w:rsidR="00A53A0C" w:rsidRPr="00771E6E">
        <w:t>private</w:t>
      </w:r>
      <w:r w:rsidRPr="00771E6E">
        <w:t xml:space="preserve"> </w:t>
      </w:r>
      <w:r w:rsidR="00796116" w:rsidRPr="00771E6E">
        <w:t>usage</w:t>
      </w:r>
      <w:r w:rsidRPr="00771E6E">
        <w:t xml:space="preserve"> </w:t>
      </w:r>
      <w:r w:rsidR="00B11F6E" w:rsidRPr="00771E6E">
        <w:t>were able to</w:t>
      </w:r>
      <w:r w:rsidRPr="00771E6E">
        <w:t xml:space="preserve"> acquire mirac</w:t>
      </w:r>
      <w:r w:rsidR="00B11F6E" w:rsidRPr="00771E6E">
        <w:t>u</w:t>
      </w:r>
      <w:r w:rsidRPr="00771E6E">
        <w:t xml:space="preserve">lous connotations. </w:t>
      </w:r>
      <w:r w:rsidR="00B11F6E" w:rsidRPr="00771E6E">
        <w:t>An interesting example is a</w:t>
      </w:r>
      <w:r w:rsidRPr="00771E6E">
        <w:t xml:space="preserve"> print </w:t>
      </w:r>
      <w:r w:rsidR="00B11F6E" w:rsidRPr="00771E6E">
        <w:t>which became known as the</w:t>
      </w:r>
      <w:r w:rsidRPr="00771E6E">
        <w:t xml:space="preserve"> Madonna of the Fire</w:t>
      </w:r>
      <w:r w:rsidR="00B11F6E" w:rsidRPr="00771E6E">
        <w:t xml:space="preserve">, </w:t>
      </w:r>
      <w:r w:rsidR="00BE17BC" w:rsidRPr="00771E6E">
        <w:t>which was</w:t>
      </w:r>
      <w:r w:rsidR="00B11F6E" w:rsidRPr="00771E6E">
        <w:t xml:space="preserve"> </w:t>
      </w:r>
      <w:r w:rsidR="0015426C" w:rsidRPr="00771E6E">
        <w:t>moved</w:t>
      </w:r>
      <w:r w:rsidRPr="00771E6E">
        <w:t xml:space="preserve"> </w:t>
      </w:r>
      <w:r w:rsidR="0015426C" w:rsidRPr="00771E6E">
        <w:t>to</w:t>
      </w:r>
      <w:r w:rsidRPr="00771E6E">
        <w:t xml:space="preserve"> the cathedral </w:t>
      </w:r>
      <w:r w:rsidR="0015426C" w:rsidRPr="00771E6E">
        <w:t xml:space="preserve">of Forlì </w:t>
      </w:r>
      <w:r w:rsidRPr="00771E6E">
        <w:t xml:space="preserve">after surviving a fire </w:t>
      </w:r>
      <w:r w:rsidR="00B11F6E" w:rsidRPr="00771E6E">
        <w:t>which devastated</w:t>
      </w:r>
      <w:r w:rsidR="00794765" w:rsidRPr="00771E6E">
        <w:t xml:space="preserve"> the</w:t>
      </w:r>
      <w:r w:rsidR="00A53A0C" w:rsidRPr="00771E6E">
        <w:t xml:space="preserve"> schoolhouse </w:t>
      </w:r>
      <w:r w:rsidR="00B11F6E" w:rsidRPr="00771E6E">
        <w:t>in which it was originally displayed.</w:t>
      </w:r>
      <w:r w:rsidRPr="00771E6E">
        <w:rPr>
          <w:rStyle w:val="FootnoteReference"/>
        </w:rPr>
        <w:footnoteReference w:id="463"/>
      </w:r>
      <w:r w:rsidR="0015426C" w:rsidRPr="00771E6E">
        <w:t xml:space="preserve"> </w:t>
      </w:r>
      <w:r w:rsidR="00B11F6E" w:rsidRPr="00771E6E">
        <w:t>In this way, it was possible that an</w:t>
      </w:r>
      <w:r w:rsidR="0015426C" w:rsidRPr="00771E6E">
        <w:t xml:space="preserve"> image could change</w:t>
      </w:r>
      <w:r w:rsidR="00B11F6E" w:rsidRPr="00771E6E">
        <w:t xml:space="preserve"> </w:t>
      </w:r>
      <w:r w:rsidR="00BE17BC" w:rsidRPr="00771E6E">
        <w:t>its</w:t>
      </w:r>
      <w:r w:rsidR="0015426C" w:rsidRPr="00771E6E">
        <w:t xml:space="preserve"> setting</w:t>
      </w:r>
      <w:r w:rsidR="00B11F6E" w:rsidRPr="00771E6E">
        <w:t>,</w:t>
      </w:r>
      <w:r w:rsidR="0015426C" w:rsidRPr="00771E6E">
        <w:t xml:space="preserve"> and </w:t>
      </w:r>
      <w:r w:rsidR="00B11F6E" w:rsidRPr="00771E6E">
        <w:t xml:space="preserve">thus </w:t>
      </w:r>
      <w:r w:rsidR="0015426C" w:rsidRPr="00771E6E">
        <w:t xml:space="preserve">become the recipient of different </w:t>
      </w:r>
      <w:r w:rsidR="00DC65E9" w:rsidRPr="00771E6E">
        <w:t xml:space="preserve">worship </w:t>
      </w:r>
      <w:r w:rsidR="0015426C" w:rsidRPr="00771E6E">
        <w:t xml:space="preserve">practices (as </w:t>
      </w:r>
      <w:r w:rsidR="00B11F6E" w:rsidRPr="00771E6E">
        <w:t xml:space="preserve">a </w:t>
      </w:r>
      <w:r w:rsidR="0015426C" w:rsidRPr="00771E6E">
        <w:t xml:space="preserve">private devotional icon </w:t>
      </w:r>
      <w:r w:rsidR="00B11F6E" w:rsidRPr="00771E6E">
        <w:t>initially</w:t>
      </w:r>
      <w:r w:rsidR="0015426C" w:rsidRPr="00771E6E">
        <w:t xml:space="preserve">, and </w:t>
      </w:r>
      <w:r w:rsidR="00B11F6E" w:rsidRPr="00771E6E">
        <w:t xml:space="preserve">a </w:t>
      </w:r>
      <w:r w:rsidR="0015426C" w:rsidRPr="00771E6E">
        <w:t xml:space="preserve">miraculous </w:t>
      </w:r>
      <w:r w:rsidR="00DC65E9" w:rsidRPr="00771E6E">
        <w:t xml:space="preserve">object </w:t>
      </w:r>
      <w:r w:rsidR="0015426C" w:rsidRPr="00771E6E">
        <w:t xml:space="preserve">after the fire), </w:t>
      </w:r>
      <w:r w:rsidR="00B11F6E" w:rsidRPr="00771E6E">
        <w:t>which testifies</w:t>
      </w:r>
      <w:r w:rsidR="0015426C" w:rsidRPr="00771E6E">
        <w:t xml:space="preserve"> to the fact that images </w:t>
      </w:r>
      <w:r w:rsidR="006646A9" w:rsidRPr="00771E6E">
        <w:t xml:space="preserve">and works of art </w:t>
      </w:r>
      <w:r w:rsidR="00685A7F" w:rsidRPr="00771E6E">
        <w:t xml:space="preserve">cannot </w:t>
      </w:r>
      <w:r w:rsidR="00B11F6E" w:rsidRPr="00771E6E">
        <w:t>always</w:t>
      </w:r>
      <w:r w:rsidR="00685A7F" w:rsidRPr="00771E6E">
        <w:t xml:space="preserve"> be </w:t>
      </w:r>
      <w:r w:rsidR="0015426C" w:rsidRPr="00771E6E">
        <w:t>defined by a single context</w:t>
      </w:r>
      <w:r w:rsidR="00215290" w:rsidRPr="00771E6E">
        <w:t>.</w:t>
      </w:r>
      <w:r w:rsidR="00025A61" w:rsidRPr="00771E6E">
        <w:t xml:space="preserve"> </w:t>
      </w:r>
      <w:r w:rsidR="00B11F6E" w:rsidRPr="00771E6E">
        <w:t>T</w:t>
      </w:r>
      <w:r w:rsidR="00025A61" w:rsidRPr="00771E6E">
        <w:t xml:space="preserve">he distinction between secular and religious spaces in the fifteenth century was </w:t>
      </w:r>
      <w:r w:rsidR="00C11113" w:rsidRPr="00771E6E">
        <w:t xml:space="preserve">frequently </w:t>
      </w:r>
      <w:r w:rsidR="00025A61" w:rsidRPr="00771E6E">
        <w:t>blurre</w:t>
      </w:r>
      <w:r w:rsidR="00C11113" w:rsidRPr="00771E6E">
        <w:t>d</w:t>
      </w:r>
      <w:r w:rsidR="00025A61" w:rsidRPr="00771E6E">
        <w:t xml:space="preserve">: a private house was therefore a ‘quasi-sacred’ space, in which devotional activities blended with secular life, </w:t>
      </w:r>
      <w:r w:rsidR="00C11113" w:rsidRPr="00771E6E">
        <w:t>and</w:t>
      </w:r>
      <w:r w:rsidR="00025A61" w:rsidRPr="00771E6E">
        <w:t xml:space="preserve"> </w:t>
      </w:r>
      <w:r w:rsidR="00C11113" w:rsidRPr="00771E6E">
        <w:t>domestic</w:t>
      </w:r>
      <w:r w:rsidR="00025A61" w:rsidRPr="00771E6E">
        <w:t xml:space="preserve"> altars </w:t>
      </w:r>
      <w:r w:rsidR="00C11113" w:rsidRPr="00771E6E">
        <w:t>would often</w:t>
      </w:r>
      <w:r w:rsidR="00025A61" w:rsidRPr="00771E6E">
        <w:t xml:space="preserve"> be installed </w:t>
      </w:r>
      <w:r w:rsidR="00C11113" w:rsidRPr="00771E6E">
        <w:t xml:space="preserve">in </w:t>
      </w:r>
      <w:r w:rsidR="00025A61" w:rsidRPr="00771E6E">
        <w:t xml:space="preserve">rooms </w:t>
      </w:r>
      <w:r w:rsidR="00C11113" w:rsidRPr="00771E6E">
        <w:t>that</w:t>
      </w:r>
      <w:r w:rsidR="00025A61" w:rsidRPr="00771E6E">
        <w:t xml:space="preserve"> were also used for receiving guests and eating.</w:t>
      </w:r>
      <w:r w:rsidR="00025A61" w:rsidRPr="00771E6E">
        <w:rPr>
          <w:rStyle w:val="FootnoteReference"/>
        </w:rPr>
        <w:footnoteReference w:id="464"/>
      </w:r>
    </w:p>
    <w:p w14:paraId="52324C24" w14:textId="19943F78" w:rsidR="003E2C16" w:rsidRPr="00771E6E" w:rsidRDefault="008A116C" w:rsidP="007C171C">
      <w:pPr>
        <w:pStyle w:val="NormalWeb"/>
        <w:shd w:val="clear" w:color="auto" w:fill="FFFFFF"/>
        <w:spacing w:before="0" w:beforeAutospacing="0" w:after="0" w:afterAutospacing="0"/>
        <w:ind w:firstLine="720"/>
      </w:pPr>
      <w:r w:rsidRPr="00771E6E">
        <w:lastRenderedPageBreak/>
        <w:t>It seems likely that panels situated in side chapels inside churches could have also had a devotional purpose, rather than being only associated with the liturgy that took place in the Church.</w:t>
      </w:r>
      <w:r w:rsidRPr="00771E6E">
        <w:rPr>
          <w:rStyle w:val="FootnoteReference"/>
        </w:rPr>
        <w:footnoteReference w:id="465"/>
      </w:r>
      <w:r w:rsidRPr="00771E6E">
        <w:t xml:space="preserve"> For example, some scholars have attributed a symbolic eucharistic meaning to altarpieces with the Virgin and Child, with the body of the Virgin Mary being interpreted as a receptacle for the incarnate Christ, while others maintain that in these cases the main subject of devotion is the Virgin, the Child being seen only as her attribute.</w:t>
      </w:r>
      <w:r w:rsidRPr="00771E6E">
        <w:rPr>
          <w:rStyle w:val="FootnoteReference"/>
        </w:rPr>
        <w:footnoteReference w:id="466"/>
      </w:r>
      <w:r w:rsidRPr="00771E6E">
        <w:t xml:space="preserve"> It may have been that both readings suggested themselves to different kinds of viewers, or to viewers involved in different kinds of engagement with the chapel and its altar.</w:t>
      </w:r>
      <w:r w:rsidR="00387119" w:rsidRPr="00771E6E">
        <w:t xml:space="preserve"> </w:t>
      </w:r>
      <w:r w:rsidR="00796116" w:rsidRPr="00771E6E">
        <w:t>T</w:t>
      </w:r>
      <w:r w:rsidR="00387119" w:rsidRPr="00771E6E">
        <w:t xml:space="preserve">he same people who were attending Mass in Church and participating </w:t>
      </w:r>
      <w:r w:rsidR="00C11113" w:rsidRPr="00771E6E">
        <w:t>in</w:t>
      </w:r>
      <w:r w:rsidR="00387119" w:rsidRPr="00771E6E">
        <w:t xml:space="preserve"> public civic events such as processions and sacred plays were also exercising private devotion in their </w:t>
      </w:r>
      <w:r w:rsidR="00796116" w:rsidRPr="00771E6E">
        <w:t>own homes</w:t>
      </w:r>
      <w:r w:rsidR="00387119" w:rsidRPr="00771E6E">
        <w:t>.</w:t>
      </w:r>
      <w:r w:rsidR="00C11113" w:rsidRPr="00771E6E">
        <w:t xml:space="preserve"> </w:t>
      </w:r>
      <w:r w:rsidR="00796116" w:rsidRPr="00771E6E">
        <w:t>In addition</w:t>
      </w:r>
      <w:r w:rsidR="003E2C16" w:rsidRPr="00771E6E">
        <w:t xml:space="preserve">, recent studies have </w:t>
      </w:r>
      <w:r w:rsidR="00796116" w:rsidRPr="00771E6E">
        <w:t>indicated</w:t>
      </w:r>
      <w:r w:rsidR="003E2C16" w:rsidRPr="00771E6E">
        <w:t xml:space="preserve"> that the practices carried out by the confraternities </w:t>
      </w:r>
      <w:r w:rsidR="00796116" w:rsidRPr="00771E6E">
        <w:t xml:space="preserve">both </w:t>
      </w:r>
      <w:r w:rsidR="003E2C16" w:rsidRPr="00771E6E">
        <w:t xml:space="preserve">reflected and expanded on domestic devotional practices, so much so that their oratories are </w:t>
      </w:r>
      <w:r w:rsidR="00796116" w:rsidRPr="00771E6E">
        <w:t>recorded</w:t>
      </w:r>
      <w:r w:rsidR="003E2C16" w:rsidRPr="00771E6E">
        <w:t xml:space="preserve"> “domus” or “</w:t>
      </w:r>
      <w:proofErr w:type="spellStart"/>
      <w:r w:rsidR="003E2C16" w:rsidRPr="00771E6E">
        <w:t>caxae</w:t>
      </w:r>
      <w:proofErr w:type="spellEnd"/>
      <w:r w:rsidR="003E2C16" w:rsidRPr="00771E6E">
        <w:t>”</w:t>
      </w:r>
      <w:r w:rsidR="00796116" w:rsidRPr="00771E6E">
        <w:t xml:space="preserve"> (house)</w:t>
      </w:r>
      <w:r w:rsidR="003E2C16" w:rsidRPr="00771E6E">
        <w:t xml:space="preserve"> </w:t>
      </w:r>
      <w:r w:rsidR="00796116" w:rsidRPr="00771E6E">
        <w:t>in written sources</w:t>
      </w:r>
      <w:r w:rsidR="003E2C16" w:rsidRPr="00771E6E">
        <w:t>.</w:t>
      </w:r>
      <w:r w:rsidR="003E2C16" w:rsidRPr="00771E6E">
        <w:rPr>
          <w:rStyle w:val="FootnoteReference"/>
        </w:rPr>
        <w:footnoteReference w:id="467"/>
      </w:r>
      <w:r w:rsidR="003E2C16" w:rsidRPr="00771E6E">
        <w:t xml:space="preserve"> </w:t>
      </w:r>
      <w:r w:rsidR="00796116" w:rsidRPr="00771E6E">
        <w:t>The s</w:t>
      </w:r>
      <w:r w:rsidR="00387119" w:rsidRPr="00771E6E">
        <w:t xml:space="preserve">ecular and </w:t>
      </w:r>
      <w:r w:rsidR="00796116" w:rsidRPr="00771E6E">
        <w:t xml:space="preserve">the </w:t>
      </w:r>
      <w:r w:rsidR="00387119" w:rsidRPr="00771E6E">
        <w:t>sacred were blended, and so</w:t>
      </w:r>
      <w:r w:rsidR="00A91DB4" w:rsidRPr="00771E6E">
        <w:t>,</w:t>
      </w:r>
      <w:r w:rsidR="00387119" w:rsidRPr="00771E6E">
        <w:t xml:space="preserve"> f</w:t>
      </w:r>
      <w:r w:rsidR="00A9601C" w:rsidRPr="00771E6E">
        <w:t>o</w:t>
      </w:r>
      <w:r w:rsidR="00387119" w:rsidRPr="00771E6E">
        <w:t>r example</w:t>
      </w:r>
      <w:r w:rsidR="00A91DB4" w:rsidRPr="00771E6E">
        <w:t>,</w:t>
      </w:r>
      <w:r w:rsidR="00387119" w:rsidRPr="00771E6E">
        <w:t xml:space="preserve"> </w:t>
      </w:r>
      <w:r w:rsidR="00796116" w:rsidRPr="00771E6E">
        <w:t xml:space="preserve">it is notable that </w:t>
      </w:r>
      <w:r w:rsidR="00387119" w:rsidRPr="00771E6E">
        <w:t xml:space="preserve">both </w:t>
      </w:r>
      <w:r w:rsidR="00A9601C" w:rsidRPr="00771E6E">
        <w:t>e</w:t>
      </w:r>
      <w:r w:rsidR="00387119" w:rsidRPr="00771E6E">
        <w:t>cclesiastical and lay people were involved together in car</w:t>
      </w:r>
      <w:r w:rsidR="00796116" w:rsidRPr="00771E6E">
        <w:t>ing for</w:t>
      </w:r>
      <w:r w:rsidR="00387119" w:rsidRPr="00771E6E">
        <w:t xml:space="preserve"> the altar of the aforementioned Madonna of the Fire.</w:t>
      </w:r>
      <w:r w:rsidR="00387119" w:rsidRPr="00771E6E">
        <w:rPr>
          <w:rStyle w:val="FootnoteReference"/>
        </w:rPr>
        <w:footnoteReference w:id="468"/>
      </w:r>
    </w:p>
    <w:p w14:paraId="674D8592" w14:textId="77777777" w:rsidR="008A116C" w:rsidRPr="00771E6E" w:rsidRDefault="008A116C" w:rsidP="008A116C">
      <w:pPr>
        <w:ind w:firstLine="720"/>
      </w:pPr>
      <w:r w:rsidRPr="00771E6E">
        <w:t>Thanks to surviving documentary evidence, a number of images have been explicitly identified as being produced specifically for private devotional practices, while others suggest this through their form, subject matter, size and provenance.</w:t>
      </w:r>
      <w:r w:rsidRPr="00771E6E">
        <w:rPr>
          <w:rStyle w:val="FootnoteReference"/>
        </w:rPr>
        <w:footnoteReference w:id="469"/>
      </w:r>
      <w:r w:rsidRPr="00771E6E">
        <w:t xml:space="preserve"> In general, a small size is usually indicative of domestic usage.</w:t>
      </w:r>
      <w:r w:rsidRPr="00771E6E">
        <w:rPr>
          <w:rStyle w:val="FootnoteReference"/>
        </w:rPr>
        <w:footnoteReference w:id="470"/>
      </w:r>
      <w:r w:rsidRPr="00771E6E">
        <w:t xml:space="preserve"> Even if this was not the case, it is likely that a small image would still be the focus of private devotion regardless of its location, being used to create an intimate relationship with the beholder, although in some cases larger works, sometimes produced in the workshops of the major artists of the period, would also have been acquired and displayed in the houses of particularly affluent members of the society.</w:t>
      </w:r>
      <w:r w:rsidRPr="00771E6E">
        <w:rPr>
          <w:rStyle w:val="FootnoteReference"/>
        </w:rPr>
        <w:footnoteReference w:id="471"/>
      </w:r>
      <w:r w:rsidRPr="00771E6E">
        <w:t xml:space="preserve"> </w:t>
      </w:r>
    </w:p>
    <w:p w14:paraId="240A1625" w14:textId="77777777" w:rsidR="008A116C" w:rsidRPr="00771E6E" w:rsidRDefault="008A116C" w:rsidP="008A116C">
      <w:pPr>
        <w:ind w:firstLine="720"/>
      </w:pPr>
      <w:r w:rsidRPr="00771E6E">
        <w:t xml:space="preserve">Other than </w:t>
      </w:r>
      <w:proofErr w:type="spellStart"/>
      <w:r w:rsidRPr="00771E6E">
        <w:t>analysing</w:t>
      </w:r>
      <w:proofErr w:type="spellEnd"/>
      <w:r w:rsidRPr="00771E6E">
        <w:t xml:space="preserve"> extant pieces, to study domestic objects one can seek the help of illustrations of interiors in contemporary works of art, such as depictions of bedrooms in </w:t>
      </w:r>
      <w:r w:rsidRPr="00771E6E">
        <w:lastRenderedPageBreak/>
        <w:t>scenes of the Birth of the Virgin or Saint John the Baptist, to observe and identify ‘realistic’, if not ‘real’, depictions, as long as appropriate care is taken in their analysis and interpretation.</w:t>
      </w:r>
      <w:r w:rsidRPr="00771E6E">
        <w:rPr>
          <w:rStyle w:val="FootnoteReference"/>
        </w:rPr>
        <w:footnoteReference w:id="472"/>
      </w:r>
      <w:r w:rsidRPr="00771E6E">
        <w:t xml:space="preserve"> The aim of this chapter, and of the whole study, is not to reconstruct domestic settings in detail, but rather to investigate the presence of angels and musical angels in the home, and in particular in the bedroom, and as such I will consider illustrations of these spaces to be a suggestion of something that could have been found in real life, although possibly not an exact likeness of the objects depicted.</w:t>
      </w:r>
      <w:r w:rsidRPr="00771E6E">
        <w:rPr>
          <w:rStyle w:val="FootnoteReference"/>
        </w:rPr>
        <w:footnoteReference w:id="473"/>
      </w:r>
    </w:p>
    <w:p w14:paraId="320056B2" w14:textId="77777777" w:rsidR="008A116C" w:rsidRPr="00771E6E" w:rsidRDefault="008A116C" w:rsidP="008A116C">
      <w:pPr>
        <w:ind w:firstLine="720"/>
      </w:pPr>
      <w:r w:rsidRPr="00771E6E">
        <w:t xml:space="preserve">When archival documents exist, such as the Florentine inventories recorded by the civic </w:t>
      </w:r>
      <w:proofErr w:type="spellStart"/>
      <w:r w:rsidRPr="00771E6E">
        <w:rPr>
          <w:i/>
        </w:rPr>
        <w:t>Ufficio</w:t>
      </w:r>
      <w:proofErr w:type="spellEnd"/>
      <w:r w:rsidRPr="00771E6E">
        <w:rPr>
          <w:i/>
        </w:rPr>
        <w:t xml:space="preserve"> del </w:t>
      </w:r>
      <w:proofErr w:type="spellStart"/>
      <w:r w:rsidRPr="00771E6E">
        <w:rPr>
          <w:i/>
        </w:rPr>
        <w:t>Magistrato</w:t>
      </w:r>
      <w:proofErr w:type="spellEnd"/>
      <w:r w:rsidRPr="00771E6E">
        <w:rPr>
          <w:i/>
        </w:rPr>
        <w:t xml:space="preserve"> </w:t>
      </w:r>
      <w:proofErr w:type="spellStart"/>
      <w:r w:rsidRPr="00771E6E">
        <w:rPr>
          <w:i/>
        </w:rPr>
        <w:t>dei</w:t>
      </w:r>
      <w:proofErr w:type="spellEnd"/>
      <w:r w:rsidRPr="00771E6E">
        <w:rPr>
          <w:i/>
        </w:rPr>
        <w:t xml:space="preserve"> </w:t>
      </w:r>
      <w:proofErr w:type="spellStart"/>
      <w:r w:rsidRPr="00771E6E">
        <w:rPr>
          <w:i/>
        </w:rPr>
        <w:t>Pupilli</w:t>
      </w:r>
      <w:proofErr w:type="spellEnd"/>
      <w:r w:rsidRPr="00771E6E">
        <w:t xml:space="preserve"> following the death of a householder, they give a helpful indication of what domestic spaces would have looked like during the fourteenth and fifteenth centuries. These sources are invaluable, not only for the evidence of particular works of art being kept in these locations, but also because of the broad overview they provide, enabling scholars to make informed speculations. As these documents cover domestic spaces belonging to both wealthy families and less affluent citizens, they allow for comparison of the similarities and differences between them. For example, particularly interesting in the context of this thesis is the fact that they show that small panels depicting sacred subjects, such as the tabernacles and the small depictions of the Virgin and Child produced by </w:t>
      </w:r>
      <w:proofErr w:type="spellStart"/>
      <w:r w:rsidRPr="00771E6E">
        <w:t>Neri</w:t>
      </w:r>
      <w:proofErr w:type="spellEnd"/>
      <w:r w:rsidRPr="00771E6E">
        <w:t xml:space="preserve"> di </w:t>
      </w:r>
      <w:proofErr w:type="spellStart"/>
      <w:r w:rsidRPr="00771E6E">
        <w:t>Bicci’s</w:t>
      </w:r>
      <w:proofErr w:type="spellEnd"/>
      <w:r w:rsidRPr="00771E6E">
        <w:t xml:space="preserve"> workshop, were found in both rich and poor households, testifying to their widespread popularity, which to some degree appeared to transcend traditional social boundaries.</w:t>
      </w:r>
      <w:r w:rsidRPr="00771E6E">
        <w:rPr>
          <w:rStyle w:val="FootnoteReference"/>
        </w:rPr>
        <w:footnoteReference w:id="474"/>
      </w:r>
      <w:r w:rsidRPr="00771E6E">
        <w:t xml:space="preserve"> Unfortunately, paintings</w:t>
      </w:r>
      <w:r w:rsidRPr="00771E6E">
        <w:rPr>
          <w:i/>
        </w:rPr>
        <w:t xml:space="preserve"> </w:t>
      </w:r>
      <w:r w:rsidRPr="00771E6E">
        <w:t xml:space="preserve">of different shapes and sizes are often listed in these inventories without a detailed description of the figures depicted. </w:t>
      </w:r>
    </w:p>
    <w:p w14:paraId="520AA88E" w14:textId="77777777" w:rsidR="008A116C" w:rsidRPr="00771E6E" w:rsidRDefault="008A116C" w:rsidP="008A116C">
      <w:pPr>
        <w:ind w:firstLine="720"/>
      </w:pPr>
      <w:r w:rsidRPr="00771E6E">
        <w:t>Despite their ubiquity in images, angels are rarely mentioned explicitly.</w:t>
      </w:r>
      <w:r w:rsidRPr="00771E6E">
        <w:rPr>
          <w:rStyle w:val="FootnoteReference"/>
        </w:rPr>
        <w:footnoteReference w:id="475"/>
      </w:r>
      <w:r w:rsidRPr="00771E6E">
        <w:t xml:space="preserve"> However, rare exceptions do survive. A </w:t>
      </w:r>
      <w:r w:rsidRPr="00771E6E">
        <w:rPr>
          <w:i/>
        </w:rPr>
        <w:t xml:space="preserve">tondo </w:t>
      </w:r>
      <w:r w:rsidRPr="00771E6E">
        <w:t>with the Virgin and Child,</w:t>
      </w:r>
      <w:r w:rsidRPr="00771E6E">
        <w:rPr>
          <w:b/>
        </w:rPr>
        <w:t xml:space="preserve"> </w:t>
      </w:r>
      <w:r w:rsidRPr="00771E6E">
        <w:t xml:space="preserve">angels, Saint John and Saint </w:t>
      </w:r>
      <w:proofErr w:type="spellStart"/>
      <w:r w:rsidRPr="00771E6E">
        <w:t>Zanobi</w:t>
      </w:r>
      <w:proofErr w:type="spellEnd"/>
      <w:r w:rsidRPr="00771E6E">
        <w:t xml:space="preserve">, painted by </w:t>
      </w:r>
      <w:proofErr w:type="spellStart"/>
      <w:r w:rsidRPr="00771E6E">
        <w:t>Cilio</w:t>
      </w:r>
      <w:proofErr w:type="spellEnd"/>
      <w:r w:rsidRPr="00771E6E">
        <w:t xml:space="preserve">, was recorded among the possessions of </w:t>
      </w:r>
      <w:proofErr w:type="spellStart"/>
      <w:r w:rsidRPr="00771E6E">
        <w:t>Zanobi</w:t>
      </w:r>
      <w:proofErr w:type="spellEnd"/>
      <w:r w:rsidRPr="00771E6E">
        <w:t xml:space="preserve"> di </w:t>
      </w:r>
      <w:proofErr w:type="spellStart"/>
      <w:r w:rsidRPr="00771E6E">
        <w:t>Giovangualberto</w:t>
      </w:r>
      <w:proofErr w:type="spellEnd"/>
      <w:r w:rsidRPr="00771E6E">
        <w:t xml:space="preserve"> </w:t>
      </w:r>
      <w:proofErr w:type="spellStart"/>
      <w:r w:rsidRPr="00771E6E">
        <w:t>Giocondi</w:t>
      </w:r>
      <w:proofErr w:type="spellEnd"/>
      <w:r w:rsidRPr="00771E6E">
        <w:t xml:space="preserve"> in 1492,</w:t>
      </w:r>
      <w:r w:rsidRPr="00771E6E">
        <w:rPr>
          <w:rStyle w:val="FootnoteReference"/>
        </w:rPr>
        <w:footnoteReference w:id="476"/>
      </w:r>
      <w:r w:rsidRPr="00771E6E">
        <w:t xml:space="preserve"> while another with the Virgin and Child, saints and one angel, was recorded in 1508.</w:t>
      </w:r>
      <w:r w:rsidRPr="00771E6E">
        <w:rPr>
          <w:rStyle w:val="FootnoteReference"/>
        </w:rPr>
        <w:footnoteReference w:id="477"/>
      </w:r>
      <w:r w:rsidRPr="00771E6E">
        <w:t xml:space="preserve"> In addition, the estate book in which </w:t>
      </w:r>
      <w:proofErr w:type="spellStart"/>
      <w:r w:rsidRPr="00771E6E">
        <w:t>Agnolo</w:t>
      </w:r>
      <w:proofErr w:type="spellEnd"/>
      <w:r w:rsidRPr="00771E6E">
        <w:t xml:space="preserve"> di </w:t>
      </w:r>
      <w:r w:rsidRPr="00771E6E">
        <w:lastRenderedPageBreak/>
        <w:t xml:space="preserve">Bernardo de’ </w:t>
      </w:r>
      <w:proofErr w:type="spellStart"/>
      <w:r w:rsidRPr="00771E6E">
        <w:t>Bardi’s</w:t>
      </w:r>
      <w:proofErr w:type="spellEnd"/>
      <w:r w:rsidRPr="00771E6E">
        <w:t xml:space="preserve"> possession are recorded mentions a </w:t>
      </w:r>
      <w:r w:rsidRPr="00771E6E">
        <w:rPr>
          <w:i/>
        </w:rPr>
        <w:t>tondo</w:t>
      </w:r>
      <w:r w:rsidRPr="00771E6E">
        <w:t xml:space="preserve"> with the Virgin and Child, Saint John, Mary Magdalene and two angels, which hung in </w:t>
      </w:r>
      <w:proofErr w:type="spellStart"/>
      <w:r w:rsidRPr="00771E6E">
        <w:t>Agnolo’s</w:t>
      </w:r>
      <w:proofErr w:type="spellEnd"/>
      <w:r w:rsidRPr="00771E6E">
        <w:t xml:space="preserve"> own bedroom.</w:t>
      </w:r>
      <w:r w:rsidRPr="00771E6E">
        <w:rPr>
          <w:rStyle w:val="FootnoteReference"/>
        </w:rPr>
        <w:footnoteReference w:id="478"/>
      </w:r>
    </w:p>
    <w:p w14:paraId="7DF12AC5" w14:textId="77777777" w:rsidR="008A116C" w:rsidRPr="00771E6E" w:rsidRDefault="008A116C" w:rsidP="008A116C">
      <w:pPr>
        <w:ind w:firstLine="720"/>
        <w:rPr>
          <w:color w:val="000000" w:themeColor="text1"/>
        </w:rPr>
      </w:pPr>
      <w:r w:rsidRPr="00771E6E">
        <w:t xml:space="preserve">Angels are sometimes recorded also as part of the decoration of </w:t>
      </w:r>
      <w:proofErr w:type="spellStart"/>
      <w:r w:rsidRPr="00771E6E">
        <w:rPr>
          <w:i/>
        </w:rPr>
        <w:t>colmi</w:t>
      </w:r>
      <w:proofErr w:type="spellEnd"/>
      <w:r w:rsidRPr="00771E6E">
        <w:t xml:space="preserve">, semi-circular reliefs. </w:t>
      </w:r>
      <w:r w:rsidRPr="00771E6E">
        <w:rPr>
          <w:color w:val="000000" w:themeColor="text1"/>
        </w:rPr>
        <w:t xml:space="preserve">For example, the 1492 inventory of Palazzo Medici lists a marble </w:t>
      </w:r>
      <w:proofErr w:type="spellStart"/>
      <w:r w:rsidRPr="00771E6E">
        <w:rPr>
          <w:i/>
          <w:color w:val="000000" w:themeColor="text1"/>
        </w:rPr>
        <w:t>colmo</w:t>
      </w:r>
      <w:proofErr w:type="spellEnd"/>
      <w:r w:rsidRPr="00771E6E">
        <w:rPr>
          <w:color w:val="000000" w:themeColor="text1"/>
        </w:rPr>
        <w:t xml:space="preserve"> above the exit from a small antechamber, with a depiction of “Our Lady with the child on her lap … with four angels, two per side.”</w:t>
      </w:r>
      <w:r w:rsidRPr="00771E6E">
        <w:rPr>
          <w:rStyle w:val="FootnoteReference"/>
        </w:rPr>
        <w:footnoteReference w:id="479"/>
      </w:r>
      <w:r w:rsidRPr="00771E6E">
        <w:rPr>
          <w:color w:val="000000" w:themeColor="text1"/>
        </w:rPr>
        <w:t xml:space="preserve"> Towards the end of the inventory one can also find another “small </w:t>
      </w:r>
      <w:proofErr w:type="spellStart"/>
      <w:r w:rsidRPr="00771E6E">
        <w:rPr>
          <w:i/>
          <w:color w:val="000000" w:themeColor="text1"/>
        </w:rPr>
        <w:t>colmo</w:t>
      </w:r>
      <w:proofErr w:type="spellEnd"/>
      <w:r w:rsidRPr="00771E6E">
        <w:rPr>
          <w:color w:val="000000" w:themeColor="text1"/>
        </w:rPr>
        <w:t xml:space="preserve"> … in which is depicted Our Lady sitting with the Child on her lap, with two little standing angels by the hand of Francesco di </w:t>
      </w:r>
      <w:proofErr w:type="spellStart"/>
      <w:r w:rsidRPr="00771E6E">
        <w:rPr>
          <w:color w:val="000000" w:themeColor="text1"/>
        </w:rPr>
        <w:t>Pisello</w:t>
      </w:r>
      <w:proofErr w:type="spellEnd"/>
      <w:r w:rsidRPr="00771E6E">
        <w:rPr>
          <w:color w:val="000000" w:themeColor="text1"/>
        </w:rPr>
        <w:t>.”</w:t>
      </w:r>
      <w:r w:rsidRPr="00771E6E">
        <w:rPr>
          <w:rStyle w:val="FootnoteReference"/>
        </w:rPr>
        <w:footnoteReference w:id="480"/>
      </w:r>
    </w:p>
    <w:p w14:paraId="2802C9F2" w14:textId="77777777" w:rsidR="008A116C" w:rsidRPr="00771E6E" w:rsidRDefault="008A116C" w:rsidP="008A116C">
      <w:pPr>
        <w:ind w:firstLine="720"/>
        <w:rPr>
          <w:color w:val="000000" w:themeColor="text1"/>
        </w:rPr>
      </w:pPr>
      <w:r w:rsidRPr="00771E6E">
        <w:rPr>
          <w:color w:val="000000" w:themeColor="text1"/>
        </w:rPr>
        <w:t xml:space="preserve">Painted panels and sculpted reliefs were not the only form of art in which angels could be found. They could also be sculpted in the round, or </w:t>
      </w:r>
      <w:proofErr w:type="spellStart"/>
      <w:r w:rsidRPr="00771E6E">
        <w:rPr>
          <w:color w:val="000000" w:themeColor="text1"/>
        </w:rPr>
        <w:t>moulded</w:t>
      </w:r>
      <w:proofErr w:type="spellEnd"/>
      <w:r w:rsidRPr="00771E6E">
        <w:rPr>
          <w:color w:val="000000" w:themeColor="text1"/>
        </w:rPr>
        <w:t xml:space="preserve"> in terracotta, as seems to be suggested by the account of household expenses recorded by Bernardo di </w:t>
      </w:r>
      <w:proofErr w:type="spellStart"/>
      <w:r w:rsidRPr="00771E6E">
        <w:rPr>
          <w:color w:val="000000" w:themeColor="text1"/>
        </w:rPr>
        <w:t>Stoldo</w:t>
      </w:r>
      <w:proofErr w:type="spellEnd"/>
      <w:r w:rsidRPr="00771E6E">
        <w:rPr>
          <w:color w:val="000000" w:themeColor="text1"/>
        </w:rPr>
        <w:t xml:space="preserve"> </w:t>
      </w:r>
      <w:proofErr w:type="spellStart"/>
      <w:r w:rsidRPr="00771E6E">
        <w:rPr>
          <w:color w:val="000000" w:themeColor="text1"/>
        </w:rPr>
        <w:t>Rinieri</w:t>
      </w:r>
      <w:proofErr w:type="spellEnd"/>
      <w:r w:rsidRPr="00771E6E">
        <w:rPr>
          <w:color w:val="000000" w:themeColor="text1"/>
        </w:rPr>
        <w:t xml:space="preserve">, who, among purchases of other domestic objects, also recorded a payment on 5 August 1458 to “the painter Apollonio di Giovanni, for four little angels that he purchased for me from Francesco </w:t>
      </w:r>
      <w:proofErr w:type="spellStart"/>
      <w:r w:rsidRPr="00771E6E">
        <w:rPr>
          <w:color w:val="000000" w:themeColor="text1"/>
        </w:rPr>
        <w:t>Danzello</w:t>
      </w:r>
      <w:proofErr w:type="spellEnd"/>
      <w:r w:rsidRPr="00771E6E">
        <w:rPr>
          <w:color w:val="000000" w:themeColor="text1"/>
        </w:rPr>
        <w:t xml:space="preserve"> de’ </w:t>
      </w:r>
      <w:proofErr w:type="spellStart"/>
      <w:r w:rsidRPr="00771E6E">
        <w:rPr>
          <w:color w:val="000000" w:themeColor="text1"/>
        </w:rPr>
        <w:t>Singori</w:t>
      </w:r>
      <w:proofErr w:type="spellEnd"/>
      <w:r w:rsidRPr="00771E6E">
        <w:rPr>
          <w:color w:val="000000" w:themeColor="text1"/>
        </w:rPr>
        <w:t>.”</w:t>
      </w:r>
      <w:r w:rsidRPr="00771E6E">
        <w:rPr>
          <w:rStyle w:val="FootnoteReference"/>
        </w:rPr>
        <w:footnoteReference w:id="481"/>
      </w:r>
      <w:r w:rsidRPr="00771E6E">
        <w:t xml:space="preserve"> The merchant Francesco reappears in another account book, compiled by Lorenzo di Matteo Morelli from 1465, once again for the supply of “three little gesso angels”. However, this time the compiler also recorded an additional expense for having them painted by a painter named Riccardo.</w:t>
      </w:r>
      <w:r w:rsidRPr="00771E6E">
        <w:rPr>
          <w:rStyle w:val="FootnoteReference"/>
        </w:rPr>
        <w:footnoteReference w:id="482"/>
      </w:r>
    </w:p>
    <w:p w14:paraId="0E09FE7E" w14:textId="77777777" w:rsidR="008A116C" w:rsidRPr="00771E6E" w:rsidRDefault="008A116C" w:rsidP="008A116C">
      <w:pPr>
        <w:ind w:firstLine="720"/>
      </w:pPr>
      <w:r w:rsidRPr="00771E6E">
        <w:rPr>
          <w:color w:val="000000" w:themeColor="text1"/>
        </w:rPr>
        <w:t xml:space="preserve">Interestingly, these statuettes are called </w:t>
      </w:r>
      <w:proofErr w:type="spellStart"/>
      <w:r w:rsidRPr="00771E6E">
        <w:rPr>
          <w:i/>
          <w:color w:val="000000" w:themeColor="text1"/>
        </w:rPr>
        <w:t>spiritelli</w:t>
      </w:r>
      <w:proofErr w:type="spellEnd"/>
      <w:r w:rsidRPr="00771E6E">
        <w:rPr>
          <w:color w:val="000000" w:themeColor="text1"/>
        </w:rPr>
        <w:t xml:space="preserve"> in the first instance, and </w:t>
      </w:r>
      <w:proofErr w:type="spellStart"/>
      <w:r w:rsidRPr="00771E6E">
        <w:rPr>
          <w:i/>
          <w:color w:val="000000" w:themeColor="text1"/>
        </w:rPr>
        <w:t>agnioletti</w:t>
      </w:r>
      <w:proofErr w:type="spellEnd"/>
      <w:r w:rsidRPr="00771E6E">
        <w:rPr>
          <w:color w:val="000000" w:themeColor="text1"/>
        </w:rPr>
        <w:t xml:space="preserve"> in the second. This makes the identification of the two figures including twelve </w:t>
      </w:r>
      <w:proofErr w:type="spellStart"/>
      <w:r w:rsidRPr="00771E6E">
        <w:rPr>
          <w:i/>
          <w:color w:val="000000" w:themeColor="text1"/>
        </w:rPr>
        <w:t>banbini</w:t>
      </w:r>
      <w:proofErr w:type="spellEnd"/>
      <w:r w:rsidRPr="00771E6E">
        <w:rPr>
          <w:color w:val="000000" w:themeColor="text1"/>
        </w:rPr>
        <w:t xml:space="preserve"> </w:t>
      </w:r>
      <w:r w:rsidR="008F3AC9" w:rsidRPr="00771E6E">
        <w:rPr>
          <w:color w:val="000000" w:themeColor="text1"/>
        </w:rPr>
        <w:t>(</w:t>
      </w:r>
      <w:r w:rsidRPr="00771E6E">
        <w:rPr>
          <w:color w:val="000000" w:themeColor="text1"/>
        </w:rPr>
        <w:t>sic</w:t>
      </w:r>
      <w:r w:rsidR="008F3AC9" w:rsidRPr="00771E6E">
        <w:rPr>
          <w:color w:val="000000" w:themeColor="text1"/>
        </w:rPr>
        <w:t>)</w:t>
      </w:r>
      <w:r w:rsidRPr="00771E6E">
        <w:rPr>
          <w:color w:val="000000" w:themeColor="text1"/>
        </w:rPr>
        <w:t xml:space="preserve"> carved above a doorway in the hall in </w:t>
      </w:r>
      <w:r w:rsidRPr="00771E6E">
        <w:rPr>
          <w:lang w:val="it-IT"/>
        </w:rPr>
        <w:t xml:space="preserve">Giovanni di Francesco </w:t>
      </w:r>
      <w:proofErr w:type="spellStart"/>
      <w:r w:rsidRPr="00771E6E">
        <w:rPr>
          <w:lang w:val="it-IT"/>
        </w:rPr>
        <w:t>Inghirammi’s</w:t>
      </w:r>
      <w:proofErr w:type="spellEnd"/>
      <w:r w:rsidRPr="00771E6E">
        <w:rPr>
          <w:lang w:val="it-IT"/>
        </w:rPr>
        <w:t xml:space="preserve"> </w:t>
      </w:r>
      <w:r w:rsidRPr="00771E6E">
        <w:t xml:space="preserve">house, and an additional </w:t>
      </w:r>
      <w:r w:rsidRPr="00771E6E">
        <w:rPr>
          <w:i/>
        </w:rPr>
        <w:t>bambino</w:t>
      </w:r>
      <w:r w:rsidRPr="00771E6E">
        <w:t xml:space="preserve"> in terracotta kept in a chamber on the ground floor, somewhat difficult. Lightbown has translated the reference to the figures of twelve </w:t>
      </w:r>
      <w:proofErr w:type="spellStart"/>
      <w:r w:rsidRPr="00771E6E">
        <w:rPr>
          <w:i/>
        </w:rPr>
        <w:t>banbini</w:t>
      </w:r>
      <w:proofErr w:type="spellEnd"/>
      <w:r w:rsidRPr="00771E6E">
        <w:t xml:space="preserve"> as “cherubs,” and this identification is indeed likely.</w:t>
      </w:r>
      <w:r w:rsidRPr="00771E6E">
        <w:rPr>
          <w:rStyle w:val="FootnoteReference"/>
        </w:rPr>
        <w:footnoteReference w:id="483"/>
      </w:r>
      <w:r w:rsidRPr="00771E6E">
        <w:t xml:space="preserve"> However, the record of a figure of a single </w:t>
      </w:r>
      <w:r w:rsidRPr="00771E6E">
        <w:rPr>
          <w:i/>
        </w:rPr>
        <w:t xml:space="preserve">bambino </w:t>
      </w:r>
      <w:r w:rsidRPr="00771E6E">
        <w:t>could possibly refer either to a bust of a child or a statuette of an angel.</w:t>
      </w:r>
    </w:p>
    <w:p w14:paraId="3074D661" w14:textId="77777777" w:rsidR="008A116C" w:rsidRPr="00771E6E" w:rsidRDefault="008A116C" w:rsidP="008A116C">
      <w:pPr>
        <w:ind w:firstLine="720"/>
      </w:pPr>
      <w:r w:rsidRPr="00771E6E">
        <w:lastRenderedPageBreak/>
        <w:t xml:space="preserve">Equally interesting and puzzling is the record of a bronze </w:t>
      </w:r>
      <w:r w:rsidRPr="00771E6E">
        <w:rPr>
          <w:i/>
        </w:rPr>
        <w:t xml:space="preserve">bambino </w:t>
      </w:r>
      <w:r w:rsidRPr="00771E6E">
        <w:t xml:space="preserve">and a statue of a child holding a fish, found in the aforementioned estate book recording </w:t>
      </w:r>
      <w:proofErr w:type="spellStart"/>
      <w:r w:rsidRPr="00771E6E">
        <w:t>Agnolo</w:t>
      </w:r>
      <w:proofErr w:type="spellEnd"/>
      <w:r w:rsidRPr="00771E6E">
        <w:t xml:space="preserve"> di Bernardo de’ </w:t>
      </w:r>
      <w:proofErr w:type="spellStart"/>
      <w:r w:rsidRPr="00771E6E">
        <w:t>Bardi’s</w:t>
      </w:r>
      <w:proofErr w:type="spellEnd"/>
      <w:r w:rsidRPr="00771E6E">
        <w:t xml:space="preserve"> possessions. Although the latter reminded John Kent </w:t>
      </w:r>
      <w:proofErr w:type="spellStart"/>
      <w:r w:rsidRPr="00771E6E">
        <w:t>Lydecker</w:t>
      </w:r>
      <w:proofErr w:type="spellEnd"/>
      <w:r w:rsidRPr="00771E6E">
        <w:t xml:space="preserve"> of Verrocchio’s statue of a </w:t>
      </w:r>
      <w:r w:rsidRPr="00771E6E">
        <w:rPr>
          <w:i/>
        </w:rPr>
        <w:t>putto</w:t>
      </w:r>
      <w:r w:rsidRPr="00771E6E">
        <w:t xml:space="preserve"> holding a dolphin, it is possible that this was in fact a figure of a young Tobias, whose association with children has been discussed above.</w:t>
      </w:r>
    </w:p>
    <w:p w14:paraId="0D512055" w14:textId="77777777" w:rsidR="008A116C" w:rsidRPr="00771E6E" w:rsidRDefault="008A116C" w:rsidP="008A116C">
      <w:pPr>
        <w:ind w:firstLine="720"/>
      </w:pPr>
      <w:r w:rsidRPr="00771E6E">
        <w:t>Surviving inventories from the fifteenth and early sixteenth century have shown that almost every house had a picture of the Virgin and Child hanging on the walls, either painted or in relief, although the documents most often do not specify the presence of angels in these depictions.</w:t>
      </w:r>
      <w:r w:rsidRPr="00771E6E">
        <w:rPr>
          <w:rStyle w:val="FootnoteReference"/>
        </w:rPr>
        <w:footnoteReference w:id="484"/>
      </w:r>
      <w:r w:rsidRPr="00771E6E">
        <w:t xml:space="preserve"> The lack of documentary evidence of the ownership of depictions of angels is, however, compensated for by the vast quantity of figurative depictions that do survive, across several different types of media and techniques, which suggest a domestic purpose.</w:t>
      </w:r>
    </w:p>
    <w:p w14:paraId="7C520F3A" w14:textId="77777777" w:rsidR="008A116C" w:rsidRPr="00771E6E" w:rsidRDefault="008A116C" w:rsidP="008A116C">
      <w:pPr>
        <w:ind w:firstLine="720"/>
      </w:pPr>
      <w:r w:rsidRPr="00771E6E">
        <w:t xml:space="preserve">Of the depictions of the Virgin and Child that have survived, a very large proportion include one or more angels in close proximity to the main figures. An example of this can be seen in a small tabernacle that includes a painted stucco relief after Donatello, in a wooden painted frame attributed to the Florentine Paolo Schiavo, from the late 1430s (fig. 2.34). The base is inscribed with the words of the angelic salutation “Ave Maria gratia plena” (Hail Mary full of Grace), a phrase which </w:t>
      </w:r>
      <w:proofErr w:type="spellStart"/>
      <w:r w:rsidR="00224DD7" w:rsidRPr="00771E6E">
        <w:t>Donal</w:t>
      </w:r>
      <w:proofErr w:type="spellEnd"/>
      <w:r w:rsidRPr="00771E6E">
        <w:t xml:space="preserve"> Cooper believes to be meant to recall the recitation of the rosary,</w:t>
      </w:r>
      <w:r w:rsidRPr="00771E6E">
        <w:rPr>
          <w:rStyle w:val="FootnoteReference"/>
        </w:rPr>
        <w:footnoteReference w:id="485"/>
      </w:r>
      <w:r w:rsidRPr="00771E6E">
        <w:t xml:space="preserve"> although it seems equally likely that these words would have in fact been intended to inspire a musical engagement with the picture, as they were sung during the liturgy. It is not unusual to find m</w:t>
      </w:r>
      <w:r w:rsidRPr="00771E6E">
        <w:rPr>
          <w:color w:val="000000" w:themeColor="text1"/>
        </w:rPr>
        <w:t xml:space="preserve">usical elements such as this in depictions of the Virgin and Child with angels. As well as incorporating the words of hymns sung during the liturgy, angels are also often shown playing a variety of musical instruments, singing from notation written on scrolls or books of music, and even using </w:t>
      </w:r>
      <w:r w:rsidRPr="00771E6E">
        <w:t xml:space="preserve">devices for teaching music such as </w:t>
      </w:r>
      <w:r w:rsidRPr="00771E6E">
        <w:rPr>
          <w:i/>
        </w:rPr>
        <w:t>tactus</w:t>
      </w:r>
      <w:r w:rsidRPr="00771E6E">
        <w:t>.</w:t>
      </w:r>
      <w:r w:rsidRPr="00771E6E">
        <w:rPr>
          <w:rStyle w:val="FootnoteReference"/>
        </w:rPr>
        <w:footnoteReference w:id="486"/>
      </w:r>
    </w:p>
    <w:p w14:paraId="731F26AB" w14:textId="77777777" w:rsidR="008A116C" w:rsidRPr="00771E6E" w:rsidRDefault="008A116C" w:rsidP="008A116C">
      <w:pPr>
        <w:ind w:firstLine="720"/>
        <w:rPr>
          <w:lang w:val="it-IT"/>
        </w:rPr>
      </w:pPr>
      <w:r w:rsidRPr="00771E6E">
        <w:t xml:space="preserve">Despite research in this field being complicated by the fact that written records of domestic furnishings and devotional paintings very rarely report the precise scene depicted, and no specific references to angels were encountered during my research, a very large number of works of art depicting the Virgin and Child with angels do survive. However, it is possible to interpret the lack of documentary evidence not so much as a </w:t>
      </w:r>
      <w:r w:rsidRPr="00771E6E">
        <w:lastRenderedPageBreak/>
        <w:t>limitation, but more as an indication that angels were so obviously present and ubiquitous that notaries carrying out inventories would not feel that it was necessary to take note of them specifically.</w:t>
      </w:r>
      <w:r w:rsidRPr="00771E6E">
        <w:rPr>
          <w:rStyle w:val="FootnoteReference"/>
        </w:rPr>
        <w:footnoteReference w:id="487"/>
      </w:r>
      <w:r w:rsidRPr="00771E6E">
        <w:t xml:space="preserve"> As an example, the 1493 inventory of the </w:t>
      </w:r>
      <w:proofErr w:type="spellStart"/>
      <w:r w:rsidRPr="00771E6E">
        <w:t>Minerbetti</w:t>
      </w:r>
      <w:proofErr w:type="spellEnd"/>
      <w:r w:rsidRPr="00771E6E">
        <w:t xml:space="preserve"> family’s possessions lists, in Andrea’s matrimonial room: “1 nostra donna </w:t>
      </w:r>
      <w:proofErr w:type="spellStart"/>
      <w:r w:rsidRPr="00771E6E">
        <w:t>dipinta</w:t>
      </w:r>
      <w:proofErr w:type="spellEnd"/>
      <w:r w:rsidRPr="00771E6E">
        <w:t xml:space="preserve"> con </w:t>
      </w:r>
      <w:proofErr w:type="spellStart"/>
      <w:r w:rsidRPr="00771E6E">
        <w:t>suo</w:t>
      </w:r>
      <w:proofErr w:type="spellEnd"/>
      <w:r w:rsidRPr="00771E6E">
        <w:t xml:space="preserve"> </w:t>
      </w:r>
      <w:proofErr w:type="spellStart"/>
      <w:r w:rsidRPr="00771E6E">
        <w:t>ornamento</w:t>
      </w:r>
      <w:proofErr w:type="spellEnd"/>
      <w:r w:rsidRPr="00771E6E">
        <w:t xml:space="preserve"> </w:t>
      </w:r>
      <w:proofErr w:type="spellStart"/>
      <w:r w:rsidRPr="00771E6E">
        <w:t>messo</w:t>
      </w:r>
      <w:proofErr w:type="spellEnd"/>
      <w:r w:rsidRPr="00771E6E">
        <w:t xml:space="preserve"> </w:t>
      </w:r>
      <w:proofErr w:type="spellStart"/>
      <w:r w:rsidRPr="00771E6E">
        <w:t>d'oro</w:t>
      </w:r>
      <w:proofErr w:type="spellEnd"/>
      <w:r w:rsidRPr="00771E6E">
        <w:t xml:space="preserve">” (a painting of Our Lady with gilded decoration), and similarly in a different room “1 </w:t>
      </w:r>
      <w:proofErr w:type="spellStart"/>
      <w:r w:rsidRPr="00771E6E">
        <w:t>quadretto</w:t>
      </w:r>
      <w:proofErr w:type="spellEnd"/>
      <w:r w:rsidRPr="00771E6E">
        <w:t xml:space="preserve"> con 1 nostra donna” (a painting of Our Lady).</w:t>
      </w:r>
      <w:r w:rsidRPr="00771E6E">
        <w:rPr>
          <w:rStyle w:val="FootnoteReference"/>
        </w:rPr>
        <w:footnoteReference w:id="488"/>
      </w:r>
      <w:r w:rsidRPr="00771E6E">
        <w:t xml:space="preserve"> </w:t>
      </w:r>
      <w:proofErr w:type="spellStart"/>
      <w:r w:rsidRPr="00771E6E">
        <w:rPr>
          <w:lang w:val="it-IT"/>
        </w:rPr>
        <w:t>Even</w:t>
      </w:r>
      <w:proofErr w:type="spellEnd"/>
      <w:r w:rsidRPr="00771E6E">
        <w:rPr>
          <w:lang w:val="it-IT"/>
        </w:rPr>
        <w:t xml:space="preserve"> Andrea </w:t>
      </w:r>
      <w:proofErr w:type="spellStart"/>
      <w:r w:rsidRPr="00771E6E">
        <w:rPr>
          <w:lang w:val="it-IT"/>
        </w:rPr>
        <w:t>himself</w:t>
      </w:r>
      <w:proofErr w:type="spellEnd"/>
      <w:r w:rsidRPr="00771E6E">
        <w:rPr>
          <w:lang w:val="it-IT"/>
        </w:rPr>
        <w:t xml:space="preserve"> </w:t>
      </w:r>
      <w:proofErr w:type="spellStart"/>
      <w:r w:rsidRPr="00771E6E">
        <w:rPr>
          <w:lang w:val="it-IT"/>
        </w:rPr>
        <w:t>does</w:t>
      </w:r>
      <w:proofErr w:type="spellEnd"/>
      <w:r w:rsidRPr="00771E6E">
        <w:rPr>
          <w:lang w:val="it-IT"/>
        </w:rPr>
        <w:t xml:space="preserve"> </w:t>
      </w:r>
      <w:proofErr w:type="spellStart"/>
      <w:r w:rsidRPr="00771E6E">
        <w:rPr>
          <w:lang w:val="it-IT"/>
        </w:rPr>
        <w:t>not</w:t>
      </w:r>
      <w:proofErr w:type="spellEnd"/>
      <w:r w:rsidRPr="00771E6E">
        <w:rPr>
          <w:lang w:val="it-IT"/>
        </w:rPr>
        <w:t xml:space="preserve"> </w:t>
      </w:r>
      <w:proofErr w:type="spellStart"/>
      <w:r w:rsidRPr="00771E6E">
        <w:rPr>
          <w:lang w:val="it-IT"/>
        </w:rPr>
        <w:t>give</w:t>
      </w:r>
      <w:proofErr w:type="spellEnd"/>
      <w:r w:rsidRPr="00771E6E">
        <w:rPr>
          <w:lang w:val="it-IT"/>
        </w:rPr>
        <w:t xml:space="preserve"> more </w:t>
      </w:r>
      <w:proofErr w:type="spellStart"/>
      <w:r w:rsidRPr="00771E6E">
        <w:rPr>
          <w:lang w:val="it-IT"/>
        </w:rPr>
        <w:t>details</w:t>
      </w:r>
      <w:proofErr w:type="spellEnd"/>
      <w:r w:rsidRPr="00771E6E">
        <w:rPr>
          <w:lang w:val="it-IT"/>
        </w:rPr>
        <w:t xml:space="preserve"> in </w:t>
      </w:r>
      <w:proofErr w:type="spellStart"/>
      <w:r w:rsidRPr="00771E6E">
        <w:rPr>
          <w:lang w:val="it-IT"/>
        </w:rPr>
        <w:t>his</w:t>
      </w:r>
      <w:proofErr w:type="spellEnd"/>
      <w:r w:rsidRPr="00771E6E">
        <w:rPr>
          <w:lang w:val="it-IT"/>
        </w:rPr>
        <w:t xml:space="preserve"> </w:t>
      </w:r>
      <w:r w:rsidRPr="00771E6E">
        <w:rPr>
          <w:i/>
          <w:color w:val="000000" w:themeColor="text1"/>
          <w:lang w:val="it-IT"/>
        </w:rPr>
        <w:t>Libro di ricordi</w:t>
      </w:r>
      <w:r w:rsidRPr="00771E6E">
        <w:rPr>
          <w:lang w:val="it-IT"/>
        </w:rPr>
        <w:t xml:space="preserve">: in 1497, he </w:t>
      </w:r>
      <w:proofErr w:type="spellStart"/>
      <w:r w:rsidRPr="00771E6E">
        <w:rPr>
          <w:lang w:val="it-IT"/>
        </w:rPr>
        <w:t>acquired</w:t>
      </w:r>
      <w:proofErr w:type="spellEnd"/>
      <w:r w:rsidRPr="00771E6E">
        <w:rPr>
          <w:lang w:val="it-IT"/>
        </w:rPr>
        <w:t xml:space="preserve"> “1 nostra donna di rilievo grande” (a big </w:t>
      </w:r>
      <w:proofErr w:type="spellStart"/>
      <w:r w:rsidRPr="00771E6E">
        <w:rPr>
          <w:lang w:val="it-IT"/>
        </w:rPr>
        <w:t>relief</w:t>
      </w:r>
      <w:proofErr w:type="spellEnd"/>
      <w:r w:rsidRPr="00771E6E">
        <w:rPr>
          <w:lang w:val="it-IT"/>
        </w:rPr>
        <w:t xml:space="preserve"> with </w:t>
      </w:r>
      <w:proofErr w:type="spellStart"/>
      <w:r w:rsidRPr="00771E6E">
        <w:rPr>
          <w:lang w:val="it-IT"/>
        </w:rPr>
        <w:t>Our</w:t>
      </w:r>
      <w:proofErr w:type="spellEnd"/>
      <w:r w:rsidRPr="00771E6E">
        <w:rPr>
          <w:lang w:val="it-IT"/>
        </w:rPr>
        <w:t xml:space="preserve"> Lady), in 1499, “1 nostra donna della </w:t>
      </w:r>
      <w:proofErr w:type="spellStart"/>
      <w:r w:rsidRPr="00771E6E">
        <w:rPr>
          <w:lang w:val="it-IT"/>
        </w:rPr>
        <w:t>robia</w:t>
      </w:r>
      <w:proofErr w:type="spellEnd"/>
      <w:r w:rsidRPr="00771E6E">
        <w:rPr>
          <w:lang w:val="it-IT"/>
        </w:rPr>
        <w:t xml:space="preserve"> murata” (</w:t>
      </w:r>
      <w:proofErr w:type="spellStart"/>
      <w:r w:rsidRPr="00771E6E">
        <w:rPr>
          <w:lang w:val="it-IT"/>
        </w:rPr>
        <w:t>one</w:t>
      </w:r>
      <w:proofErr w:type="spellEnd"/>
      <w:r w:rsidRPr="00771E6E">
        <w:rPr>
          <w:lang w:val="it-IT"/>
        </w:rPr>
        <w:t xml:space="preserve"> </w:t>
      </w:r>
      <w:proofErr w:type="spellStart"/>
      <w:r w:rsidRPr="00771E6E">
        <w:rPr>
          <w:lang w:val="it-IT"/>
        </w:rPr>
        <w:t>Our</w:t>
      </w:r>
      <w:proofErr w:type="spellEnd"/>
      <w:r w:rsidRPr="00771E6E">
        <w:rPr>
          <w:lang w:val="it-IT"/>
        </w:rPr>
        <w:t xml:space="preserve"> Lady by Della Robbia), in 1502, “1 nostra donna di marmo” (</w:t>
      </w:r>
      <w:proofErr w:type="spellStart"/>
      <w:r w:rsidRPr="00771E6E">
        <w:rPr>
          <w:lang w:val="it-IT"/>
        </w:rPr>
        <w:t>one</w:t>
      </w:r>
      <w:proofErr w:type="spellEnd"/>
      <w:r w:rsidRPr="00771E6E">
        <w:rPr>
          <w:lang w:val="it-IT"/>
        </w:rPr>
        <w:t xml:space="preserve"> </w:t>
      </w:r>
      <w:proofErr w:type="spellStart"/>
      <w:r w:rsidRPr="00771E6E">
        <w:rPr>
          <w:lang w:val="it-IT"/>
        </w:rPr>
        <w:t>marble</w:t>
      </w:r>
      <w:proofErr w:type="spellEnd"/>
      <w:r w:rsidRPr="00771E6E">
        <w:rPr>
          <w:lang w:val="it-IT"/>
        </w:rPr>
        <w:t xml:space="preserve"> </w:t>
      </w:r>
      <w:proofErr w:type="spellStart"/>
      <w:r w:rsidRPr="00771E6E">
        <w:rPr>
          <w:lang w:val="it-IT"/>
        </w:rPr>
        <w:t>Our</w:t>
      </w:r>
      <w:proofErr w:type="spellEnd"/>
      <w:r w:rsidRPr="00771E6E">
        <w:rPr>
          <w:lang w:val="it-IT"/>
        </w:rPr>
        <w:t xml:space="preserve"> Lady), and, in 1511, “1 tondetto con 1 nostra donna dipinta” (a </w:t>
      </w:r>
      <w:proofErr w:type="spellStart"/>
      <w:r w:rsidRPr="00771E6E">
        <w:rPr>
          <w:lang w:val="it-IT"/>
        </w:rPr>
        <w:t>little</w:t>
      </w:r>
      <w:proofErr w:type="spellEnd"/>
      <w:r w:rsidRPr="00771E6E">
        <w:rPr>
          <w:lang w:val="it-IT"/>
        </w:rPr>
        <w:t xml:space="preserve"> tondo </w:t>
      </w:r>
      <w:proofErr w:type="spellStart"/>
      <w:r w:rsidRPr="00771E6E">
        <w:rPr>
          <w:lang w:val="it-IT"/>
        </w:rPr>
        <w:t>painted</w:t>
      </w:r>
      <w:proofErr w:type="spellEnd"/>
      <w:r w:rsidRPr="00771E6E">
        <w:rPr>
          <w:lang w:val="it-IT"/>
        </w:rPr>
        <w:t xml:space="preserve"> with </w:t>
      </w:r>
      <w:proofErr w:type="spellStart"/>
      <w:r w:rsidRPr="00771E6E">
        <w:rPr>
          <w:lang w:val="it-IT"/>
        </w:rPr>
        <w:t>Our</w:t>
      </w:r>
      <w:proofErr w:type="spellEnd"/>
      <w:r w:rsidRPr="00771E6E">
        <w:rPr>
          <w:lang w:val="it-IT"/>
        </w:rPr>
        <w:t xml:space="preserve"> Lady).</w:t>
      </w:r>
      <w:r w:rsidRPr="00771E6E">
        <w:rPr>
          <w:rStyle w:val="FootnoteReference"/>
        </w:rPr>
        <w:footnoteReference w:id="489"/>
      </w:r>
      <w:r w:rsidRPr="00771E6E">
        <w:rPr>
          <w:lang w:val="it-IT"/>
        </w:rPr>
        <w:t xml:space="preserve"> </w:t>
      </w:r>
      <w:r w:rsidRPr="00771E6E">
        <w:t>Evidently these works did not depict the Virgin Mary alone, but figures such as the Infant Christ, the young Saint John the Baptist and any possible surrounding angels were deemed too obvious to deserve a specific mention. Nevertheless, it should also be noted that describing the subjects was not the main purpose of the inventory, and far more attention would have been paid to the material and size of the objects listed, as these would have been the factors which would have been most significant when determining the distribution of inherited goods.</w:t>
      </w:r>
      <w:r w:rsidRPr="00771E6E">
        <w:rPr>
          <w:rStyle w:val="FootnoteReference"/>
        </w:rPr>
        <w:footnoteReference w:id="490"/>
      </w:r>
    </w:p>
    <w:p w14:paraId="0D1B5F0B" w14:textId="77777777" w:rsidR="008A116C" w:rsidRPr="00771E6E" w:rsidRDefault="008A116C" w:rsidP="008A116C">
      <w:pPr>
        <w:ind w:firstLine="720"/>
      </w:pPr>
      <w:r w:rsidRPr="00771E6E">
        <w:t xml:space="preserve">The clear implication of these deductions is that angels must have inhabited many Renaissance homes, most often in company with the Virgin and Child. This conclusion is supported by contemporary representations of realistic domestic interior. For example, an illustration showing a depiction of the Virgin and Child flanked with angels in a domestic setting appears in Girolamo Savonarola’s </w:t>
      </w:r>
      <w:proofErr w:type="spellStart"/>
      <w:r w:rsidRPr="00771E6E">
        <w:rPr>
          <w:i/>
        </w:rPr>
        <w:t>Predica</w:t>
      </w:r>
      <w:proofErr w:type="spellEnd"/>
      <w:r w:rsidRPr="00771E6E">
        <w:rPr>
          <w:i/>
        </w:rPr>
        <w:t xml:space="preserve"> </w:t>
      </w:r>
      <w:proofErr w:type="spellStart"/>
      <w:r w:rsidRPr="00771E6E">
        <w:rPr>
          <w:i/>
        </w:rPr>
        <w:t>dell’arte</w:t>
      </w:r>
      <w:proofErr w:type="spellEnd"/>
      <w:r w:rsidRPr="00771E6E">
        <w:rPr>
          <w:i/>
        </w:rPr>
        <w:t xml:space="preserve"> del bene </w:t>
      </w:r>
      <w:proofErr w:type="spellStart"/>
      <w:r w:rsidRPr="00771E6E">
        <w:rPr>
          <w:i/>
        </w:rPr>
        <w:t>morire</w:t>
      </w:r>
      <w:proofErr w:type="spellEnd"/>
      <w:r w:rsidRPr="00771E6E">
        <w:t xml:space="preserve"> (Sermon on the Art of Dying Well) from 1496.</w:t>
      </w:r>
    </w:p>
    <w:p w14:paraId="6E19D247" w14:textId="77777777" w:rsidR="008A116C" w:rsidRPr="00771E6E" w:rsidRDefault="008A116C" w:rsidP="008A116C">
      <w:pPr>
        <w:ind w:firstLine="720"/>
      </w:pPr>
      <w:r w:rsidRPr="00771E6E">
        <w:t xml:space="preserve">As has been discussed, depictions of angels may have been more or less human in their appearance, but it is worth noting that distinctively </w:t>
      </w:r>
      <w:proofErr w:type="spellStart"/>
      <w:r w:rsidRPr="00771E6E">
        <w:t>humanised</w:t>
      </w:r>
      <w:proofErr w:type="spellEnd"/>
      <w:r w:rsidRPr="00771E6E">
        <w:t xml:space="preserve"> representations of angels are particularly common in domestic devotional images, as Ronald Kecks has pointed out.</w:t>
      </w:r>
      <w:r w:rsidRPr="00771E6E">
        <w:rPr>
          <w:rStyle w:val="FootnoteReference"/>
        </w:rPr>
        <w:footnoteReference w:id="491"/>
      </w:r>
      <w:r w:rsidRPr="00771E6E">
        <w:t xml:space="preserve"> Angels could be represented without wings or halo, as, for example, in a </w:t>
      </w:r>
      <w:r w:rsidRPr="00771E6E">
        <w:rPr>
          <w:i/>
          <w:iCs/>
        </w:rPr>
        <w:lastRenderedPageBreak/>
        <w:t>Nativity</w:t>
      </w:r>
      <w:r w:rsidRPr="00771E6E">
        <w:t xml:space="preserve"> of 1470-1475 by Piero </w:t>
      </w:r>
      <w:proofErr w:type="spellStart"/>
      <w:r w:rsidRPr="00771E6E">
        <w:t>della</w:t>
      </w:r>
      <w:proofErr w:type="spellEnd"/>
      <w:r w:rsidRPr="00771E6E">
        <w:t xml:space="preserve"> Francesca (fig. 4.1), which was created for a domestic environment.</w:t>
      </w:r>
      <w:r w:rsidRPr="00771E6E">
        <w:rPr>
          <w:rStyle w:val="FootnoteReference"/>
        </w:rPr>
        <w:footnoteReference w:id="492"/>
      </w:r>
      <w:r w:rsidRPr="00771E6E">
        <w:t xml:space="preserve"> </w:t>
      </w:r>
    </w:p>
    <w:p w14:paraId="6FA4F137" w14:textId="77777777" w:rsidR="008A116C" w:rsidRPr="00771E6E" w:rsidRDefault="008A116C" w:rsidP="008A116C">
      <w:pPr>
        <w:ind w:firstLine="720"/>
      </w:pPr>
      <w:r w:rsidRPr="00771E6E">
        <w:t xml:space="preserve">In recent decades, domestic settings have become the focus of several publications on Renaissance Italy. Thanks to studies such as the V&amp;A exhibition and accompanying catalogue </w:t>
      </w:r>
      <w:r w:rsidRPr="00771E6E">
        <w:rPr>
          <w:i/>
          <w:iCs/>
        </w:rPr>
        <w:t>At Home in Renaissance Italy</w:t>
      </w:r>
      <w:r w:rsidRPr="00771E6E">
        <w:t xml:space="preserve"> (2006-2007), the University of Cambridge research project “Domestic Devotion: the place of piety in the Italian Renaissance home” (2013-2016) and its associated publications, and the collection of essays </w:t>
      </w:r>
      <w:r w:rsidRPr="00771E6E">
        <w:rPr>
          <w:rStyle w:val="fn"/>
          <w:i/>
          <w:color w:val="000000" w:themeColor="text1"/>
        </w:rPr>
        <w:t>The Early Modern Italian Domestic Interior, 1400-1700</w:t>
      </w:r>
      <w:r w:rsidRPr="00771E6E">
        <w:rPr>
          <w:i/>
        </w:rPr>
        <w:t>.</w:t>
      </w:r>
      <w:r w:rsidRPr="00771E6E">
        <w:rPr>
          <w:rStyle w:val="apple-converted-space"/>
          <w:i/>
          <w:color w:val="000000" w:themeColor="text1"/>
        </w:rPr>
        <w:t> </w:t>
      </w:r>
      <w:r w:rsidRPr="00771E6E">
        <w:rPr>
          <w:rStyle w:val="Subtitle1"/>
          <w:bCs/>
          <w:i/>
          <w:color w:val="000000" w:themeColor="text1"/>
        </w:rPr>
        <w:t>Objects, Spaces, Domesticities</w:t>
      </w:r>
      <w:r w:rsidRPr="00771E6E">
        <w:rPr>
          <w:rStyle w:val="Subtitle1"/>
          <w:b/>
          <w:bCs/>
          <w:color w:val="000000" w:themeColor="text1"/>
        </w:rPr>
        <w:t xml:space="preserve"> </w:t>
      </w:r>
      <w:r w:rsidRPr="00771E6E">
        <w:rPr>
          <w:rStyle w:val="Subtitle1"/>
          <w:bCs/>
          <w:color w:val="000000" w:themeColor="text1"/>
        </w:rPr>
        <w:t>(2013) and</w:t>
      </w:r>
      <w:r w:rsidRPr="00771E6E">
        <w:rPr>
          <w:rStyle w:val="Subtitle1"/>
          <w:b/>
          <w:bCs/>
          <w:color w:val="000000" w:themeColor="text1"/>
        </w:rPr>
        <w:t xml:space="preserve"> </w:t>
      </w:r>
      <w:proofErr w:type="spellStart"/>
      <w:r w:rsidRPr="00771E6E">
        <w:rPr>
          <w:i/>
          <w:iCs/>
        </w:rPr>
        <w:t>Pregare</w:t>
      </w:r>
      <w:proofErr w:type="spellEnd"/>
      <w:r w:rsidRPr="00771E6E">
        <w:rPr>
          <w:i/>
          <w:iCs/>
        </w:rPr>
        <w:t xml:space="preserve"> in casa. </w:t>
      </w:r>
      <w:proofErr w:type="spellStart"/>
      <w:r w:rsidRPr="00771E6E">
        <w:rPr>
          <w:i/>
          <w:iCs/>
        </w:rPr>
        <w:t>Oggetti</w:t>
      </w:r>
      <w:proofErr w:type="spellEnd"/>
      <w:r w:rsidRPr="00771E6E">
        <w:rPr>
          <w:i/>
          <w:iCs/>
        </w:rPr>
        <w:t xml:space="preserve"> e </w:t>
      </w:r>
      <w:proofErr w:type="spellStart"/>
      <w:r w:rsidRPr="00771E6E">
        <w:rPr>
          <w:i/>
          <w:iCs/>
        </w:rPr>
        <w:t>documenti</w:t>
      </w:r>
      <w:proofErr w:type="spellEnd"/>
      <w:r w:rsidRPr="00771E6E">
        <w:rPr>
          <w:i/>
          <w:iCs/>
        </w:rPr>
        <w:t xml:space="preserve"> </w:t>
      </w:r>
      <w:proofErr w:type="spellStart"/>
      <w:r w:rsidRPr="00771E6E">
        <w:rPr>
          <w:i/>
          <w:iCs/>
        </w:rPr>
        <w:t>della</w:t>
      </w:r>
      <w:proofErr w:type="spellEnd"/>
      <w:r w:rsidRPr="00771E6E">
        <w:rPr>
          <w:i/>
          <w:iCs/>
        </w:rPr>
        <w:t xml:space="preserve"> </w:t>
      </w:r>
      <w:proofErr w:type="spellStart"/>
      <w:r w:rsidRPr="00771E6E">
        <w:rPr>
          <w:i/>
          <w:iCs/>
        </w:rPr>
        <w:t>pratica</w:t>
      </w:r>
      <w:proofErr w:type="spellEnd"/>
      <w:r w:rsidRPr="00771E6E">
        <w:rPr>
          <w:i/>
          <w:iCs/>
        </w:rPr>
        <w:t xml:space="preserve"> religiosa </w:t>
      </w:r>
      <w:proofErr w:type="spellStart"/>
      <w:r w:rsidRPr="00771E6E">
        <w:rPr>
          <w:i/>
          <w:iCs/>
        </w:rPr>
        <w:t>tra</w:t>
      </w:r>
      <w:proofErr w:type="spellEnd"/>
      <w:r w:rsidRPr="00771E6E">
        <w:rPr>
          <w:i/>
          <w:iCs/>
        </w:rPr>
        <w:t xml:space="preserve"> </w:t>
      </w:r>
      <w:proofErr w:type="spellStart"/>
      <w:r w:rsidRPr="00771E6E">
        <w:rPr>
          <w:i/>
          <w:iCs/>
        </w:rPr>
        <w:t>Medioevo</w:t>
      </w:r>
      <w:proofErr w:type="spellEnd"/>
      <w:r w:rsidRPr="00771E6E">
        <w:rPr>
          <w:i/>
          <w:iCs/>
        </w:rPr>
        <w:t xml:space="preserve"> e </w:t>
      </w:r>
      <w:proofErr w:type="spellStart"/>
      <w:r w:rsidRPr="00771E6E">
        <w:rPr>
          <w:i/>
          <w:iCs/>
        </w:rPr>
        <w:t>Rinascimento</w:t>
      </w:r>
      <w:proofErr w:type="spellEnd"/>
      <w:r w:rsidRPr="00771E6E">
        <w:t xml:space="preserve"> (2018), we are now better acquainted than ever with the daily life of Renaissance individuals and families, especially concerning their personal and private piety.</w:t>
      </w:r>
      <w:r w:rsidRPr="00771E6E">
        <w:rPr>
          <w:rStyle w:val="FootnoteReference"/>
        </w:rPr>
        <w:footnoteReference w:id="493"/>
      </w:r>
      <w:r w:rsidRPr="00771E6E">
        <w:t xml:space="preserve"> These studies have advanced our understanding of the twofold function performed by some domestic objects, since often objects that had a practical use in the home would also have played a part in domestic devotional activities. Devotional scenes and other non-religious edifying scenes that adorned a variety of domestic objects of daily use, small caskets (</w:t>
      </w:r>
      <w:proofErr w:type="spellStart"/>
      <w:r w:rsidRPr="00771E6E">
        <w:rPr>
          <w:i/>
        </w:rPr>
        <w:t>cofanetti</w:t>
      </w:r>
      <w:proofErr w:type="spellEnd"/>
      <w:r w:rsidRPr="00771E6E">
        <w:t>) and dowry chests (</w:t>
      </w:r>
      <w:r w:rsidRPr="00771E6E">
        <w:rPr>
          <w:i/>
        </w:rPr>
        <w:t>cassoni</w:t>
      </w:r>
      <w:r w:rsidRPr="00771E6E">
        <w:t xml:space="preserve">), testify to this dual purpose. An example of this is provided by a maiolica inkstand decorated with the scene of the </w:t>
      </w:r>
      <w:r w:rsidRPr="00771E6E">
        <w:rPr>
          <w:i/>
        </w:rPr>
        <w:t>Nativity</w:t>
      </w:r>
      <w:r w:rsidRPr="00771E6E">
        <w:t xml:space="preserve"> in the round, attributed to Giovanni di Nicola di Manzoni dal Colle, from around 1510 (fig. 2.35). As suggested by Katherine </w:t>
      </w:r>
      <w:proofErr w:type="spellStart"/>
      <w:r w:rsidRPr="00771E6E">
        <w:t>Tycz</w:t>
      </w:r>
      <w:proofErr w:type="spellEnd"/>
      <w:r w:rsidRPr="00771E6E">
        <w:t>, the individuals using this inkstand would have been reminded of the Holy Family and the birth of Christ every time they reached out to it with their pen.</w:t>
      </w:r>
      <w:r w:rsidRPr="00771E6E">
        <w:rPr>
          <w:rStyle w:val="FootnoteReference"/>
        </w:rPr>
        <w:footnoteReference w:id="494"/>
      </w:r>
    </w:p>
    <w:p w14:paraId="25C6BBE6" w14:textId="77777777" w:rsidR="008A116C" w:rsidRPr="00771E6E" w:rsidRDefault="008A116C" w:rsidP="008A116C">
      <w:pPr>
        <w:ind w:firstLine="720"/>
      </w:pPr>
      <w:r w:rsidRPr="00771E6E">
        <w:t xml:space="preserve">An object could have several intents and functions, depending on the necessity of the moment, and its meanings in the home were not limited to its practical use, or even devotion towards the figures depicted. Often, the characters depicted on these objects could also serve as examples to follow for their viewers, playing a role in the education of members of the household, and it is this practice in particular which is under scrutiny in the present study. In this context, piety and moral education go hand in hand. Surprisingly, </w:t>
      </w:r>
      <w:r w:rsidRPr="00771E6E">
        <w:lastRenderedPageBreak/>
        <w:t xml:space="preserve">depictions of musical angels have never been </w:t>
      </w:r>
      <w:proofErr w:type="spellStart"/>
      <w:r w:rsidRPr="00771E6E">
        <w:t>analysed</w:t>
      </w:r>
      <w:proofErr w:type="spellEnd"/>
      <w:r w:rsidRPr="00771E6E">
        <w:t xml:space="preserve"> in this light. Even though these figures combine both the well-known power of images to influence the beholder and the equally celebrated role of music in influencing viewers towards certain </w:t>
      </w:r>
      <w:proofErr w:type="spellStart"/>
      <w:r w:rsidRPr="00771E6E">
        <w:t>behaviours</w:t>
      </w:r>
      <w:proofErr w:type="spellEnd"/>
      <w:r w:rsidRPr="00771E6E">
        <w:t xml:space="preserve">, discussed in the previous chapter, no effort has been made to single them out from more generic “religious” or “devotional” interpretations. This is even more striking considering that some musical angels are depicted in such a way that they seem specially designed to reach out and communicate with the viewer, as can be found in several </w:t>
      </w:r>
      <w:r w:rsidRPr="00771E6E">
        <w:rPr>
          <w:i/>
        </w:rPr>
        <w:t>tondi</w:t>
      </w:r>
      <w:r w:rsidRPr="00771E6E">
        <w:t xml:space="preserve"> produced by Sandro Botticelli and his workshop, which will be discussed in the following chapters. </w:t>
      </w:r>
    </w:p>
    <w:p w14:paraId="54233634" w14:textId="77777777" w:rsidR="008A116C" w:rsidRPr="00771E6E" w:rsidRDefault="008A116C" w:rsidP="008A116C">
      <w:pPr>
        <w:ind w:firstLine="720"/>
      </w:pPr>
      <w:r w:rsidRPr="00771E6E">
        <w:t xml:space="preserve">Whilst the presence of angels in the home is easy enough to establish as a general principle, placing specific images, or even specific types of image, in the home is a more difficult matter. Unambiguous documentation revealing the settings for which artworks were first made and in which they were first encountered rarely survives. The presence of angels, and specifically musical angels, in the domestic environment will be the subject of further, more detailed discussion in Chapters 3 and 4 of the present </w:t>
      </w:r>
      <w:proofErr w:type="gramStart"/>
      <w:r w:rsidRPr="00771E6E">
        <w:t>thesis</w:t>
      </w:r>
      <w:proofErr w:type="gramEnd"/>
      <w:r w:rsidRPr="00771E6E">
        <w:t>.</w:t>
      </w:r>
    </w:p>
    <w:p w14:paraId="65E345F3" w14:textId="77777777" w:rsidR="008A116C" w:rsidRPr="00771E6E" w:rsidRDefault="008A116C" w:rsidP="008A116C"/>
    <w:p w14:paraId="5AFF6C0B" w14:textId="77777777" w:rsidR="00094F64" w:rsidRPr="00771E6E" w:rsidRDefault="008A116C" w:rsidP="00094F64">
      <w:pPr>
        <w:widowControl w:val="0"/>
        <w:tabs>
          <w:tab w:val="left" w:pos="220"/>
          <w:tab w:val="left" w:pos="720"/>
        </w:tabs>
        <w:autoSpaceDE w:val="0"/>
        <w:autoSpaceDN w:val="0"/>
        <w:adjustRightInd w:val="0"/>
      </w:pPr>
      <w:r w:rsidRPr="00771E6E">
        <w:t xml:space="preserve">Renaissance Italians were surrounded by musical angels: in church, where the music of angels was depicted in altarpieces and imitated by the clergy or choir; at home, where musical angels would have been companions to the Virgin and Child, and as part of the decoration of bedrooms; and, finally, in the streets, where groups of children impersonating angels in white robes would sing and play instruments as part of theatrical performances. At the same time, angels were commonly understood to offer protection and guidance to individual humans from the first moment of their existence, and, in particular, they were often invoked as mentors and models for children. As such, it seems apparent that as well as the accepted devotional function of praising God or the Virgin through music, depictions of musical angels were likely intended to provide role-models to their audience, in both sacred and secular settings. Children specifically, in mystery plays, in musical performances, and in general, were encouraged to emulate the attitude of the angels, in a sort of juvenile </w:t>
      </w:r>
      <w:proofErr w:type="spellStart"/>
      <w:r w:rsidRPr="00771E6E">
        <w:rPr>
          <w:i/>
        </w:rPr>
        <w:t>imitatio</w:t>
      </w:r>
      <w:proofErr w:type="spellEnd"/>
      <w:r w:rsidRPr="00771E6E">
        <w:rPr>
          <w:i/>
        </w:rPr>
        <w:t xml:space="preserve"> </w:t>
      </w:r>
      <w:proofErr w:type="spellStart"/>
      <w:r w:rsidRPr="00771E6E">
        <w:rPr>
          <w:i/>
        </w:rPr>
        <w:t>angelorum</w:t>
      </w:r>
      <w:proofErr w:type="spellEnd"/>
      <w:r w:rsidRPr="00771E6E">
        <w:t xml:space="preserve">. The musical angels that children would have been most familiar with were likely to be those that accompany the Virgin and Child, in images that could be found – either painted or carved – in the vast majority of households, especially in the bedroom, providing the focal point of the private devotional </w:t>
      </w:r>
      <w:r w:rsidRPr="00771E6E">
        <w:lastRenderedPageBreak/>
        <w:t>practices for the household.</w:t>
      </w:r>
      <w:r w:rsidRPr="00771E6E">
        <w:rPr>
          <w:rStyle w:val="FootnoteReference"/>
        </w:rPr>
        <w:footnoteReference w:id="495"/>
      </w:r>
    </w:p>
    <w:p w14:paraId="3B8FAEAD" w14:textId="77777777" w:rsidR="00182EED" w:rsidRPr="00771E6E" w:rsidRDefault="00182EED">
      <w:pPr>
        <w:spacing w:line="240" w:lineRule="auto"/>
        <w:sectPr w:rsidR="00182EED" w:rsidRPr="00771E6E" w:rsidSect="00182EED">
          <w:footnotePr>
            <w:numRestart w:val="eachSect"/>
          </w:footnotePr>
          <w:pgSz w:w="11900" w:h="16840"/>
          <w:pgMar w:top="1440" w:right="1418" w:bottom="1440" w:left="1701" w:header="709" w:footer="709" w:gutter="0"/>
          <w:cols w:space="708"/>
          <w:docGrid w:linePitch="360"/>
        </w:sectPr>
      </w:pPr>
    </w:p>
    <w:p w14:paraId="31B219F9" w14:textId="77777777" w:rsidR="00094F64" w:rsidRPr="00771E6E" w:rsidRDefault="00094F64" w:rsidP="00094F64">
      <w:pPr>
        <w:pStyle w:val="Heading1"/>
      </w:pPr>
      <w:bookmarkStart w:id="51" w:name="_Toc4323754"/>
      <w:bookmarkStart w:id="52" w:name="_Toc20167606"/>
      <w:r w:rsidRPr="00771E6E">
        <w:lastRenderedPageBreak/>
        <w:t xml:space="preserve">3. Tondi and Musical </w:t>
      </w:r>
      <w:proofErr w:type="spellStart"/>
      <w:r w:rsidRPr="00771E6E">
        <w:t>Angels</w:t>
      </w:r>
      <w:bookmarkEnd w:id="51"/>
      <w:bookmarkEnd w:id="52"/>
      <w:proofErr w:type="spellEnd"/>
      <w:r w:rsidRPr="00771E6E">
        <w:t xml:space="preserve"> </w:t>
      </w:r>
    </w:p>
    <w:p w14:paraId="189B333C" w14:textId="77777777" w:rsidR="00094F64" w:rsidRPr="00771E6E" w:rsidRDefault="00094F64" w:rsidP="00094F64"/>
    <w:p w14:paraId="15094D1B" w14:textId="77777777" w:rsidR="00094F64" w:rsidRPr="00771E6E" w:rsidRDefault="00094F64" w:rsidP="00094F64">
      <w:r w:rsidRPr="00771E6E">
        <w:t>Musical angels played a hugely important role in the life of Italian Christians during the Renaissance, and their depiction can be seen as a vital component in the moral education of young people at that time, serving as guides, teachers, and examples to which to aspire. Chapters 1 and 2 have discussed the many ways in which these depictions, along with their underlying messages, spanned both public and private devotion, across sacred and domestic spaces. These ubiquitous figures were used not only to reinforce what were considered to be positive attitudes and practices, but also helped bring religion into the home, and therefore into everyday life. In this way, devotion was not only something which was practiced in church, but was also something which would permeate daily life.</w:t>
      </w:r>
    </w:p>
    <w:p w14:paraId="20DFC327" w14:textId="77777777" w:rsidR="00094F64" w:rsidRPr="00771E6E" w:rsidRDefault="00094F64" w:rsidP="00094F64">
      <w:pPr>
        <w:ind w:firstLine="720"/>
      </w:pPr>
      <w:r w:rsidRPr="00771E6E">
        <w:t xml:space="preserve">Domestic images were devised in a number of different forms, designed in ways which would fit harmoniously within the contemporary home. One of these specifically, the Florentine </w:t>
      </w:r>
      <w:r w:rsidRPr="00771E6E">
        <w:rPr>
          <w:i/>
        </w:rPr>
        <w:t>tondo</w:t>
      </w:r>
      <w:r w:rsidRPr="00771E6E">
        <w:t>,</w:t>
      </w:r>
      <w:r w:rsidRPr="00771E6E">
        <w:rPr>
          <w:i/>
        </w:rPr>
        <w:t xml:space="preserve"> </w:t>
      </w:r>
      <w:r w:rsidRPr="00771E6E">
        <w:t xml:space="preserve">provides an especially rich opportunity to further </w:t>
      </w:r>
      <w:proofErr w:type="spellStart"/>
      <w:r w:rsidRPr="00771E6E">
        <w:t>analyse</w:t>
      </w:r>
      <w:proofErr w:type="spellEnd"/>
      <w:r w:rsidRPr="00771E6E">
        <w:t xml:space="preserve"> the role of religious imagery, and in particular depictions of exemplary musical angels, in the Renaissance home. Using these examples, this chapter will explore the ways in which these images were used as part of moral teaching in greater detail, and come to a better understanding of their purposes and functions, as well as discovering more about their intended pedagogical impact.</w:t>
      </w:r>
    </w:p>
    <w:p w14:paraId="434E6770" w14:textId="77777777" w:rsidR="00094F64" w:rsidRPr="00771E6E" w:rsidRDefault="00094F64" w:rsidP="00094F64"/>
    <w:p w14:paraId="31E31D56" w14:textId="77777777" w:rsidR="00094F64" w:rsidRPr="00771E6E" w:rsidRDefault="00094F64" w:rsidP="00182EED"/>
    <w:p w14:paraId="70E94A6D" w14:textId="77777777" w:rsidR="00094F64" w:rsidRPr="00771E6E" w:rsidRDefault="00094F64" w:rsidP="00094F64">
      <w:pPr>
        <w:pStyle w:val="Subchapter"/>
      </w:pPr>
      <w:bookmarkStart w:id="53" w:name="_Toc810128"/>
      <w:bookmarkStart w:id="54" w:name="_Toc4323755"/>
      <w:bookmarkStart w:id="55" w:name="_Toc20167607"/>
      <w:r w:rsidRPr="00771E6E">
        <w:t>3.1. Tondi and their Circular Counterparts in the Home</w:t>
      </w:r>
      <w:bookmarkEnd w:id="53"/>
      <w:bookmarkEnd w:id="54"/>
      <w:bookmarkEnd w:id="55"/>
    </w:p>
    <w:p w14:paraId="40D91DCD" w14:textId="77777777" w:rsidR="00094F64" w:rsidRPr="00771E6E" w:rsidRDefault="00094F64" w:rsidP="00094F64"/>
    <w:p w14:paraId="64591205" w14:textId="66ECDC73" w:rsidR="00094F64" w:rsidRPr="00771E6E" w:rsidRDefault="00094F64" w:rsidP="00094F64">
      <w:r w:rsidRPr="00771E6E">
        <w:t xml:space="preserve">Among the wide variety of works of art that were produced in Italy between the early fifteenth century and the first half of the sixteenth century, it can be asserted with relative confidence that </w:t>
      </w:r>
      <w:r w:rsidRPr="00771E6E">
        <w:rPr>
          <w:i/>
        </w:rPr>
        <w:t>tondi</w:t>
      </w:r>
      <w:r w:rsidRPr="00771E6E">
        <w:t xml:space="preserve"> were created specifically to be displayed in a domestic context.</w:t>
      </w:r>
      <w:r w:rsidRPr="00771E6E">
        <w:rPr>
          <w:rStyle w:val="FootnoteReference"/>
        </w:rPr>
        <w:footnoteReference w:id="496"/>
      </w:r>
      <w:r w:rsidRPr="00771E6E">
        <w:t xml:space="preserve"> </w:t>
      </w:r>
      <w:r w:rsidRPr="00771E6E">
        <w:rPr>
          <w:i/>
        </w:rPr>
        <w:t>Tondi</w:t>
      </w:r>
      <w:r w:rsidRPr="00771E6E">
        <w:t xml:space="preserve">, paintings or sculptures in a circular shape (from the Italian word for ‘round’ or ‘circular’), were usually decorated with religious depictions. The rounded shape had already been in use in religious art for at least a century, as can be seen, for example, in Pietro </w:t>
      </w:r>
      <w:proofErr w:type="spellStart"/>
      <w:r w:rsidRPr="00771E6E">
        <w:t>Cavallini’s</w:t>
      </w:r>
      <w:proofErr w:type="spellEnd"/>
      <w:r w:rsidRPr="00771E6E">
        <w:t xml:space="preserve"> mosaic from the 1290s in the church of Santa Maria in </w:t>
      </w:r>
      <w:proofErr w:type="spellStart"/>
      <w:r w:rsidRPr="00771E6E">
        <w:t>Trastevere</w:t>
      </w:r>
      <w:proofErr w:type="spellEnd"/>
      <w:r w:rsidRPr="00771E6E">
        <w:t xml:space="preserve">, Rome, in which a roundel with the Virgin and Child flanked by saints is inserted in a larger squared frame. However, it is in Florence and the surrounding areas that autonomous </w:t>
      </w:r>
      <w:r w:rsidRPr="00771E6E">
        <w:rPr>
          <w:i/>
        </w:rPr>
        <w:lastRenderedPageBreak/>
        <w:t>tondi</w:t>
      </w:r>
      <w:r w:rsidR="00A71893" w:rsidRPr="00771E6E">
        <w:t>,</w:t>
      </w:r>
      <w:r w:rsidRPr="00771E6E">
        <w:t xml:space="preserve"> not</w:t>
      </w:r>
      <w:r w:rsidR="00A71893" w:rsidRPr="00771E6E">
        <w:t xml:space="preserve"> being</w:t>
      </w:r>
      <w:r w:rsidRPr="00771E6E">
        <w:t xml:space="preserve"> part of a larger composition</w:t>
      </w:r>
      <w:r w:rsidR="00A71893" w:rsidRPr="00771E6E">
        <w:t>,</w:t>
      </w:r>
      <w:r w:rsidRPr="00771E6E">
        <w:t xml:space="preserve"> were first developed, and </w:t>
      </w:r>
      <w:r w:rsidR="00A71893" w:rsidRPr="00771E6E">
        <w:t xml:space="preserve">these </w:t>
      </w:r>
      <w:r w:rsidRPr="00771E6E">
        <w:t>enjoyed tremendous popularity over the course of the fifteenth century, continuing up until the early decades of the sixteenth century.</w:t>
      </w:r>
      <w:r w:rsidRPr="00771E6E">
        <w:rPr>
          <w:rStyle w:val="FootnoteReference"/>
        </w:rPr>
        <w:footnoteReference w:id="497"/>
      </w:r>
      <w:r w:rsidRPr="00771E6E">
        <w:t xml:space="preserve"> The popularity of </w:t>
      </w:r>
      <w:r w:rsidRPr="00771E6E">
        <w:rPr>
          <w:i/>
        </w:rPr>
        <w:t xml:space="preserve">tondi </w:t>
      </w:r>
      <w:r w:rsidRPr="00771E6E">
        <w:t>was probably due more to their devotional purpose rather than the authorship of a famous master, something which is indicated by the many replicas and copies of particular designs which were made by Botticelli’s workshop, and were produced on a large scale often with minimal variation.</w:t>
      </w:r>
      <w:r w:rsidRPr="00771E6E">
        <w:rPr>
          <w:rStyle w:val="FootnoteReference"/>
        </w:rPr>
        <w:footnoteReference w:id="498"/>
      </w:r>
      <w:r w:rsidRPr="00771E6E">
        <w:t xml:space="preserve"> </w:t>
      </w:r>
    </w:p>
    <w:p w14:paraId="48152DC5" w14:textId="77777777" w:rsidR="00094F64" w:rsidRPr="00771E6E" w:rsidRDefault="00094F64" w:rsidP="00094F64">
      <w:pPr>
        <w:ind w:firstLine="720"/>
      </w:pPr>
      <w:r w:rsidRPr="00771E6E">
        <w:t xml:space="preserve">The close connection between </w:t>
      </w:r>
      <w:r w:rsidRPr="00771E6E">
        <w:rPr>
          <w:i/>
        </w:rPr>
        <w:t>tondi</w:t>
      </w:r>
      <w:r w:rsidRPr="00771E6E">
        <w:t xml:space="preserve"> and domestic environments is demonstrated not only by the inventories that list them as being inside the house, and in the bedchamber specifically, but also by the fact that their production was in the hands of artists who made ‘domestic art’ their primary focus. Roberta Olson reports that the earliest mention of a </w:t>
      </w:r>
      <w:r w:rsidRPr="00771E6E">
        <w:rPr>
          <w:i/>
        </w:rPr>
        <w:t xml:space="preserve">tondo </w:t>
      </w:r>
      <w:r w:rsidRPr="00771E6E">
        <w:t xml:space="preserve">can be found in the records of the workshop run by Apollonio di Giovanni and Marco del </w:t>
      </w:r>
      <w:proofErr w:type="spellStart"/>
      <w:r w:rsidRPr="00771E6E">
        <w:t>Buono</w:t>
      </w:r>
      <w:proofErr w:type="spellEnd"/>
      <w:r w:rsidRPr="00771E6E">
        <w:t xml:space="preserve">. These artists ran an extremely prolific business, and their workshop produced an inestimable number of works for Florentine homes, including decorated furniture such as </w:t>
      </w:r>
      <w:proofErr w:type="spellStart"/>
      <w:r w:rsidRPr="00771E6E">
        <w:rPr>
          <w:i/>
        </w:rPr>
        <w:t>forzieri</w:t>
      </w:r>
      <w:proofErr w:type="spellEnd"/>
      <w:r w:rsidRPr="00771E6E">
        <w:t xml:space="preserve"> (dowry chests) and </w:t>
      </w:r>
      <w:proofErr w:type="spellStart"/>
      <w:r w:rsidRPr="00771E6E">
        <w:rPr>
          <w:i/>
        </w:rPr>
        <w:t>spalliere</w:t>
      </w:r>
      <w:proofErr w:type="spellEnd"/>
      <w:r w:rsidRPr="00771E6E">
        <w:rPr>
          <w:i/>
        </w:rPr>
        <w:t xml:space="preserve"> </w:t>
      </w:r>
      <w:r w:rsidRPr="00771E6E">
        <w:t xml:space="preserve">(wainscot </w:t>
      </w:r>
      <w:proofErr w:type="spellStart"/>
      <w:r w:rsidRPr="00771E6E">
        <w:t>panelling</w:t>
      </w:r>
      <w:proofErr w:type="spellEnd"/>
      <w:r w:rsidRPr="00771E6E">
        <w:t xml:space="preserve">), together with </w:t>
      </w:r>
      <w:r w:rsidRPr="00771E6E">
        <w:rPr>
          <w:i/>
        </w:rPr>
        <w:t xml:space="preserve">deschi da parto </w:t>
      </w:r>
      <w:r w:rsidRPr="00771E6E">
        <w:t>(birth trays)</w:t>
      </w:r>
      <w:r w:rsidRPr="00771E6E">
        <w:rPr>
          <w:i/>
        </w:rPr>
        <w:t xml:space="preserve"> </w:t>
      </w:r>
      <w:r w:rsidRPr="00771E6E">
        <w:t xml:space="preserve">and, of course, </w:t>
      </w:r>
      <w:r w:rsidRPr="00771E6E">
        <w:rPr>
          <w:i/>
        </w:rPr>
        <w:t>tondi</w:t>
      </w:r>
      <w:r w:rsidRPr="00771E6E">
        <w:t xml:space="preserve">. The first </w:t>
      </w:r>
      <w:r w:rsidRPr="00771E6E">
        <w:rPr>
          <w:i/>
        </w:rPr>
        <w:t>tondo</w:t>
      </w:r>
      <w:r w:rsidRPr="00771E6E">
        <w:t xml:space="preserve"> referenced in their accounts is not actually painted on a panel, but was frescoed on the </w:t>
      </w:r>
      <w:proofErr w:type="spellStart"/>
      <w:r w:rsidRPr="00771E6E">
        <w:rPr>
          <w:i/>
        </w:rPr>
        <w:t>cielo</w:t>
      </w:r>
      <w:proofErr w:type="spellEnd"/>
      <w:r w:rsidRPr="00771E6E">
        <w:rPr>
          <w:i/>
        </w:rPr>
        <w:t xml:space="preserve"> </w:t>
      </w:r>
      <w:r w:rsidRPr="00771E6E">
        <w:t xml:space="preserve">(ceiling) of the loggia in Giovanni di Paolo </w:t>
      </w:r>
      <w:proofErr w:type="spellStart"/>
      <w:r w:rsidRPr="00771E6E">
        <w:t>Rucellai’s</w:t>
      </w:r>
      <w:proofErr w:type="spellEnd"/>
      <w:r w:rsidRPr="00771E6E">
        <w:t xml:space="preserve"> palace, in 1452.</w:t>
      </w:r>
      <w:r w:rsidRPr="00771E6E">
        <w:rPr>
          <w:rStyle w:val="FootnoteReference"/>
        </w:rPr>
        <w:footnoteReference w:id="499"/>
      </w:r>
      <w:r w:rsidRPr="00771E6E">
        <w:t xml:space="preserve"> Unfortunately, the scene depicted is not given, nor is it possible to be absolutely certain that this refers to an autonomous composition, rather than a part of a larger configuration.</w:t>
      </w:r>
      <w:r w:rsidRPr="00771E6E">
        <w:rPr>
          <w:rStyle w:val="FootnoteReference"/>
        </w:rPr>
        <w:footnoteReference w:id="500"/>
      </w:r>
      <w:r w:rsidRPr="00771E6E">
        <w:t xml:space="preserve"> The same document contains a record of a </w:t>
      </w:r>
      <w:r w:rsidRPr="00771E6E">
        <w:rPr>
          <w:i/>
        </w:rPr>
        <w:t>tondo da parto</w:t>
      </w:r>
      <w:r w:rsidRPr="00771E6E">
        <w:t xml:space="preserve"> (a birth </w:t>
      </w:r>
      <w:r w:rsidRPr="00771E6E">
        <w:rPr>
          <w:i/>
        </w:rPr>
        <w:t>tondo</w:t>
      </w:r>
      <w:r w:rsidRPr="00771E6E">
        <w:t xml:space="preserve">) painted in 1453, showing King Solomon and the Queen of Sheba, and is </w:t>
      </w:r>
      <w:r w:rsidR="00597221" w:rsidRPr="00771E6E">
        <w:t xml:space="preserve">actually </w:t>
      </w:r>
      <w:r w:rsidRPr="00771E6E">
        <w:t xml:space="preserve">referring to a </w:t>
      </w:r>
      <w:r w:rsidRPr="00771E6E">
        <w:rPr>
          <w:i/>
        </w:rPr>
        <w:t>desco da parto</w:t>
      </w:r>
      <w:r w:rsidRPr="00771E6E">
        <w:t>, which in this case is circular rather than multi-sided as is usual.</w:t>
      </w:r>
      <w:r w:rsidRPr="00771E6E">
        <w:rPr>
          <w:rStyle w:val="FootnoteReference"/>
        </w:rPr>
        <w:footnoteReference w:id="501"/>
      </w:r>
      <w:r w:rsidRPr="00771E6E">
        <w:t xml:space="preserve"> Additionally, in 1455, the artists recorded the receipt of a lucrative commission for a “Nostra Donna in </w:t>
      </w:r>
      <w:proofErr w:type="spellStart"/>
      <w:r w:rsidRPr="00771E6E">
        <w:t>uno</w:t>
      </w:r>
      <w:proofErr w:type="spellEnd"/>
      <w:r w:rsidRPr="00771E6E">
        <w:t xml:space="preserve"> tondo”, a </w:t>
      </w:r>
      <w:r w:rsidRPr="00771E6E">
        <w:rPr>
          <w:i/>
        </w:rPr>
        <w:t>tondo</w:t>
      </w:r>
      <w:r w:rsidRPr="00771E6E">
        <w:t xml:space="preserve"> with the Virgin Mary, requested by a citizen called </w:t>
      </w:r>
      <w:proofErr w:type="spellStart"/>
      <w:r w:rsidRPr="00771E6E">
        <w:t>Pierfrancesco</w:t>
      </w:r>
      <w:proofErr w:type="spellEnd"/>
      <w:r w:rsidRPr="00771E6E">
        <w:t xml:space="preserve"> di Lorenzo de' Medici, along with two </w:t>
      </w:r>
      <w:proofErr w:type="spellStart"/>
      <w:r w:rsidRPr="00771E6E">
        <w:rPr>
          <w:i/>
        </w:rPr>
        <w:t>forzieri</w:t>
      </w:r>
      <w:proofErr w:type="spellEnd"/>
      <w:r w:rsidRPr="00771E6E">
        <w:t>.</w:t>
      </w:r>
      <w:r w:rsidRPr="00771E6E">
        <w:rPr>
          <w:rStyle w:val="FootnoteReference"/>
        </w:rPr>
        <w:footnoteReference w:id="502"/>
      </w:r>
    </w:p>
    <w:p w14:paraId="6F89C43E" w14:textId="77777777" w:rsidR="00094F64" w:rsidRPr="00771E6E" w:rsidRDefault="00094F64" w:rsidP="00094F64">
      <w:pPr>
        <w:ind w:firstLine="720"/>
      </w:pPr>
      <w:r w:rsidRPr="00771E6E">
        <w:rPr>
          <w:color w:val="000000" w:themeColor="text1"/>
        </w:rPr>
        <w:t xml:space="preserve">Household inventories from the fifteenth and sixteenth centuries often report </w:t>
      </w:r>
      <w:r w:rsidRPr="00771E6E">
        <w:rPr>
          <w:i/>
          <w:color w:val="000000" w:themeColor="text1"/>
        </w:rPr>
        <w:t>tondi</w:t>
      </w:r>
      <w:r w:rsidRPr="00771E6E">
        <w:rPr>
          <w:color w:val="000000" w:themeColor="text1"/>
        </w:rPr>
        <w:t xml:space="preserve"> as part of the decorations of a bedroom. </w:t>
      </w:r>
      <w:r w:rsidRPr="00771E6E" w:rsidDel="00633EF4">
        <w:t>The presence of devotional images in th</w:t>
      </w:r>
      <w:r w:rsidRPr="00771E6E">
        <w:t xml:space="preserve">is </w:t>
      </w:r>
      <w:r w:rsidRPr="00771E6E">
        <w:lastRenderedPageBreak/>
        <w:t>particular room,</w:t>
      </w:r>
      <w:r w:rsidRPr="00771E6E" w:rsidDel="00633EF4">
        <w:t xml:space="preserve"> circular or otherwise</w:t>
      </w:r>
      <w:r w:rsidRPr="00771E6E">
        <w:t xml:space="preserve">, </w:t>
      </w:r>
      <w:r w:rsidRPr="00771E6E" w:rsidDel="00633EF4">
        <w:t>seems to have been primarily due to the lack of another dedicated sacred space within the house, such as a domestic chapel, which would have been rarely found even in large palaces belonging to prominent families.</w:t>
      </w:r>
      <w:r w:rsidRPr="00771E6E">
        <w:rPr>
          <w:rStyle w:val="FootnoteReference"/>
        </w:rPr>
        <w:footnoteReference w:id="503"/>
      </w:r>
      <w:r w:rsidRPr="00771E6E" w:rsidDel="00633EF4">
        <w:t xml:space="preserve"> </w:t>
      </w:r>
      <w:r w:rsidRPr="00771E6E">
        <w:t xml:space="preserve">Through the analysis of Florentine inventories of domestic dwellings, compiled by the </w:t>
      </w:r>
      <w:proofErr w:type="spellStart"/>
      <w:r w:rsidRPr="00771E6E">
        <w:rPr>
          <w:i/>
        </w:rPr>
        <w:t>Ufficio</w:t>
      </w:r>
      <w:proofErr w:type="spellEnd"/>
      <w:r w:rsidRPr="00771E6E">
        <w:rPr>
          <w:i/>
        </w:rPr>
        <w:t xml:space="preserve"> del </w:t>
      </w:r>
      <w:proofErr w:type="spellStart"/>
      <w:r w:rsidRPr="00771E6E">
        <w:rPr>
          <w:i/>
        </w:rPr>
        <w:t>Magistrato</w:t>
      </w:r>
      <w:proofErr w:type="spellEnd"/>
      <w:r w:rsidRPr="00771E6E">
        <w:rPr>
          <w:i/>
        </w:rPr>
        <w:t xml:space="preserve"> </w:t>
      </w:r>
      <w:proofErr w:type="spellStart"/>
      <w:r w:rsidRPr="00771E6E">
        <w:rPr>
          <w:i/>
        </w:rPr>
        <w:t>dei</w:t>
      </w:r>
      <w:proofErr w:type="spellEnd"/>
      <w:r w:rsidRPr="00771E6E">
        <w:rPr>
          <w:i/>
        </w:rPr>
        <w:t xml:space="preserve"> </w:t>
      </w:r>
      <w:proofErr w:type="spellStart"/>
      <w:r w:rsidRPr="00771E6E">
        <w:rPr>
          <w:i/>
        </w:rPr>
        <w:t>Pupilli</w:t>
      </w:r>
      <w:proofErr w:type="spellEnd"/>
      <w:r w:rsidRPr="00771E6E">
        <w:t xml:space="preserve">, it is apparent that in the vast majority of cases </w:t>
      </w:r>
      <w:r w:rsidRPr="00771E6E">
        <w:rPr>
          <w:i/>
        </w:rPr>
        <w:t>tondi</w:t>
      </w:r>
      <w:r w:rsidRPr="00771E6E">
        <w:t xml:space="preserve"> were kept inside private rooms (</w:t>
      </w:r>
      <w:proofErr w:type="spellStart"/>
      <w:r w:rsidRPr="00771E6E">
        <w:rPr>
          <w:i/>
        </w:rPr>
        <w:t>camere</w:t>
      </w:r>
      <w:proofErr w:type="spellEnd"/>
      <w:r w:rsidRPr="00771E6E">
        <w:t>) or adjacent antechambers (</w:t>
      </w:r>
      <w:proofErr w:type="spellStart"/>
      <w:r w:rsidRPr="00771E6E">
        <w:rPr>
          <w:i/>
        </w:rPr>
        <w:t>anticamere</w:t>
      </w:r>
      <w:proofErr w:type="spellEnd"/>
      <w:r w:rsidRPr="00771E6E">
        <w:t>).</w:t>
      </w:r>
      <w:r w:rsidRPr="00771E6E">
        <w:rPr>
          <w:rStyle w:val="FootnoteReference"/>
        </w:rPr>
        <w:footnoteReference w:id="504"/>
      </w:r>
      <w:r w:rsidRPr="00771E6E">
        <w:t xml:space="preserve"> John Kent </w:t>
      </w:r>
      <w:proofErr w:type="spellStart"/>
      <w:r w:rsidRPr="00771E6E">
        <w:t>Lydecker</w:t>
      </w:r>
      <w:proofErr w:type="spellEnd"/>
      <w:r w:rsidRPr="00771E6E">
        <w:t xml:space="preserve"> has </w:t>
      </w:r>
      <w:proofErr w:type="spellStart"/>
      <w:r w:rsidRPr="00771E6E">
        <w:t>analysed</w:t>
      </w:r>
      <w:proofErr w:type="spellEnd"/>
      <w:r w:rsidRPr="00771E6E">
        <w:t xml:space="preserve"> a selection of references to </w:t>
      </w:r>
      <w:r w:rsidRPr="00771E6E">
        <w:rPr>
          <w:i/>
        </w:rPr>
        <w:t>tondi</w:t>
      </w:r>
      <w:r w:rsidRPr="00771E6E">
        <w:t xml:space="preserve"> from such inventories, and through this examination the author has reached the conclusion that </w:t>
      </w:r>
      <w:r w:rsidRPr="00771E6E">
        <w:rPr>
          <w:i/>
        </w:rPr>
        <w:t xml:space="preserve">tondi </w:t>
      </w:r>
      <w:r w:rsidRPr="00771E6E">
        <w:t>painted with religious subjects were usually found in bedrooms, while those that were recorded as being in different rooms would usually have had other subjects.</w:t>
      </w:r>
      <w:r w:rsidRPr="00771E6E">
        <w:rPr>
          <w:rStyle w:val="FootnoteReference"/>
        </w:rPr>
        <w:footnoteReference w:id="505"/>
      </w:r>
      <w:r w:rsidRPr="00771E6E">
        <w:t xml:space="preserve"> However, as Olson highlights in her study of Florentine </w:t>
      </w:r>
      <w:r w:rsidRPr="00771E6E">
        <w:rPr>
          <w:i/>
        </w:rPr>
        <w:t>tondi</w:t>
      </w:r>
      <w:r w:rsidRPr="00771E6E">
        <w:t>, since documents do not always mention precisely which room contained the objects that were being inventoried nor the subject depicted upon them, it can be difficult to assign particular subjects to specific locations within the house with absolute certainty.</w:t>
      </w:r>
      <w:r w:rsidRPr="00771E6E">
        <w:rPr>
          <w:rStyle w:val="FootnoteReference"/>
        </w:rPr>
        <w:footnoteReference w:id="506"/>
      </w:r>
    </w:p>
    <w:p w14:paraId="133A6B06" w14:textId="77777777" w:rsidR="00094F64" w:rsidRPr="00771E6E" w:rsidRDefault="00094F64" w:rsidP="00094F64">
      <w:pPr>
        <w:pStyle w:val="NormalWeb"/>
        <w:spacing w:before="0" w:beforeAutospacing="0" w:after="0" w:afterAutospacing="0"/>
        <w:ind w:firstLine="720"/>
      </w:pPr>
      <w:r w:rsidRPr="00771E6E">
        <w:t xml:space="preserve">Despite this, in some cases the notary carrying out the inventory did note the precise location of the works being inventoried, which tells us that, for example, a </w:t>
      </w:r>
      <w:r w:rsidRPr="00771E6E">
        <w:rPr>
          <w:i/>
        </w:rPr>
        <w:t>tondo</w:t>
      </w:r>
      <w:r w:rsidRPr="00771E6E">
        <w:t xml:space="preserve"> with a large gilded frame, with the Virgin and the Magi who give their offerings to Christ, hung in a “beautiful” chamber belonging to Lorenzo Tornabuoni, a cousin of Lorenzo </w:t>
      </w:r>
      <w:proofErr w:type="spellStart"/>
      <w:r w:rsidRPr="00771E6E">
        <w:t>il</w:t>
      </w:r>
      <w:proofErr w:type="spellEnd"/>
      <w:r w:rsidRPr="00771E6E">
        <w:t xml:space="preserve"> Magnifico.</w:t>
      </w:r>
      <w:r w:rsidRPr="00771E6E">
        <w:rPr>
          <w:rStyle w:val="FootnoteReference"/>
        </w:rPr>
        <w:footnoteReference w:id="507"/>
      </w:r>
      <w:r w:rsidRPr="00771E6E">
        <w:t xml:space="preserve"> This is likely to be the </w:t>
      </w:r>
      <w:r w:rsidRPr="00771E6E">
        <w:rPr>
          <w:i/>
        </w:rPr>
        <w:t>Adoration of the Magi</w:t>
      </w:r>
      <w:r w:rsidRPr="00771E6E">
        <w:t xml:space="preserve"> painted by Ghirlandaio, which was mentioned by Giorgio Vasari, who saw it in its original location.</w:t>
      </w:r>
      <w:r w:rsidRPr="00771E6E">
        <w:rPr>
          <w:rStyle w:val="FootnoteReference"/>
        </w:rPr>
        <w:footnoteReference w:id="508"/>
      </w:r>
      <w:r w:rsidRPr="00771E6E">
        <w:t xml:space="preserve"> Near Lorenzo’s room, in the </w:t>
      </w:r>
      <w:proofErr w:type="spellStart"/>
      <w:r w:rsidRPr="00771E6E">
        <w:rPr>
          <w:i/>
        </w:rPr>
        <w:t>chamera</w:t>
      </w:r>
      <w:proofErr w:type="spellEnd"/>
      <w:r w:rsidRPr="00771E6E">
        <w:rPr>
          <w:i/>
        </w:rPr>
        <w:t xml:space="preserve"> del </w:t>
      </w:r>
      <w:proofErr w:type="spellStart"/>
      <w:r w:rsidRPr="00771E6E">
        <w:rPr>
          <w:i/>
        </w:rPr>
        <w:t>palco</w:t>
      </w:r>
      <w:proofErr w:type="spellEnd"/>
      <w:r w:rsidRPr="00771E6E">
        <w:rPr>
          <w:i/>
        </w:rPr>
        <w:t xml:space="preserve"> </w:t>
      </w:r>
      <w:proofErr w:type="spellStart"/>
      <w:r w:rsidRPr="00771E6E">
        <w:rPr>
          <w:i/>
        </w:rPr>
        <w:t>d’oro</w:t>
      </w:r>
      <w:proofErr w:type="spellEnd"/>
      <w:r w:rsidRPr="00771E6E">
        <w:t xml:space="preserve"> (chamber of the golden beams), there was another </w:t>
      </w:r>
      <w:r w:rsidRPr="00771E6E">
        <w:rPr>
          <w:i/>
        </w:rPr>
        <w:t>tondo</w:t>
      </w:r>
      <w:r w:rsidRPr="00771E6E">
        <w:t xml:space="preserve"> with a gilded garland, this time described as being painted with the Virgin Mary and Saint John (most likely a Virgin and Child, with the young Saint John the Baptist).</w:t>
      </w:r>
      <w:r w:rsidRPr="00771E6E">
        <w:rPr>
          <w:rStyle w:val="FootnoteReference"/>
        </w:rPr>
        <w:footnoteReference w:id="509"/>
      </w:r>
      <w:r w:rsidRPr="00771E6E">
        <w:t xml:space="preserve"> In addition to these descriptions, a rare depiction of a </w:t>
      </w:r>
      <w:r w:rsidRPr="00771E6E">
        <w:rPr>
          <w:i/>
        </w:rPr>
        <w:t xml:space="preserve">tondo </w:t>
      </w:r>
      <w:r w:rsidRPr="00771E6E">
        <w:t xml:space="preserve">hanging in a bedchamber can be seen in a </w:t>
      </w:r>
      <w:r w:rsidRPr="00771E6E">
        <w:rPr>
          <w:color w:val="000000" w:themeColor="text1"/>
        </w:rPr>
        <w:t xml:space="preserve">woodcut illustration in the 1496 edition of Savonarola’s text </w:t>
      </w:r>
      <w:proofErr w:type="spellStart"/>
      <w:r w:rsidRPr="00771E6E">
        <w:rPr>
          <w:i/>
          <w:color w:val="000000" w:themeColor="text1"/>
        </w:rPr>
        <w:t>Predica</w:t>
      </w:r>
      <w:proofErr w:type="spellEnd"/>
      <w:r w:rsidRPr="00771E6E">
        <w:rPr>
          <w:i/>
          <w:color w:val="000000" w:themeColor="text1"/>
        </w:rPr>
        <w:t xml:space="preserve"> </w:t>
      </w:r>
      <w:proofErr w:type="spellStart"/>
      <w:r w:rsidRPr="00771E6E">
        <w:rPr>
          <w:i/>
          <w:color w:val="000000" w:themeColor="text1"/>
        </w:rPr>
        <w:t>dell’arte</w:t>
      </w:r>
      <w:proofErr w:type="spellEnd"/>
      <w:r w:rsidRPr="00771E6E">
        <w:rPr>
          <w:i/>
          <w:color w:val="000000" w:themeColor="text1"/>
        </w:rPr>
        <w:t xml:space="preserve"> del ben </w:t>
      </w:r>
      <w:proofErr w:type="spellStart"/>
      <w:r w:rsidRPr="00771E6E">
        <w:rPr>
          <w:i/>
          <w:color w:val="000000" w:themeColor="text1"/>
        </w:rPr>
        <w:t>morire</w:t>
      </w:r>
      <w:proofErr w:type="spellEnd"/>
      <w:r w:rsidRPr="00771E6E">
        <w:rPr>
          <w:color w:val="000000" w:themeColor="text1"/>
        </w:rPr>
        <w:t xml:space="preserve"> </w:t>
      </w:r>
      <w:r w:rsidRPr="00771E6E">
        <w:t xml:space="preserve">(fig. 3.1). Here, a </w:t>
      </w:r>
      <w:r w:rsidRPr="00771E6E">
        <w:rPr>
          <w:i/>
        </w:rPr>
        <w:t xml:space="preserve">tondo </w:t>
      </w:r>
      <w:r w:rsidRPr="00771E6E">
        <w:t>depicting the Virgin and Child flanked by two angels,</w:t>
      </w:r>
      <w:r w:rsidRPr="00771E6E">
        <w:rPr>
          <w:i/>
        </w:rPr>
        <w:t xml:space="preserve"> </w:t>
      </w:r>
      <w:r w:rsidRPr="00771E6E">
        <w:t xml:space="preserve">with an elaborate frame, seems to be hanging or placed on a shelf on the wall next to the </w:t>
      </w:r>
      <w:r w:rsidRPr="00771E6E">
        <w:lastRenderedPageBreak/>
        <w:t>bed. This illustration can be compared to another similar image that also appears in the same text (fig. 3.2), in which an apparition of the Virgin and Child, again flanked by two angels and circled by rays of light, takes place inside the bedchamber.</w:t>
      </w:r>
      <w:r w:rsidRPr="00771E6E">
        <w:rPr>
          <w:rStyle w:val="FootnoteReference"/>
        </w:rPr>
        <w:footnoteReference w:id="510"/>
      </w:r>
      <w:r w:rsidRPr="00771E6E">
        <w:t xml:space="preserve"> In fact, as celestial visions are often both described and depicted as having a circular outline to signify perfection, </w:t>
      </w:r>
      <w:r w:rsidRPr="00771E6E">
        <w:rPr>
          <w:i/>
        </w:rPr>
        <w:t>tondi</w:t>
      </w:r>
      <w:r w:rsidRPr="00771E6E">
        <w:t xml:space="preserve"> could have been likened to apparitions, contained within a physical and tangible circular frame.</w:t>
      </w:r>
      <w:r w:rsidRPr="00771E6E">
        <w:rPr>
          <w:rStyle w:val="FootnoteReference"/>
        </w:rPr>
        <w:footnoteReference w:id="511"/>
      </w:r>
    </w:p>
    <w:p w14:paraId="43287941" w14:textId="77777777" w:rsidR="00094F64" w:rsidRPr="00771E6E" w:rsidRDefault="00094F64" w:rsidP="00094F64">
      <w:pPr>
        <w:ind w:firstLine="720"/>
      </w:pPr>
      <w:r w:rsidRPr="00771E6E">
        <w:t xml:space="preserve">Both extant </w:t>
      </w:r>
      <w:r w:rsidRPr="00771E6E">
        <w:rPr>
          <w:i/>
        </w:rPr>
        <w:t>tondi</w:t>
      </w:r>
      <w:r w:rsidRPr="00771E6E">
        <w:t xml:space="preserve"> and those described in contemporary sources reveal that the Holy Family and its members are the most commonly depicted figures, shown in a variety of poses and settings, and with various companions. Although the scenes depicted clearly reveal a devotional function, with multiple layers of meaning that different audiences could comprehend and connect with during their contemplative practices, the function of </w:t>
      </w:r>
      <w:r w:rsidRPr="00771E6E">
        <w:rPr>
          <w:i/>
        </w:rPr>
        <w:t>tondi</w:t>
      </w:r>
      <w:r w:rsidRPr="00771E6E">
        <w:t xml:space="preserve"> was not only limited to aiding private piety.</w:t>
      </w:r>
      <w:r w:rsidRPr="00771E6E">
        <w:rPr>
          <w:rStyle w:val="FootnoteReference"/>
        </w:rPr>
        <w:footnoteReference w:id="512"/>
      </w:r>
      <w:r w:rsidRPr="00771E6E">
        <w:t xml:space="preserve"> As seen in Chapter 1, pictures were frequently used to provide models of </w:t>
      </w:r>
      <w:proofErr w:type="spellStart"/>
      <w:r w:rsidRPr="00771E6E">
        <w:t>behaviour</w:t>
      </w:r>
      <w:proofErr w:type="spellEnd"/>
      <w:r w:rsidRPr="00771E6E">
        <w:t xml:space="preserve"> for their viewers to emulate. In this way, these pictures would have become mirrors of perfection to which members of a household could aspire, and it follows that this would also have been true for </w:t>
      </w:r>
      <w:r w:rsidRPr="00771E6E">
        <w:rPr>
          <w:i/>
        </w:rPr>
        <w:t>tondi</w:t>
      </w:r>
      <w:r w:rsidRPr="00771E6E">
        <w:t>.</w:t>
      </w:r>
    </w:p>
    <w:p w14:paraId="02C095AC" w14:textId="77777777" w:rsidR="00094F64" w:rsidRPr="00771E6E" w:rsidRDefault="00094F64" w:rsidP="00094F64"/>
    <w:p w14:paraId="313A9FE8" w14:textId="77777777" w:rsidR="00094F64" w:rsidRPr="00771E6E" w:rsidRDefault="00094F64" w:rsidP="00094F64"/>
    <w:p w14:paraId="31155882" w14:textId="77777777" w:rsidR="00094F64" w:rsidRPr="00771E6E" w:rsidRDefault="00094F64" w:rsidP="00094F64">
      <w:pPr>
        <w:pStyle w:val="Heading3"/>
      </w:pPr>
      <w:bookmarkStart w:id="56" w:name="_Toc810129"/>
      <w:bookmarkStart w:id="57" w:name="_Toc4323756"/>
      <w:bookmarkStart w:id="58" w:name="_Toc20167608"/>
      <w:r w:rsidRPr="00771E6E">
        <w:t>3.1.1. Tondi and Mirrors</w:t>
      </w:r>
      <w:bookmarkEnd w:id="56"/>
      <w:bookmarkEnd w:id="57"/>
      <w:bookmarkEnd w:id="58"/>
    </w:p>
    <w:p w14:paraId="1AF139D0" w14:textId="77777777" w:rsidR="00094F64" w:rsidRPr="00771E6E" w:rsidRDefault="00094F64" w:rsidP="00094F64"/>
    <w:p w14:paraId="33439816" w14:textId="77777777" w:rsidR="00094F64" w:rsidRPr="00771E6E" w:rsidRDefault="00094F64" w:rsidP="00094F64">
      <w:r w:rsidRPr="00771E6E">
        <w:t xml:space="preserve">As has been suggested by Roberta Olson, it is likely that </w:t>
      </w:r>
      <w:r w:rsidRPr="00771E6E">
        <w:rPr>
          <w:i/>
        </w:rPr>
        <w:t>tondi</w:t>
      </w:r>
      <w:r w:rsidRPr="00771E6E">
        <w:t xml:space="preserve"> were intended to act as “mirrors” for their viewers.</w:t>
      </w:r>
      <w:r w:rsidRPr="00771E6E">
        <w:rPr>
          <w:rStyle w:val="FootnoteReference"/>
        </w:rPr>
        <w:footnoteReference w:id="513"/>
      </w:r>
      <w:r w:rsidRPr="00771E6E">
        <w:t xml:space="preserve"> The connection between these two objects would have seemed quite obvious in the fifteenth century, for both would have hung on the wall in domestic spaces, and both would have been circular in shape. While physical mirrors reflected the material world, </w:t>
      </w:r>
      <w:r w:rsidRPr="00771E6E">
        <w:rPr>
          <w:i/>
        </w:rPr>
        <w:t>tondi</w:t>
      </w:r>
      <w:r w:rsidRPr="00771E6E">
        <w:t xml:space="preserve"> were mirrors of divine models that the viewer was expected to </w:t>
      </w:r>
      <w:r w:rsidRPr="00771E6E">
        <w:rPr>
          <w:color w:val="000000" w:themeColor="text1"/>
        </w:rPr>
        <w:t>emulate.</w:t>
      </w:r>
      <w:r w:rsidRPr="00771E6E">
        <w:rPr>
          <w:rStyle w:val="FootnoteReference"/>
        </w:rPr>
        <w:footnoteReference w:id="514"/>
      </w:r>
      <w:r w:rsidRPr="00771E6E">
        <w:rPr>
          <w:color w:val="000000" w:themeColor="text1"/>
        </w:rPr>
        <w:t xml:space="preserve"> It is worth noting </w:t>
      </w:r>
      <w:r w:rsidRPr="00771E6E">
        <w:t xml:space="preserve">that, up </w:t>
      </w:r>
      <w:r w:rsidRPr="00771E6E">
        <w:rPr>
          <w:color w:val="000000" w:themeColor="text1"/>
        </w:rPr>
        <w:t>until the beginning of the sixteenth century, mirrors would have been made of materials such as brass and dark glass that would not have provided a clear reflection of one’s image.</w:t>
      </w:r>
      <w:r w:rsidRPr="00771E6E">
        <w:rPr>
          <w:rStyle w:val="FootnoteReference"/>
        </w:rPr>
        <w:footnoteReference w:id="515"/>
      </w:r>
      <w:r w:rsidRPr="00771E6E">
        <w:rPr>
          <w:color w:val="000000" w:themeColor="text1"/>
        </w:rPr>
        <w:t xml:space="preserve"> As such, it can be assumed that the viewers’ clouded and vaguely-defined reflection would already have been reminiscent of something otherworldly, rather than a simplistic reflection of reality. In this </w:t>
      </w:r>
      <w:r w:rsidRPr="00771E6E">
        <w:rPr>
          <w:color w:val="000000" w:themeColor="text1"/>
        </w:rPr>
        <w:lastRenderedPageBreak/>
        <w:t xml:space="preserve">context, the celestial “mirrors” of the </w:t>
      </w:r>
      <w:r w:rsidRPr="00771E6E">
        <w:rPr>
          <w:i/>
          <w:color w:val="000000" w:themeColor="text1"/>
        </w:rPr>
        <w:t>tondi</w:t>
      </w:r>
      <w:r w:rsidRPr="00771E6E">
        <w:rPr>
          <w:color w:val="000000" w:themeColor="text1"/>
        </w:rPr>
        <w:t xml:space="preserve"> would have possessed a particularly compelling resonance.</w:t>
      </w:r>
    </w:p>
    <w:p w14:paraId="432E4E52" w14:textId="77777777" w:rsidR="00094F64" w:rsidRPr="00771E6E" w:rsidRDefault="00094F64" w:rsidP="00094F64">
      <w:pPr>
        <w:ind w:firstLine="720"/>
      </w:pPr>
      <w:r w:rsidRPr="00771E6E">
        <w:t xml:space="preserve">In addition to physical mirrors, the Renaissance lexicon also makes broad use of the term “mirror” (Latin </w:t>
      </w:r>
      <w:r w:rsidRPr="00771E6E">
        <w:rPr>
          <w:i/>
        </w:rPr>
        <w:t>speculum</w:t>
      </w:r>
      <w:r w:rsidRPr="00771E6E">
        <w:t xml:space="preserve">, Italian </w:t>
      </w:r>
      <w:r w:rsidRPr="00771E6E">
        <w:rPr>
          <w:i/>
        </w:rPr>
        <w:t>spec(c)</w:t>
      </w:r>
      <w:proofErr w:type="spellStart"/>
      <w:r w:rsidRPr="00771E6E">
        <w:rPr>
          <w:i/>
        </w:rPr>
        <w:t>hio</w:t>
      </w:r>
      <w:proofErr w:type="spellEnd"/>
      <w:r w:rsidRPr="00771E6E">
        <w:t xml:space="preserve">) not only to describe physical objects, but also, metaphorically, in association with the imitation of positive </w:t>
      </w:r>
      <w:r w:rsidRPr="00771E6E">
        <w:rPr>
          <w:i/>
        </w:rPr>
        <w:t>exempla</w:t>
      </w:r>
      <w:r w:rsidRPr="00771E6E">
        <w:t xml:space="preserve"> and the construction of identity.</w:t>
      </w:r>
      <w:r w:rsidRPr="00771E6E">
        <w:rPr>
          <w:rStyle w:val="FootnoteReference"/>
        </w:rPr>
        <w:footnoteReference w:id="516"/>
      </w:r>
      <w:r w:rsidRPr="00771E6E">
        <w:t xml:space="preserve"> In an inscription in the vernacular from the early fifteenth century, dedicated to the rulers of Siena in the antechapel of the Palazzo </w:t>
      </w:r>
      <w:proofErr w:type="spellStart"/>
      <w:r w:rsidRPr="00771E6E">
        <w:t>Pubblico</w:t>
      </w:r>
      <w:proofErr w:type="spellEnd"/>
      <w:r w:rsidRPr="00771E6E">
        <w:t>, one can read: “</w:t>
      </w:r>
      <w:r w:rsidRPr="00771E6E">
        <w:rPr>
          <w:i/>
        </w:rPr>
        <w:t>Mirror yourselves</w:t>
      </w:r>
      <w:r w:rsidRPr="00771E6E">
        <w:t xml:space="preserve"> in these [figures], you who govern, if you want to rule for thousands and thousands of years” (</w:t>
      </w:r>
      <w:r w:rsidR="00EC2D1C" w:rsidRPr="00771E6E">
        <w:t>m</w:t>
      </w:r>
      <w:r w:rsidRPr="00771E6E">
        <w:t>y Italics).</w:t>
      </w:r>
      <w:r w:rsidRPr="00771E6E">
        <w:rPr>
          <w:rStyle w:val="FootnoteReference"/>
        </w:rPr>
        <w:footnoteReference w:id="517"/>
      </w:r>
      <w:r w:rsidRPr="00771E6E">
        <w:t xml:space="preserve"> This inscription forms part of the fresco decoration designed by Taddeo di </w:t>
      </w:r>
      <w:proofErr w:type="spellStart"/>
      <w:r w:rsidRPr="00771E6E">
        <w:t>Bartolo</w:t>
      </w:r>
      <w:proofErr w:type="spellEnd"/>
      <w:r w:rsidRPr="00771E6E">
        <w:t xml:space="preserve"> between 1413 and 1414, in which the princely virtues are represented by images of illustrious men, taken mainly from Roman history.</w:t>
      </w:r>
      <w:r w:rsidRPr="00771E6E">
        <w:rPr>
          <w:rStyle w:val="FootnoteReference"/>
        </w:rPr>
        <w:footnoteReference w:id="518"/>
      </w:r>
      <w:r w:rsidRPr="00771E6E">
        <w:t xml:space="preserve"> It goes without saying that the literary genre of </w:t>
      </w:r>
      <w:r w:rsidRPr="00771E6E">
        <w:rPr>
          <w:i/>
        </w:rPr>
        <w:t xml:space="preserve">Specula </w:t>
      </w:r>
      <w:proofErr w:type="spellStart"/>
      <w:r w:rsidRPr="00771E6E">
        <w:rPr>
          <w:i/>
        </w:rPr>
        <w:t>principum</w:t>
      </w:r>
      <w:proofErr w:type="spellEnd"/>
      <w:r w:rsidRPr="00771E6E">
        <w:t xml:space="preserve"> (Mirrors of princes), discussed in Chapter 1, is also linked to this practice.</w:t>
      </w:r>
    </w:p>
    <w:p w14:paraId="627F80D2" w14:textId="77777777" w:rsidR="00094F64" w:rsidRPr="00771E6E" w:rsidRDefault="00094F64" w:rsidP="00094F64">
      <w:pPr>
        <w:ind w:firstLine="720"/>
      </w:pPr>
      <w:r w:rsidRPr="00771E6E">
        <w:t xml:space="preserve">This idea was further extended by Pier Paolo </w:t>
      </w:r>
      <w:proofErr w:type="spellStart"/>
      <w:r w:rsidRPr="00771E6E">
        <w:t>Vergerio</w:t>
      </w:r>
      <w:proofErr w:type="spellEnd"/>
      <w:r w:rsidRPr="00771E6E">
        <w:t xml:space="preserve"> the Elder, in his </w:t>
      </w:r>
      <w:r w:rsidRPr="00771E6E">
        <w:rPr>
          <w:i/>
        </w:rPr>
        <w:t xml:space="preserve">De </w:t>
      </w:r>
      <w:proofErr w:type="spellStart"/>
      <w:r w:rsidRPr="00771E6E">
        <w:rPr>
          <w:i/>
        </w:rPr>
        <w:t>ingenuis</w:t>
      </w:r>
      <w:proofErr w:type="spellEnd"/>
      <w:r w:rsidRPr="00771E6E">
        <w:rPr>
          <w:i/>
        </w:rPr>
        <w:t xml:space="preserve"> </w:t>
      </w:r>
      <w:proofErr w:type="spellStart"/>
      <w:r w:rsidRPr="00771E6E">
        <w:rPr>
          <w:i/>
        </w:rPr>
        <w:t>moribus</w:t>
      </w:r>
      <w:proofErr w:type="spellEnd"/>
      <w:r w:rsidRPr="00771E6E">
        <w:rPr>
          <w:i/>
        </w:rPr>
        <w:t xml:space="preserve"> et </w:t>
      </w:r>
      <w:proofErr w:type="spellStart"/>
      <w:r w:rsidRPr="00771E6E">
        <w:rPr>
          <w:i/>
        </w:rPr>
        <w:t>liberalibus</w:t>
      </w:r>
      <w:proofErr w:type="spellEnd"/>
      <w:r w:rsidRPr="00771E6E">
        <w:rPr>
          <w:i/>
        </w:rPr>
        <w:t xml:space="preserve"> </w:t>
      </w:r>
      <w:proofErr w:type="spellStart"/>
      <w:r w:rsidRPr="00771E6E">
        <w:rPr>
          <w:i/>
        </w:rPr>
        <w:t>studiis</w:t>
      </w:r>
      <w:proofErr w:type="spellEnd"/>
      <w:r w:rsidRPr="00771E6E">
        <w:rPr>
          <w:i/>
        </w:rPr>
        <w:t xml:space="preserve"> </w:t>
      </w:r>
      <w:proofErr w:type="spellStart"/>
      <w:r w:rsidRPr="00771E6E">
        <w:rPr>
          <w:i/>
        </w:rPr>
        <w:t>adulescentiae</w:t>
      </w:r>
      <w:proofErr w:type="spellEnd"/>
      <w:r w:rsidRPr="00771E6E">
        <w:rPr>
          <w:iCs/>
        </w:rPr>
        <w:t xml:space="preserve">, </w:t>
      </w:r>
      <w:r w:rsidRPr="00771E6E">
        <w:t xml:space="preserve">where the author suggests that “[young men] will have greater success [in becoming virtuous] if they will contemplate not their own image, but the </w:t>
      </w:r>
      <w:proofErr w:type="spellStart"/>
      <w:r w:rsidRPr="00771E6E">
        <w:t>behaviour</w:t>
      </w:r>
      <w:proofErr w:type="spellEnd"/>
      <w:r w:rsidRPr="00771E6E">
        <w:t xml:space="preserve"> of someone else of high character, a </w:t>
      </w:r>
      <w:r w:rsidRPr="00771E6E">
        <w:rPr>
          <w:i/>
        </w:rPr>
        <w:t>living mirror</w:t>
      </w:r>
      <w:r w:rsidRPr="00771E6E">
        <w:t>” (my Italics).</w:t>
      </w:r>
      <w:r w:rsidRPr="00771E6E">
        <w:rPr>
          <w:rStyle w:val="FootnoteReference"/>
        </w:rPr>
        <w:footnoteReference w:id="519"/>
      </w:r>
      <w:r w:rsidRPr="00771E6E">
        <w:t xml:space="preserve"> Along the same lines, the Florentine merchant Giovanni di </w:t>
      </w:r>
      <w:proofErr w:type="spellStart"/>
      <w:r w:rsidRPr="00771E6E">
        <w:t>Pagolo</w:t>
      </w:r>
      <w:proofErr w:type="spellEnd"/>
      <w:r w:rsidRPr="00771E6E">
        <w:t xml:space="preserve"> Morelli, in his </w:t>
      </w:r>
      <w:proofErr w:type="spellStart"/>
      <w:r w:rsidRPr="00771E6E">
        <w:rPr>
          <w:i/>
        </w:rPr>
        <w:t>Ricordi</w:t>
      </w:r>
      <w:proofErr w:type="spellEnd"/>
      <w:r w:rsidRPr="00771E6E">
        <w:t>,</w:t>
      </w:r>
      <w:r w:rsidRPr="00771E6E">
        <w:rPr>
          <w:i/>
        </w:rPr>
        <w:t xml:space="preserve"> </w:t>
      </w:r>
      <w:r w:rsidRPr="00771E6E">
        <w:t xml:space="preserve">recommended to his son: </w:t>
      </w:r>
    </w:p>
    <w:p w14:paraId="507DDABF" w14:textId="77777777" w:rsidR="00094F64" w:rsidRPr="00771E6E" w:rsidRDefault="00094F64" w:rsidP="00094F64">
      <w:pPr>
        <w:ind w:firstLine="720"/>
      </w:pPr>
    </w:p>
    <w:p w14:paraId="073D9ECB" w14:textId="77777777" w:rsidR="00094F64" w:rsidRPr="00771E6E" w:rsidRDefault="00094F64" w:rsidP="00094F64">
      <w:pPr>
        <w:pStyle w:val="IntenseQuote"/>
      </w:pPr>
      <w:r w:rsidRPr="00771E6E">
        <w:t xml:space="preserve">Exert yourself to associate and be domestic with one (or with more) excellent man [who is] sage and old and without vice … Take the lead, imitate him, and thus follow him and try to make yourself like him. Keep him always present in your mind, and when you do something, </w:t>
      </w:r>
      <w:r w:rsidRPr="00771E6E">
        <w:rPr>
          <w:i/>
        </w:rPr>
        <w:t>mirror yourself in him</w:t>
      </w:r>
      <w:r w:rsidRPr="00771E6E">
        <w:t xml:space="preserve"> (my Italics).</w:t>
      </w:r>
      <w:r w:rsidRPr="00771E6E">
        <w:rPr>
          <w:rStyle w:val="FootnoteReference"/>
        </w:rPr>
        <w:footnoteReference w:id="520"/>
      </w:r>
    </w:p>
    <w:p w14:paraId="62017735" w14:textId="77777777" w:rsidR="00094F64" w:rsidRPr="00771E6E" w:rsidRDefault="00094F64" w:rsidP="00094F64">
      <w:pPr>
        <w:ind w:firstLine="720"/>
      </w:pPr>
    </w:p>
    <w:p w14:paraId="6D47258F" w14:textId="77777777" w:rsidR="00094F64" w:rsidRPr="00771E6E" w:rsidRDefault="00094F64" w:rsidP="00094F64">
      <w:r w:rsidRPr="00771E6E">
        <w:lastRenderedPageBreak/>
        <w:t xml:space="preserve">As well as providing guidance on how to become virtuous, these examples also suggest the importance that was given to maintaining the reputation of one’s lineage, which was not always a simple task for children from a privileged background. Francesco </w:t>
      </w:r>
      <w:proofErr w:type="spellStart"/>
      <w:r w:rsidRPr="00771E6E">
        <w:t>Barbaro</w:t>
      </w:r>
      <w:proofErr w:type="spellEnd"/>
      <w:r w:rsidRPr="00771E6E">
        <w:t xml:space="preserve">, in the early fifteenth century, stated in his </w:t>
      </w:r>
      <w:r w:rsidRPr="00771E6E">
        <w:rPr>
          <w:i/>
        </w:rPr>
        <w:t xml:space="preserve">De re </w:t>
      </w:r>
      <w:proofErr w:type="spellStart"/>
      <w:r w:rsidRPr="00771E6E">
        <w:rPr>
          <w:i/>
        </w:rPr>
        <w:t>uxoria</w:t>
      </w:r>
      <w:proofErr w:type="spellEnd"/>
      <w:r w:rsidRPr="00771E6E">
        <w:t xml:space="preserve">: “the light of paternal glory does not permit the well-born to be mediocre; they understand that the image of their parents is more of a burden than an </w:t>
      </w:r>
      <w:proofErr w:type="spellStart"/>
      <w:r w:rsidRPr="00771E6E">
        <w:t>honour</w:t>
      </w:r>
      <w:proofErr w:type="spellEnd"/>
      <w:r w:rsidRPr="00771E6E">
        <w:t xml:space="preserve"> unless they prove themselves by their own virtue worthy of the dignity and greatness of their ancestors.”</w:t>
      </w:r>
      <w:r w:rsidRPr="00771E6E">
        <w:rPr>
          <w:rStyle w:val="FootnoteReference"/>
        </w:rPr>
        <w:footnoteReference w:id="521"/>
      </w:r>
      <w:r w:rsidRPr="00771E6E">
        <w:t xml:space="preserve"> </w:t>
      </w:r>
    </w:p>
    <w:p w14:paraId="5D78E213" w14:textId="77777777" w:rsidR="00094F64" w:rsidRPr="00771E6E" w:rsidRDefault="00094F64" w:rsidP="00094F64">
      <w:pPr>
        <w:ind w:firstLine="720"/>
        <w:rPr>
          <w:color w:val="000000" w:themeColor="text1"/>
        </w:rPr>
      </w:pPr>
      <w:r w:rsidRPr="00771E6E">
        <w:t xml:space="preserve">This same mirror metaphor is used by Giovanni </w:t>
      </w:r>
      <w:proofErr w:type="spellStart"/>
      <w:r w:rsidRPr="00771E6E">
        <w:t>Dominici</w:t>
      </w:r>
      <w:proofErr w:type="spellEnd"/>
      <w:r w:rsidRPr="00771E6E">
        <w:t xml:space="preserve">, also noted in Chapter 1, when he recommends his reader “let [her] children </w:t>
      </w:r>
      <w:r w:rsidRPr="00771E6E">
        <w:rPr>
          <w:i/>
        </w:rPr>
        <w:t>mirror themselves</w:t>
      </w:r>
      <w:r w:rsidRPr="00771E6E">
        <w:t xml:space="preserve"> in the first mirror, as soon as they open their eyes” (my Italics). This “first” mirror corresponds to images of the angels and saints, used to shape the mind of a new born.</w:t>
      </w:r>
      <w:r w:rsidRPr="00771E6E">
        <w:rPr>
          <w:rStyle w:val="FootnoteReference"/>
        </w:rPr>
        <w:footnoteReference w:id="522"/>
      </w:r>
      <w:r w:rsidRPr="00771E6E">
        <w:rPr>
          <w:color w:val="000000" w:themeColor="text1"/>
        </w:rPr>
        <w:t xml:space="preserve"> Saint John Chrysostom in the fourth century had already codified the distinction between physical and spiritual mirrors in one of his sermons, the latter being “the memory of good men, and the history of their blessed life, the reading of the Scriptures, the laws given by God”. The author continues: “If thou be willing once only to look upon the portraiture of those holy men, thou wilt both see the foulness of thine own mind, and having seen this, wilt need nothing else to be set free from that deformity. Because the mirror is useful for this purpose also, and makes the change easy.”</w:t>
      </w:r>
      <w:r w:rsidRPr="00771E6E">
        <w:rPr>
          <w:rStyle w:val="FootnoteReference"/>
        </w:rPr>
        <w:footnoteReference w:id="523"/>
      </w:r>
      <w:r w:rsidRPr="00771E6E">
        <w:rPr>
          <w:color w:val="000000" w:themeColor="text1"/>
        </w:rPr>
        <w:t xml:space="preserve"> This testifies to the belief that, through painted </w:t>
      </w:r>
      <w:r w:rsidRPr="00771E6E">
        <w:rPr>
          <w:i/>
          <w:color w:val="000000" w:themeColor="text1"/>
        </w:rPr>
        <w:t>exempla</w:t>
      </w:r>
      <w:r w:rsidRPr="00771E6E">
        <w:rPr>
          <w:color w:val="000000" w:themeColor="text1"/>
        </w:rPr>
        <w:t xml:space="preserve">, one could observe their own defects and act to correct them. An example of the way in which devotional images were used in practice is given by Giovanni di </w:t>
      </w:r>
      <w:proofErr w:type="spellStart"/>
      <w:r w:rsidRPr="00771E6E">
        <w:rPr>
          <w:color w:val="000000" w:themeColor="text1"/>
        </w:rPr>
        <w:t>Pagolo</w:t>
      </w:r>
      <w:proofErr w:type="spellEnd"/>
      <w:r w:rsidRPr="00771E6E">
        <w:rPr>
          <w:color w:val="000000" w:themeColor="text1"/>
        </w:rPr>
        <w:t xml:space="preserve"> Morelli, in his </w:t>
      </w:r>
      <w:proofErr w:type="spellStart"/>
      <w:r w:rsidRPr="00771E6E">
        <w:rPr>
          <w:i/>
          <w:color w:val="000000" w:themeColor="text1"/>
        </w:rPr>
        <w:t>Ricordi</w:t>
      </w:r>
      <w:proofErr w:type="spellEnd"/>
      <w:r w:rsidRPr="00771E6E">
        <w:rPr>
          <w:color w:val="000000" w:themeColor="text1"/>
        </w:rPr>
        <w:t xml:space="preserve">. After the death of his son Alberto, Giovanni prayed for the child’s soul aided by an image of the Crucifixion with the Virgin and Saint John the Evangelist, which his son himself had previously used during his prayers. In looking at the crucified Christ, Giovanni stated that he was “looking into myself at my sins, in which I saw that I had harshly offended the son of God,” therefore introspectively meditating upon his faults, while blaming himself for </w:t>
      </w:r>
      <w:r w:rsidRPr="00771E6E">
        <w:rPr>
          <w:color w:val="000000" w:themeColor="text1"/>
        </w:rPr>
        <w:lastRenderedPageBreak/>
        <w:t>Christ’s suffering.</w:t>
      </w:r>
      <w:r w:rsidRPr="00771E6E">
        <w:rPr>
          <w:rStyle w:val="FootnoteReference"/>
        </w:rPr>
        <w:footnoteReference w:id="524"/>
      </w:r>
      <w:r w:rsidRPr="00771E6E">
        <w:rPr>
          <w:color w:val="000000" w:themeColor="text1"/>
        </w:rPr>
        <w:t xml:space="preserve"> </w:t>
      </w:r>
      <w:r w:rsidRPr="00771E6E">
        <w:t xml:space="preserve">This use seems to be subtly also suggested by </w:t>
      </w:r>
      <w:proofErr w:type="spellStart"/>
      <w:r w:rsidRPr="00771E6E">
        <w:t>Giambattista</w:t>
      </w:r>
      <w:proofErr w:type="spellEnd"/>
      <w:r w:rsidRPr="00771E6E">
        <w:t xml:space="preserve"> </w:t>
      </w:r>
      <w:proofErr w:type="spellStart"/>
      <w:r w:rsidRPr="00771E6E">
        <w:t>Gelli</w:t>
      </w:r>
      <w:proofErr w:type="spellEnd"/>
      <w:r w:rsidRPr="00771E6E">
        <w:t xml:space="preserve">, in a Carnival song that he dedicated to the mirror-makers guild of Florence, in which he states that </w:t>
      </w:r>
      <w:r w:rsidRPr="00771E6E">
        <w:rPr>
          <w:color w:val="000000" w:themeColor="text1"/>
        </w:rPr>
        <w:t>“perceiving his fault when looking in the mirror (faults which are not so easy to perceive in oneself as in others), a man can then take stock of himself and say ‘I will be a better man than I was.’”</w:t>
      </w:r>
      <w:r w:rsidRPr="00771E6E">
        <w:rPr>
          <w:rStyle w:val="FootnoteReference"/>
        </w:rPr>
        <w:footnoteReference w:id="525"/>
      </w:r>
      <w:r w:rsidRPr="00771E6E">
        <w:rPr>
          <w:color w:val="000000" w:themeColor="text1"/>
        </w:rPr>
        <w:t xml:space="preserve"> </w:t>
      </w:r>
    </w:p>
    <w:p w14:paraId="0185C7F3" w14:textId="77777777" w:rsidR="00094F64" w:rsidRPr="00771E6E" w:rsidRDefault="00094F64" w:rsidP="00094F64">
      <w:pPr>
        <w:ind w:firstLine="720"/>
        <w:rPr>
          <w:color w:val="943634" w:themeColor="accent2" w:themeShade="BF"/>
        </w:rPr>
      </w:pPr>
      <w:r w:rsidRPr="00771E6E">
        <w:t>Contemporary sources testify to the increasing popularity of mirrors in domestic environments towards the end of the fifteenth century.</w:t>
      </w:r>
      <w:r w:rsidRPr="00771E6E">
        <w:rPr>
          <w:rStyle w:val="FootnoteReference"/>
        </w:rPr>
        <w:footnoteReference w:id="526"/>
      </w:r>
      <w:r w:rsidRPr="00771E6E">
        <w:t xml:space="preserve"> Mirrors, occasionally also called </w:t>
      </w:r>
      <w:proofErr w:type="spellStart"/>
      <w:r w:rsidRPr="00771E6E">
        <w:rPr>
          <w:i/>
        </w:rPr>
        <w:t>sfere</w:t>
      </w:r>
      <w:proofErr w:type="spellEnd"/>
      <w:r w:rsidRPr="00771E6E">
        <w:t xml:space="preserve"> or </w:t>
      </w:r>
      <w:proofErr w:type="spellStart"/>
      <w:r w:rsidRPr="00771E6E">
        <w:rPr>
          <w:i/>
        </w:rPr>
        <w:t>spere</w:t>
      </w:r>
      <w:proofErr w:type="spellEnd"/>
      <w:r w:rsidRPr="00771E6E">
        <w:t xml:space="preserve"> (spheres) due to their convex shape, are frequently recorded in inventories of bedchambers. For example, a mirror is listed alongside a religious image in almost every instance in the inventory of the different rooms of the Venetian patrician Domenico Cappello’s house, following his death in 1532.</w:t>
      </w:r>
      <w:r w:rsidRPr="00771E6E">
        <w:rPr>
          <w:rStyle w:val="FootnoteReference"/>
        </w:rPr>
        <w:footnoteReference w:id="527"/>
      </w:r>
      <w:r w:rsidRPr="00771E6E">
        <w:t xml:space="preserve"> As well as listings in inventories, mirrors were also mentioned in other documents, as in the case of</w:t>
      </w:r>
      <w:r w:rsidRPr="00771E6E">
        <w:rPr>
          <w:color w:val="000000" w:themeColor="text1"/>
        </w:rPr>
        <w:t xml:space="preserve"> Isabella </w:t>
      </w:r>
      <w:proofErr w:type="spellStart"/>
      <w:r w:rsidRPr="00771E6E">
        <w:rPr>
          <w:color w:val="000000" w:themeColor="text1"/>
        </w:rPr>
        <w:t>d’Este</w:t>
      </w:r>
      <w:proofErr w:type="spellEnd"/>
      <w:r w:rsidRPr="00771E6E">
        <w:rPr>
          <w:color w:val="000000" w:themeColor="text1"/>
        </w:rPr>
        <w:t>, who between the 1490s and 1530s sought out both steel and crystal mirrors of varying sizes, sometimes referred to as “</w:t>
      </w:r>
      <w:proofErr w:type="spellStart"/>
      <w:r w:rsidRPr="00771E6E">
        <w:rPr>
          <w:color w:val="000000" w:themeColor="text1"/>
        </w:rPr>
        <w:t>spechio</w:t>
      </w:r>
      <w:proofErr w:type="spellEnd"/>
      <w:r w:rsidRPr="00771E6E">
        <w:rPr>
          <w:color w:val="000000" w:themeColor="text1"/>
        </w:rPr>
        <w:t xml:space="preserve"> da camera” in her correspondence with Lorenzo da Pavia.</w:t>
      </w:r>
      <w:r w:rsidRPr="00771E6E">
        <w:rPr>
          <w:rStyle w:val="FootnoteReference"/>
        </w:rPr>
        <w:footnoteReference w:id="528"/>
      </w:r>
      <w:r w:rsidRPr="00771E6E">
        <w:rPr>
          <w:color w:val="000000" w:themeColor="text1"/>
        </w:rPr>
        <w:t xml:space="preserve"> </w:t>
      </w:r>
      <w:r w:rsidRPr="00771E6E">
        <w:t>Deborah Howard has suggested the possibility that mirrors in the bedroom could be used not only for inspecting one’s appearance, but also as an aid to personal devotion.</w:t>
      </w:r>
      <w:r w:rsidRPr="00771E6E">
        <w:rPr>
          <w:rStyle w:val="FootnoteReference"/>
        </w:rPr>
        <w:footnoteReference w:id="529"/>
      </w:r>
      <w:r w:rsidRPr="00771E6E">
        <w:t xml:space="preserve"> This seems to be echoed in the meditative practice followed by Vittoria Colonna </w:t>
      </w:r>
      <w:r w:rsidRPr="00771E6E">
        <w:rPr>
          <w:color w:val="000000" w:themeColor="text1"/>
        </w:rPr>
        <w:t>(1492-1547), who</w:t>
      </w:r>
      <w:r w:rsidRPr="00771E6E">
        <w:t>, upon receipt of a drawing of the Crucifixion from her friend Michelangelo, responded to him that she had “observed it closely, with the aid of a lamp, a glass and a mirror, ” although the precise nature of this procedure was not recorded.</w:t>
      </w:r>
      <w:r w:rsidRPr="00771E6E">
        <w:rPr>
          <w:rStyle w:val="FootnoteReference"/>
        </w:rPr>
        <w:footnoteReference w:id="530"/>
      </w:r>
    </w:p>
    <w:p w14:paraId="04546EFA" w14:textId="77777777" w:rsidR="00094F64" w:rsidRPr="00771E6E" w:rsidRDefault="00094F64" w:rsidP="00094F64">
      <w:pPr>
        <w:ind w:firstLine="720"/>
      </w:pPr>
      <w:r w:rsidRPr="00771E6E">
        <w:t xml:space="preserve">Intriguingly, on some occasions the surviving records specifically list both figurative </w:t>
      </w:r>
      <w:r w:rsidRPr="00771E6E">
        <w:rPr>
          <w:i/>
        </w:rPr>
        <w:t>tondi</w:t>
      </w:r>
      <w:r w:rsidRPr="00771E6E">
        <w:t xml:space="preserve"> and circular mirrors as part of the decoration of the same room. For example, in the chamber of Lorenzo Tornabuoni referenced previously, just after the </w:t>
      </w:r>
      <w:r w:rsidRPr="00771E6E">
        <w:rPr>
          <w:i/>
        </w:rPr>
        <w:t xml:space="preserve">tondo </w:t>
      </w:r>
      <w:r w:rsidRPr="00771E6E">
        <w:t xml:space="preserve">with the </w:t>
      </w:r>
      <w:r w:rsidRPr="00771E6E">
        <w:rPr>
          <w:i/>
        </w:rPr>
        <w:t>Adoration of the Magi</w:t>
      </w:r>
      <w:r w:rsidRPr="00771E6E">
        <w:t xml:space="preserve"> the notaries who compiled the inventory also recorded “one </w:t>
      </w:r>
      <w:r w:rsidRPr="00771E6E">
        <w:lastRenderedPageBreak/>
        <w:t xml:space="preserve">mirror in a gilded </w:t>
      </w:r>
      <w:r w:rsidRPr="00771E6E">
        <w:rPr>
          <w:i/>
        </w:rPr>
        <w:t>tondo</w:t>
      </w:r>
      <w:r w:rsidRPr="00771E6E">
        <w:t>.”</w:t>
      </w:r>
      <w:r w:rsidRPr="00771E6E">
        <w:rPr>
          <w:rStyle w:val="FootnoteReference"/>
        </w:rPr>
        <w:footnoteReference w:id="531"/>
      </w:r>
      <w:r w:rsidRPr="00771E6E">
        <w:t xml:space="preserve"> The presence of both objects in a single space prompts questions about the nature of the interaction that the beholders would have with them. It is likely that the occupant would have engaged with both of the images visible to them, one painted, one reflected, establishing comparisons between them and possibly adjusting their self-fashioning to match the holy figures depicted in the painting. </w:t>
      </w:r>
    </w:p>
    <w:p w14:paraId="36321B0E" w14:textId="77777777" w:rsidR="00094F64" w:rsidRPr="00771E6E" w:rsidRDefault="00094F64" w:rsidP="00094F64">
      <w:pPr>
        <w:ind w:firstLine="720"/>
        <w:rPr>
          <w:color w:val="000000" w:themeColor="text1"/>
        </w:rPr>
      </w:pPr>
      <w:r w:rsidRPr="00771E6E">
        <w:t xml:space="preserve">The perception of depicted and reflected images was also likely to have been influenced by the height at which </w:t>
      </w:r>
      <w:r w:rsidRPr="00771E6E">
        <w:rPr>
          <w:i/>
        </w:rPr>
        <w:t>tondi</w:t>
      </w:r>
      <w:r w:rsidRPr="00771E6E">
        <w:t xml:space="preserve"> and mirrors hung on the wall.</w:t>
      </w:r>
      <w:r w:rsidRPr="00771E6E">
        <w:rPr>
          <w:color w:val="000000" w:themeColor="text1"/>
        </w:rPr>
        <w:t xml:space="preserve"> Thanks to contemporary written and visual sources, the location of the </w:t>
      </w:r>
      <w:r w:rsidRPr="00771E6E">
        <w:rPr>
          <w:i/>
          <w:color w:val="000000" w:themeColor="text1"/>
        </w:rPr>
        <w:t>tondi</w:t>
      </w:r>
      <w:r w:rsidRPr="00771E6E">
        <w:rPr>
          <w:color w:val="000000" w:themeColor="text1"/>
        </w:rPr>
        <w:t xml:space="preserve"> can generally be assumed to have been higher than eye level, as is demonstrated in an inventory record of a </w:t>
      </w:r>
      <w:r w:rsidRPr="00771E6E">
        <w:rPr>
          <w:i/>
          <w:color w:val="000000" w:themeColor="text1"/>
        </w:rPr>
        <w:t>tondo</w:t>
      </w:r>
      <w:r w:rsidRPr="00771E6E">
        <w:rPr>
          <w:color w:val="000000" w:themeColor="text1"/>
        </w:rPr>
        <w:t xml:space="preserve"> with the Virgin and Child located “high up” or “above” (</w:t>
      </w:r>
      <w:r w:rsidRPr="00771E6E">
        <w:rPr>
          <w:i/>
          <w:color w:val="000000" w:themeColor="text1"/>
        </w:rPr>
        <w:t>di sopra</w:t>
      </w:r>
      <w:r w:rsidRPr="00771E6E">
        <w:rPr>
          <w:color w:val="000000" w:themeColor="text1"/>
        </w:rPr>
        <w:t xml:space="preserve">), and in the woodcut illustration in Savonarola’s </w:t>
      </w:r>
      <w:proofErr w:type="spellStart"/>
      <w:r w:rsidRPr="00771E6E">
        <w:rPr>
          <w:i/>
          <w:color w:val="000000" w:themeColor="text1"/>
        </w:rPr>
        <w:t>Predica</w:t>
      </w:r>
      <w:proofErr w:type="spellEnd"/>
      <w:r w:rsidRPr="00771E6E">
        <w:rPr>
          <w:i/>
          <w:color w:val="000000" w:themeColor="text1"/>
        </w:rPr>
        <w:t xml:space="preserve"> </w:t>
      </w:r>
      <w:proofErr w:type="spellStart"/>
      <w:r w:rsidRPr="00771E6E">
        <w:rPr>
          <w:i/>
          <w:color w:val="000000" w:themeColor="text1"/>
        </w:rPr>
        <w:t>dell’arte</w:t>
      </w:r>
      <w:proofErr w:type="spellEnd"/>
      <w:r w:rsidRPr="00771E6E">
        <w:rPr>
          <w:i/>
          <w:color w:val="000000" w:themeColor="text1"/>
        </w:rPr>
        <w:t xml:space="preserve"> del ben </w:t>
      </w:r>
      <w:proofErr w:type="spellStart"/>
      <w:r w:rsidRPr="00771E6E">
        <w:rPr>
          <w:i/>
          <w:color w:val="000000" w:themeColor="text1"/>
        </w:rPr>
        <w:t>morire</w:t>
      </w:r>
      <w:proofErr w:type="spellEnd"/>
      <w:r w:rsidRPr="00771E6E">
        <w:rPr>
          <w:color w:val="000000" w:themeColor="text1"/>
        </w:rPr>
        <w:t xml:space="preserve"> mentioned previously (fig. 3.1).</w:t>
      </w:r>
      <w:r w:rsidRPr="00771E6E">
        <w:rPr>
          <w:rStyle w:val="FootnoteReference"/>
        </w:rPr>
        <w:footnoteReference w:id="532"/>
      </w:r>
      <w:r w:rsidRPr="00771E6E">
        <w:rPr>
          <w:color w:val="000000" w:themeColor="text1"/>
        </w:rPr>
        <w:t xml:space="preserve"> It seems likely that a higher setting on the wall was intended to allude to the elevated status of the figure depicted, as seems to be confirmed by the elongated shape of some images of the Virgin and Child.</w:t>
      </w:r>
      <w:r w:rsidRPr="00771E6E">
        <w:rPr>
          <w:rStyle w:val="FootnoteReference"/>
        </w:rPr>
        <w:footnoteReference w:id="533"/>
      </w:r>
      <w:r w:rsidRPr="00771E6E">
        <w:rPr>
          <w:color w:val="000000" w:themeColor="text1"/>
        </w:rPr>
        <w:t xml:space="preserve"> In order to have been usable, mirrors would have needed to be located much lower down, and so it is possible to imagine how individuals would have been prompted to look upwards to the divine figures depicted on </w:t>
      </w:r>
      <w:r w:rsidRPr="00771E6E">
        <w:rPr>
          <w:i/>
          <w:color w:val="000000" w:themeColor="text1"/>
        </w:rPr>
        <w:t>tondi</w:t>
      </w:r>
      <w:r w:rsidRPr="00771E6E">
        <w:rPr>
          <w:color w:val="000000" w:themeColor="text1"/>
        </w:rPr>
        <w:t xml:space="preserve"> and then lower their gaze to the reflection on the mirror, and vice-versa. This upwards-downwards movement would have likely induced the viewer to establish a comparison between the Heavenly realm represented higher up in the room and the Earthly world represented by their own image reflected within the mirror. </w:t>
      </w:r>
    </w:p>
    <w:p w14:paraId="3B44A9D5" w14:textId="77777777" w:rsidR="00094F64" w:rsidRPr="00771E6E" w:rsidRDefault="00094F64" w:rsidP="00094F64">
      <w:pPr>
        <w:ind w:firstLine="720"/>
      </w:pPr>
      <w:r w:rsidRPr="00771E6E">
        <w:t xml:space="preserve">Thanks in part to their physical similarity, circular devotional works of art such as </w:t>
      </w:r>
      <w:r w:rsidRPr="00771E6E">
        <w:rPr>
          <w:i/>
        </w:rPr>
        <w:t>tondi</w:t>
      </w:r>
      <w:r w:rsidRPr="00771E6E">
        <w:t xml:space="preserve"> could readily be equated with mirrors. In this light, one can read the </w:t>
      </w:r>
      <w:r w:rsidRPr="00771E6E">
        <w:rPr>
          <w:i/>
        </w:rPr>
        <w:t>tondo</w:t>
      </w:r>
      <w:r w:rsidRPr="00771E6E">
        <w:t xml:space="preserve"> painted with an image of Christ bearing the cross, kept at the Walters Art Museum in Baltimore (MA), as a figurative </w:t>
      </w:r>
      <w:proofErr w:type="spellStart"/>
      <w:r w:rsidRPr="00771E6E">
        <w:rPr>
          <w:i/>
        </w:rPr>
        <w:t>imitatio</w:t>
      </w:r>
      <w:proofErr w:type="spellEnd"/>
      <w:r w:rsidRPr="00771E6E">
        <w:rPr>
          <w:i/>
        </w:rPr>
        <w:t xml:space="preserve"> Christi</w:t>
      </w:r>
      <w:r w:rsidRPr="00771E6E">
        <w:t xml:space="preserve"> (fig. 3.3). Similarly, a series of medals with Roman emperors by the Florentine artist Antonio </w:t>
      </w:r>
      <w:proofErr w:type="spellStart"/>
      <w:r w:rsidRPr="00771E6E">
        <w:t>Averlino</w:t>
      </w:r>
      <w:proofErr w:type="spellEnd"/>
      <w:r w:rsidRPr="00771E6E">
        <w:t xml:space="preserve">, known as </w:t>
      </w:r>
      <w:proofErr w:type="spellStart"/>
      <w:r w:rsidRPr="00771E6E">
        <w:t>Filarete</w:t>
      </w:r>
      <w:proofErr w:type="spellEnd"/>
      <w:r w:rsidRPr="00771E6E">
        <w:t xml:space="preserve"> (ca. 1400-ca. 1469), have been identified by Stefano </w:t>
      </w:r>
      <w:proofErr w:type="spellStart"/>
      <w:r w:rsidRPr="00771E6E">
        <w:t>Casu</w:t>
      </w:r>
      <w:proofErr w:type="spellEnd"/>
      <w:r w:rsidRPr="00771E6E">
        <w:t xml:space="preserve"> as </w:t>
      </w:r>
      <w:r w:rsidRPr="00771E6E">
        <w:rPr>
          <w:i/>
        </w:rPr>
        <w:t>exempla virtutis</w:t>
      </w:r>
      <w:r w:rsidRPr="00771E6E">
        <w:t xml:space="preserve">, examples of virtue to be presented to a ruler. Perhaps even more strikingly, </w:t>
      </w:r>
      <w:proofErr w:type="spellStart"/>
      <w:r w:rsidRPr="00771E6E">
        <w:t>Filarete’s</w:t>
      </w:r>
      <w:proofErr w:type="spellEnd"/>
      <w:r w:rsidRPr="00771E6E">
        <w:t xml:space="preserve"> workshop, with the direct participation of the master himself, later transformed one of the medals with Julius Caesar </w:t>
      </w:r>
      <w:r w:rsidRPr="00771E6E">
        <w:lastRenderedPageBreak/>
        <w:t xml:space="preserve">into a rectangular plaquette in so-called </w:t>
      </w:r>
      <w:r w:rsidRPr="00771E6E">
        <w:rPr>
          <w:i/>
        </w:rPr>
        <w:t>speculum</w:t>
      </w:r>
      <w:r w:rsidRPr="00771E6E">
        <w:t xml:space="preserve"> metal, a fragile alloy whose choice is only justifiable if the rear of the object was intended to be used as a mirror, making this object in effect a physical “mirror for princes”, a </w:t>
      </w:r>
      <w:r w:rsidRPr="00771E6E">
        <w:rPr>
          <w:i/>
        </w:rPr>
        <w:t xml:space="preserve">speculum </w:t>
      </w:r>
      <w:proofErr w:type="spellStart"/>
      <w:r w:rsidRPr="00771E6E">
        <w:rPr>
          <w:i/>
        </w:rPr>
        <w:t>principum</w:t>
      </w:r>
      <w:proofErr w:type="spellEnd"/>
      <w:r w:rsidRPr="00771E6E">
        <w:t xml:space="preserve"> (fig. 3.4).</w:t>
      </w:r>
      <w:r w:rsidRPr="00771E6E">
        <w:rPr>
          <w:rStyle w:val="FootnoteReference"/>
        </w:rPr>
        <w:footnoteReference w:id="534"/>
      </w:r>
      <w:r w:rsidRPr="00771E6E">
        <w:t xml:space="preserve"> It is not clear why this medal was transformed from its original circular shape, although this may be due to the malleability of the metal alloy, which would likely have been more difficult to work in smaller sizes. </w:t>
      </w:r>
    </w:p>
    <w:p w14:paraId="54341E61" w14:textId="77777777" w:rsidR="00094F64" w:rsidRPr="00771E6E" w:rsidRDefault="00094F64" w:rsidP="00094F64">
      <w:pPr>
        <w:ind w:firstLine="720"/>
      </w:pPr>
      <w:r w:rsidRPr="00771E6E">
        <w:t xml:space="preserve">Another medal, although this time not made from </w:t>
      </w:r>
      <w:r w:rsidRPr="00771E6E">
        <w:rPr>
          <w:i/>
        </w:rPr>
        <w:t xml:space="preserve">speculum </w:t>
      </w:r>
      <w:r w:rsidRPr="00771E6E">
        <w:t xml:space="preserve">metal, but rather in bronze, is highly likely to have functioned as a mirror. Probably produced by Lysippus the Younger, </w:t>
      </w:r>
      <w:proofErr w:type="spellStart"/>
      <w:r w:rsidRPr="00771E6E">
        <w:t>some time</w:t>
      </w:r>
      <w:proofErr w:type="spellEnd"/>
      <w:r w:rsidRPr="00771E6E">
        <w:t xml:space="preserve"> between 1471 and 1484, this medal shows a portrait of a young man in profile on one side, while the other side is completely plain (fig. 3.5). An inscription surrounding the portrait on the obverse makes the purpose of the object clear: “di la </w:t>
      </w:r>
      <w:proofErr w:type="spellStart"/>
      <w:r w:rsidRPr="00771E6E">
        <w:t>il</w:t>
      </w:r>
      <w:proofErr w:type="spellEnd"/>
      <w:r w:rsidRPr="00771E6E">
        <w:t xml:space="preserve"> bel </w:t>
      </w:r>
      <w:proofErr w:type="spellStart"/>
      <w:r w:rsidRPr="00771E6E">
        <w:t>viso</w:t>
      </w:r>
      <w:proofErr w:type="spellEnd"/>
      <w:r w:rsidRPr="00771E6E">
        <w:t xml:space="preserve"> e </w:t>
      </w:r>
      <w:proofErr w:type="spellStart"/>
      <w:r w:rsidRPr="00771E6E">
        <w:t>qvi</w:t>
      </w:r>
      <w:proofErr w:type="spellEnd"/>
      <w:r w:rsidRPr="00771E6E">
        <w:t xml:space="preserve"> </w:t>
      </w:r>
      <w:proofErr w:type="spellStart"/>
      <w:r w:rsidRPr="00771E6E">
        <w:t>il</w:t>
      </w:r>
      <w:proofErr w:type="spellEnd"/>
      <w:r w:rsidRPr="00771E6E">
        <w:t xml:space="preserve"> </w:t>
      </w:r>
      <w:proofErr w:type="spellStart"/>
      <w:r w:rsidRPr="00771E6E">
        <w:t>tuo</w:t>
      </w:r>
      <w:proofErr w:type="spellEnd"/>
      <w:r w:rsidRPr="00771E6E">
        <w:t xml:space="preserve"> servo </w:t>
      </w:r>
      <w:proofErr w:type="spellStart"/>
      <w:r w:rsidRPr="00771E6E">
        <w:t>mira</w:t>
      </w:r>
      <w:proofErr w:type="spellEnd"/>
      <w:r w:rsidRPr="00771E6E">
        <w:t>” (look on the other side at your beautiful face, and on this at your servant).</w:t>
      </w:r>
      <w:r w:rsidRPr="00771E6E">
        <w:rPr>
          <w:rStyle w:val="FootnoteReference"/>
        </w:rPr>
        <w:footnoteReference w:id="535"/>
      </w:r>
    </w:p>
    <w:p w14:paraId="6E7E4C72" w14:textId="77777777" w:rsidR="00094F64" w:rsidRPr="00771E6E" w:rsidRDefault="00094F64" w:rsidP="00094F64">
      <w:pPr>
        <w:ind w:firstLine="720"/>
      </w:pPr>
      <w:r w:rsidRPr="00771E6E">
        <w:t xml:space="preserve">A similar effect, which is particularly interesting for the purposes of this thesis, is given by a round medallion most likely produced by the workshop of Luca </w:t>
      </w:r>
      <w:proofErr w:type="spellStart"/>
      <w:r w:rsidRPr="00771E6E">
        <w:t>della</w:t>
      </w:r>
      <w:proofErr w:type="spellEnd"/>
      <w:r w:rsidRPr="00771E6E">
        <w:t xml:space="preserve"> Robbia between 1425 and 1450, now in the Victoria and Albert Museum (fig. 3.6). The connection between </w:t>
      </w:r>
      <w:r w:rsidRPr="00771E6E">
        <w:rPr>
          <w:i/>
        </w:rPr>
        <w:t>tondi</w:t>
      </w:r>
      <w:r w:rsidRPr="00771E6E">
        <w:t xml:space="preserve"> and mirrors is particularly evident in this object, as it is cast from </w:t>
      </w:r>
      <w:r w:rsidRPr="00771E6E">
        <w:rPr>
          <w:i/>
        </w:rPr>
        <w:t>speculum</w:t>
      </w:r>
      <w:r w:rsidRPr="00771E6E">
        <w:t xml:space="preserve"> metal, and has one side decorated with a gilded relief depicting the Virgin and Child accompanied by two non-musical and two musical angels, with its reverse polished to be used as a mirror.</w:t>
      </w:r>
      <w:r w:rsidRPr="00771E6E">
        <w:rPr>
          <w:rStyle w:val="FootnoteReference"/>
        </w:rPr>
        <w:footnoteReference w:id="536"/>
      </w:r>
      <w:r w:rsidRPr="00771E6E">
        <w:t xml:space="preserve"> The users of this object would have been able to direct their devotion and prayers to the religious image and then insightfully inspect their own reflection in the mirror, assessing their lives and attitudes compared to the virtuous figures on the other side.</w:t>
      </w:r>
    </w:p>
    <w:p w14:paraId="7E47B01D" w14:textId="77777777" w:rsidR="00094F64" w:rsidRPr="00771E6E" w:rsidRDefault="00094F64" w:rsidP="00094F64">
      <w:pPr>
        <w:ind w:firstLine="720"/>
        <w:rPr>
          <w:color w:val="000000" w:themeColor="text1"/>
        </w:rPr>
      </w:pPr>
      <w:r w:rsidRPr="00771E6E">
        <w:t xml:space="preserve">However, the reflected image was not the only encouragement that Christians would have had to spur them onwards in their pursuit of virtuous development. </w:t>
      </w:r>
      <w:r w:rsidRPr="00771E6E">
        <w:rPr>
          <w:color w:val="000000" w:themeColor="text1"/>
        </w:rPr>
        <w:t xml:space="preserve">In the same way as the reflected image in the mirror seems to be looking out at the beholder, it was believed that paintings – especially devotional images – were able to see the </w:t>
      </w:r>
      <w:proofErr w:type="spellStart"/>
      <w:r w:rsidRPr="00771E6E">
        <w:rPr>
          <w:color w:val="000000" w:themeColor="text1"/>
        </w:rPr>
        <w:t>behaviour</w:t>
      </w:r>
      <w:proofErr w:type="spellEnd"/>
      <w:r w:rsidRPr="00771E6E">
        <w:rPr>
          <w:color w:val="000000" w:themeColor="text1"/>
        </w:rPr>
        <w:t xml:space="preserve"> of the inhabitants of a house. For this reason, Saint Bernardino </w:t>
      </w:r>
      <w:proofErr w:type="spellStart"/>
      <w:r w:rsidRPr="00771E6E">
        <w:rPr>
          <w:color w:val="000000" w:themeColor="text1"/>
        </w:rPr>
        <w:t>criticised</w:t>
      </w:r>
      <w:proofErr w:type="spellEnd"/>
      <w:r w:rsidRPr="00771E6E">
        <w:rPr>
          <w:color w:val="000000" w:themeColor="text1"/>
        </w:rPr>
        <w:t xml:space="preserve"> women about not </w:t>
      </w:r>
      <w:r w:rsidRPr="00771E6E">
        <w:rPr>
          <w:color w:val="000000" w:themeColor="text1"/>
        </w:rPr>
        <w:lastRenderedPageBreak/>
        <w:t>being careful of their actions and their appearance in front of the devotional images that were hanging on the walls of their homes.</w:t>
      </w:r>
      <w:r w:rsidRPr="00771E6E">
        <w:rPr>
          <w:rStyle w:val="FootnoteReference"/>
        </w:rPr>
        <w:footnoteReference w:id="537"/>
      </w:r>
      <w:r w:rsidRPr="00771E6E">
        <w:rPr>
          <w:color w:val="000000" w:themeColor="text1"/>
        </w:rPr>
        <w:t xml:space="preserve"> </w:t>
      </w:r>
    </w:p>
    <w:p w14:paraId="1F3C4EBC" w14:textId="77777777" w:rsidR="00094F64" w:rsidRPr="00771E6E" w:rsidRDefault="00094F64" w:rsidP="00094F64">
      <w:pPr>
        <w:ind w:firstLine="720"/>
      </w:pPr>
      <w:r w:rsidRPr="00771E6E">
        <w:t xml:space="preserve">Much like paintings, mirrors had elaborate frames, sometimes including female portraits, coats of arms, </w:t>
      </w:r>
      <w:r w:rsidRPr="00771E6E">
        <w:rPr>
          <w:i/>
        </w:rPr>
        <w:t>putti</w:t>
      </w:r>
      <w:r w:rsidRPr="00771E6E">
        <w:t xml:space="preserve"> or even text, which could conceal messages for their users and stir their </w:t>
      </w:r>
      <w:proofErr w:type="spellStart"/>
      <w:r w:rsidRPr="00771E6E">
        <w:t>behaviour</w:t>
      </w:r>
      <w:proofErr w:type="spellEnd"/>
      <w:r w:rsidRPr="00771E6E">
        <w:t xml:space="preserve"> towards morality through allegorical figures. A Ferrarese example from the late fifteenth or early sixteenth century is inscribed at its base with the letter Y, indicating two different pathways to choose from, one sinful and one virtuous (fig. 3.7).</w:t>
      </w:r>
      <w:r w:rsidRPr="00771E6E">
        <w:rPr>
          <w:rStyle w:val="FootnoteReference"/>
        </w:rPr>
        <w:footnoteReference w:id="538"/>
      </w:r>
      <w:r w:rsidRPr="00771E6E">
        <w:t xml:space="preserve"> These paths are indicated by the letters composing the words “</w:t>
      </w:r>
      <w:proofErr w:type="spellStart"/>
      <w:r w:rsidRPr="00771E6E">
        <w:t>bonum</w:t>
      </w:r>
      <w:proofErr w:type="spellEnd"/>
      <w:r w:rsidRPr="00771E6E">
        <w:t>” and “malum” on either side, accompanied by symbolic animals and other figures.</w:t>
      </w:r>
      <w:r w:rsidRPr="00771E6E">
        <w:rPr>
          <w:rStyle w:val="FootnoteReference"/>
        </w:rPr>
        <w:footnoteReference w:id="539"/>
      </w:r>
      <w:r w:rsidRPr="00771E6E">
        <w:t xml:space="preserve"> The meaning of the Y symbol was well-known in the fifteenth century, both via ancient sources, such as Servius’ </w:t>
      </w:r>
      <w:proofErr w:type="spellStart"/>
      <w:r w:rsidRPr="00771E6E">
        <w:rPr>
          <w:i/>
        </w:rPr>
        <w:t>Commentarii</w:t>
      </w:r>
      <w:proofErr w:type="spellEnd"/>
      <w:r w:rsidRPr="00771E6E">
        <w:rPr>
          <w:i/>
        </w:rPr>
        <w:t xml:space="preserve"> in </w:t>
      </w:r>
      <w:proofErr w:type="spellStart"/>
      <w:r w:rsidRPr="00771E6E">
        <w:rPr>
          <w:i/>
        </w:rPr>
        <w:t>Vergilii</w:t>
      </w:r>
      <w:proofErr w:type="spellEnd"/>
      <w:r w:rsidRPr="00771E6E">
        <w:t xml:space="preserve"> and Isidore of Seville’s </w:t>
      </w:r>
      <w:proofErr w:type="spellStart"/>
      <w:r w:rsidRPr="00771E6E">
        <w:rPr>
          <w:i/>
        </w:rPr>
        <w:t>Etymologiae</w:t>
      </w:r>
      <w:proofErr w:type="spellEnd"/>
      <w:r w:rsidRPr="00771E6E">
        <w:t>, and from contemporary texts.</w:t>
      </w:r>
      <w:r w:rsidRPr="00771E6E">
        <w:rPr>
          <w:rStyle w:val="FootnoteReference"/>
        </w:rPr>
        <w:footnoteReference w:id="540"/>
      </w:r>
      <w:r w:rsidRPr="00771E6E">
        <w:rPr>
          <w:i/>
        </w:rPr>
        <w:t xml:space="preserve"> </w:t>
      </w:r>
      <w:r w:rsidRPr="00771E6E">
        <w:t xml:space="preserve">As Matteo Palmieri states, </w:t>
      </w:r>
    </w:p>
    <w:p w14:paraId="67A5420F" w14:textId="77777777" w:rsidR="00094F64" w:rsidRPr="00771E6E" w:rsidRDefault="00094F64" w:rsidP="00094F64">
      <w:pPr>
        <w:ind w:firstLine="720"/>
      </w:pPr>
    </w:p>
    <w:p w14:paraId="49E42964" w14:textId="77777777" w:rsidR="00094F64" w:rsidRPr="00771E6E" w:rsidRDefault="00094F64" w:rsidP="00094F64">
      <w:pPr>
        <w:pStyle w:val="IntenseQuote"/>
      </w:pPr>
      <w:r w:rsidRPr="00771E6E">
        <w:t>In youth, when one already knows good and evil … the two paths of the Y begin, that is to say of our life, in which time either men follow the straighter path, that is the one of virtue, or truly they go towards the flat and lower path of vice.</w:t>
      </w:r>
      <w:r w:rsidRPr="00771E6E">
        <w:rPr>
          <w:rStyle w:val="FootnoteReference"/>
        </w:rPr>
        <w:footnoteReference w:id="541"/>
      </w:r>
      <w:r w:rsidRPr="00771E6E">
        <w:t xml:space="preserve"> </w:t>
      </w:r>
    </w:p>
    <w:p w14:paraId="5114C967" w14:textId="77777777" w:rsidR="00094F64" w:rsidRPr="00771E6E" w:rsidRDefault="00094F64" w:rsidP="00094F64"/>
    <w:p w14:paraId="257F59B9" w14:textId="77777777" w:rsidR="00094F64" w:rsidRPr="00771E6E" w:rsidRDefault="00094F64" w:rsidP="00094F64">
      <w:r w:rsidRPr="00771E6E">
        <w:t xml:space="preserve">Mirror frames could also indirectly reference virtue, and virtuous </w:t>
      </w:r>
      <w:proofErr w:type="spellStart"/>
      <w:r w:rsidRPr="00771E6E">
        <w:t>behaviours</w:t>
      </w:r>
      <w:proofErr w:type="spellEnd"/>
      <w:r w:rsidRPr="00771E6E">
        <w:t>. As beauty was thought to be connected to virtue, mirror frames that included a beautiful female portrait became quite popular, providing an ideal model for female viewers to imitate (fig. 3.8).</w:t>
      </w:r>
      <w:r w:rsidRPr="00771E6E">
        <w:rPr>
          <w:rStyle w:val="FootnoteReference"/>
        </w:rPr>
        <w:footnoteReference w:id="542"/>
      </w:r>
      <w:r w:rsidRPr="00771E6E">
        <w:t xml:space="preserve"> In </w:t>
      </w:r>
      <w:proofErr w:type="spellStart"/>
      <w:r w:rsidRPr="00771E6E">
        <w:t>Marsilio</w:t>
      </w:r>
      <w:proofErr w:type="spellEnd"/>
      <w:r w:rsidRPr="00771E6E">
        <w:t xml:space="preserve"> Ficino’s words,</w:t>
      </w:r>
    </w:p>
    <w:p w14:paraId="21A1D7DD" w14:textId="77777777" w:rsidR="00094F64" w:rsidRPr="00771E6E" w:rsidRDefault="00094F64" w:rsidP="00094F64">
      <w:pPr>
        <w:ind w:firstLine="720"/>
      </w:pPr>
    </w:p>
    <w:p w14:paraId="58E301F7" w14:textId="77777777" w:rsidR="00094F64" w:rsidRPr="00771E6E" w:rsidRDefault="00094F64" w:rsidP="00094F64">
      <w:pPr>
        <w:pStyle w:val="IntenseQuote"/>
      </w:pPr>
      <w:r w:rsidRPr="00771E6E">
        <w:t xml:space="preserve">It is an internal perfection which produces the external. The former we call goodness, the latter beauty. For just this reason, we say that beauty is the blossom, so to speak, of goodness. By the allurements of this blossom, as though by a kind of bait, the latent interior goodness attracts all who see it. But since the cognition of our minds has its origin in the senses, we would never know the goodness hidden away in the inner nature of things, nor desire it, unless we were led to it by its </w:t>
      </w:r>
      <w:r w:rsidRPr="00771E6E">
        <w:lastRenderedPageBreak/>
        <w:t>manifestations in exterior appearance. In this fact is apparent the wonderful usefulness of this beauty and of [love, which is] its associate.</w:t>
      </w:r>
      <w:r w:rsidRPr="00771E6E">
        <w:rPr>
          <w:rStyle w:val="FootnoteReference"/>
        </w:rPr>
        <w:footnoteReference w:id="543"/>
      </w:r>
    </w:p>
    <w:p w14:paraId="17CF41EA" w14:textId="77777777" w:rsidR="00094F64" w:rsidRPr="00771E6E" w:rsidRDefault="00094F64" w:rsidP="00094F64"/>
    <w:p w14:paraId="0520780A" w14:textId="77777777" w:rsidR="00094F64" w:rsidRPr="00771E6E" w:rsidRDefault="00094F64" w:rsidP="00094F64">
      <w:r w:rsidRPr="00771E6E">
        <w:t xml:space="preserve">Beautiful women were not the only characters that could be present on the frames of mirrors, as they could also be decorated with various childlike figures. Flying spirits decorate the rim of a number of ivory mirrors from the beginning of the fifteenth century produced by the workshop of </w:t>
      </w:r>
      <w:proofErr w:type="spellStart"/>
      <w:r w:rsidRPr="00771E6E">
        <w:t>Baldassarre</w:t>
      </w:r>
      <w:proofErr w:type="spellEnd"/>
      <w:r w:rsidRPr="00771E6E">
        <w:t xml:space="preserve"> </w:t>
      </w:r>
      <w:proofErr w:type="spellStart"/>
      <w:r w:rsidRPr="00771E6E">
        <w:t>degli</w:t>
      </w:r>
      <w:proofErr w:type="spellEnd"/>
      <w:r w:rsidRPr="00771E6E">
        <w:t xml:space="preserve"> </w:t>
      </w:r>
      <w:proofErr w:type="spellStart"/>
      <w:r w:rsidRPr="00771E6E">
        <w:t>Embriachi</w:t>
      </w:r>
      <w:proofErr w:type="spellEnd"/>
      <w:r w:rsidRPr="00771E6E">
        <w:t xml:space="preserve">, one of which is now at the Walters Art Museum (fig. 3.9). In another example, two </w:t>
      </w:r>
      <w:r w:rsidRPr="00771E6E">
        <w:rPr>
          <w:i/>
        </w:rPr>
        <w:t>putti</w:t>
      </w:r>
      <w:r w:rsidRPr="00771E6E">
        <w:t xml:space="preserve"> holding an unidentified shield can be seen at the base of a stucco mirror frame from Palazzo </w:t>
      </w:r>
      <w:proofErr w:type="spellStart"/>
      <w:r w:rsidRPr="00771E6E">
        <w:t>Davanzati</w:t>
      </w:r>
      <w:proofErr w:type="spellEnd"/>
      <w:r w:rsidRPr="00771E6E">
        <w:t xml:space="preserve"> in Florence, which may have been produced by the workshop of Benedetto da </w:t>
      </w:r>
      <w:proofErr w:type="spellStart"/>
      <w:r w:rsidRPr="00771E6E">
        <w:t>Maiano</w:t>
      </w:r>
      <w:proofErr w:type="spellEnd"/>
      <w:r w:rsidRPr="00771E6E">
        <w:t>, around 1480, now kept in the Metropolitan Museum in New York (fig. 3.10).</w:t>
      </w:r>
      <w:r w:rsidRPr="00771E6E">
        <w:rPr>
          <w:rStyle w:val="FootnoteReference"/>
        </w:rPr>
        <w:footnoteReference w:id="544"/>
      </w:r>
      <w:r w:rsidRPr="00771E6E">
        <w:t xml:space="preserve"> These figures, which would have reminded viewers of angels in much the same way as described in Chapter 2.1, could be considered to hold similar moralistic functions, reminding the viewer to reflect upon their own virtuousness while their own image was reflected back to them in the mirror itself.</w:t>
      </w:r>
    </w:p>
    <w:p w14:paraId="49A9DCCB" w14:textId="77777777" w:rsidR="00094F64" w:rsidRPr="00771E6E" w:rsidRDefault="00094F64" w:rsidP="00094F64">
      <w:pPr>
        <w:ind w:firstLine="720"/>
      </w:pPr>
      <w:r w:rsidRPr="00771E6E">
        <w:t xml:space="preserve">In addition to the many similarities between </w:t>
      </w:r>
      <w:r w:rsidRPr="00771E6E">
        <w:rPr>
          <w:i/>
        </w:rPr>
        <w:t xml:space="preserve">tondi </w:t>
      </w:r>
      <w:r w:rsidRPr="00771E6E">
        <w:t xml:space="preserve">and mirrors already discussed, the subjects most frequently painted upon these circular paintings were also regularly associated with mirrors. For example, the Virgin Mary herself was traditionally described as </w:t>
      </w:r>
      <w:r w:rsidRPr="00771E6E">
        <w:rPr>
          <w:i/>
        </w:rPr>
        <w:t xml:space="preserve">speculum </w:t>
      </w:r>
      <w:proofErr w:type="spellStart"/>
      <w:r w:rsidRPr="00771E6E">
        <w:rPr>
          <w:i/>
        </w:rPr>
        <w:t>immacolatum</w:t>
      </w:r>
      <w:proofErr w:type="spellEnd"/>
      <w:r w:rsidRPr="00771E6E">
        <w:t xml:space="preserve"> and </w:t>
      </w:r>
      <w:r w:rsidRPr="00771E6E">
        <w:rPr>
          <w:i/>
        </w:rPr>
        <w:t>speculum sine macula</w:t>
      </w:r>
      <w:r w:rsidRPr="00771E6E">
        <w:t xml:space="preserve"> (a mirror without sin), with reference to her purity and perfection.</w:t>
      </w:r>
      <w:r w:rsidRPr="00771E6E">
        <w:rPr>
          <w:rStyle w:val="FootnoteReference"/>
        </w:rPr>
        <w:footnoteReference w:id="545"/>
      </w:r>
      <w:r w:rsidRPr="00771E6E">
        <w:t xml:space="preserve"> Being considered the personification of wisdom, she was attributed the words with which the apocryphal Book of Wisdom describes wisdom itself: “She’s the brightness that shines forth from eternal light. She’s a mirror that flawlessly reflects God’s activity. She’s the perfect image of God’s goodness.”</w:t>
      </w:r>
      <w:r w:rsidRPr="00771E6E">
        <w:rPr>
          <w:rStyle w:val="FootnoteReference"/>
        </w:rPr>
        <w:footnoteReference w:id="546"/>
      </w:r>
      <w:r w:rsidRPr="00771E6E">
        <w:t xml:space="preserve"> Jacobus de </w:t>
      </w:r>
      <w:proofErr w:type="spellStart"/>
      <w:r w:rsidRPr="00771E6E">
        <w:t>Voragine</w:t>
      </w:r>
      <w:proofErr w:type="spellEnd"/>
      <w:r w:rsidRPr="00771E6E">
        <w:t xml:space="preserve">, in his </w:t>
      </w:r>
      <w:proofErr w:type="spellStart"/>
      <w:r w:rsidRPr="00771E6E">
        <w:rPr>
          <w:i/>
        </w:rPr>
        <w:t>Mariale</w:t>
      </w:r>
      <w:proofErr w:type="spellEnd"/>
      <w:r w:rsidRPr="00771E6E">
        <w:t xml:space="preserve"> (written after 1255) even affirms:</w:t>
      </w:r>
    </w:p>
    <w:p w14:paraId="14882453" w14:textId="77777777" w:rsidR="00094F64" w:rsidRPr="00771E6E" w:rsidRDefault="00094F64" w:rsidP="00094F64">
      <w:pPr>
        <w:ind w:firstLine="720"/>
      </w:pPr>
    </w:p>
    <w:p w14:paraId="45E6500E" w14:textId="77777777" w:rsidR="00094F64" w:rsidRPr="00771E6E" w:rsidRDefault="00094F64" w:rsidP="00094F64">
      <w:pPr>
        <w:pStyle w:val="IntenseQuote"/>
      </w:pPr>
      <w:r w:rsidRPr="00771E6E">
        <w:t xml:space="preserve">For as all things are reflected from a mirror, so in the blessed Virgin, as the mirror of God, ought all to see their impurities and spots, and purify and correct them, for </w:t>
      </w:r>
      <w:r w:rsidRPr="00771E6E">
        <w:lastRenderedPageBreak/>
        <w:t>the proud, beholding her humility see their blemishes, the avaricious see theirs in her poverty, the lovers of pleasure theirs in her virginity.</w:t>
      </w:r>
      <w:r w:rsidRPr="00771E6E">
        <w:rPr>
          <w:rStyle w:val="FootnoteReference"/>
        </w:rPr>
        <w:footnoteReference w:id="547"/>
      </w:r>
    </w:p>
    <w:p w14:paraId="2F9A0300" w14:textId="77777777" w:rsidR="00094F64" w:rsidRPr="00771E6E" w:rsidRDefault="00094F64" w:rsidP="00094F64"/>
    <w:p w14:paraId="4271EFA4" w14:textId="77777777" w:rsidR="00094F64" w:rsidRPr="00771E6E" w:rsidRDefault="00094F64" w:rsidP="00094F64">
      <w:r w:rsidRPr="00771E6E">
        <w:t xml:space="preserve">In this way, by looking at depictions of the Virgin Mary, one would have been able to adjust their </w:t>
      </w:r>
      <w:proofErr w:type="spellStart"/>
      <w:r w:rsidRPr="00771E6E">
        <w:t>behaviour</w:t>
      </w:r>
      <w:proofErr w:type="spellEnd"/>
      <w:r w:rsidRPr="00771E6E">
        <w:t xml:space="preserve">, and model it according to her perfection. As well as the Virgin Mary, angels, usually depicted alongside her, could be described as mirrors. Jacobus de </w:t>
      </w:r>
      <w:proofErr w:type="spellStart"/>
      <w:r w:rsidRPr="00771E6E">
        <w:t>Voragine</w:t>
      </w:r>
      <w:proofErr w:type="spellEnd"/>
      <w:r w:rsidRPr="00771E6E">
        <w:t xml:space="preserve">, in his </w:t>
      </w:r>
      <w:r w:rsidRPr="00771E6E">
        <w:rPr>
          <w:i/>
        </w:rPr>
        <w:t>Golden Legend</w:t>
      </w:r>
      <w:r w:rsidRPr="00771E6E">
        <w:t xml:space="preserve">, while quoting Pseudo-Dionysus’ book </w:t>
      </w:r>
      <w:r w:rsidRPr="00771E6E">
        <w:rPr>
          <w:i/>
        </w:rPr>
        <w:t xml:space="preserve">De </w:t>
      </w:r>
      <w:proofErr w:type="spellStart"/>
      <w:r w:rsidRPr="00771E6E">
        <w:rPr>
          <w:i/>
        </w:rPr>
        <w:t>divinis</w:t>
      </w:r>
      <w:proofErr w:type="spellEnd"/>
      <w:r w:rsidRPr="00771E6E">
        <w:rPr>
          <w:i/>
        </w:rPr>
        <w:t xml:space="preserve"> </w:t>
      </w:r>
      <w:proofErr w:type="spellStart"/>
      <w:r w:rsidRPr="00771E6E">
        <w:rPr>
          <w:i/>
        </w:rPr>
        <w:t>nominibus</w:t>
      </w:r>
      <w:proofErr w:type="spellEnd"/>
      <w:r w:rsidRPr="00771E6E">
        <w:rPr>
          <w:i/>
        </w:rPr>
        <w:t xml:space="preserve"> </w:t>
      </w:r>
      <w:r w:rsidRPr="00771E6E">
        <w:t>(On the Divine Names), states that “the angel is a manifestation of the hidden light, a mirror pure, brilliant, uncontaminated, undefiled, unspotted, receiving, if it be allowable so to speak, the beauty of the ‘</w:t>
      </w:r>
      <w:proofErr w:type="spellStart"/>
      <w:r w:rsidRPr="00771E6E">
        <w:t>boniform</w:t>
      </w:r>
      <w:proofErr w:type="spellEnd"/>
      <w:r w:rsidRPr="00771E6E">
        <w:t xml:space="preserve"> </w:t>
      </w:r>
      <w:proofErr w:type="spellStart"/>
      <w:r w:rsidRPr="00771E6E">
        <w:t>deiformity</w:t>
      </w:r>
      <w:proofErr w:type="spellEnd"/>
      <w:r w:rsidRPr="00771E6E">
        <w:t>’ of God,” thus defining angels as the mirror of God’s beauty.</w:t>
      </w:r>
      <w:r w:rsidRPr="00771E6E">
        <w:rPr>
          <w:rStyle w:val="FootnoteReference"/>
        </w:rPr>
        <w:footnoteReference w:id="548"/>
      </w:r>
      <w:r w:rsidRPr="00771E6E">
        <w:rPr>
          <w:rStyle w:val="CommentReference"/>
        </w:rPr>
        <w:t xml:space="preserve"> </w:t>
      </w:r>
    </w:p>
    <w:p w14:paraId="28033BD9" w14:textId="77777777" w:rsidR="00094F64" w:rsidRPr="00771E6E" w:rsidRDefault="00094F64" w:rsidP="00094F64">
      <w:pPr>
        <w:ind w:firstLine="720"/>
      </w:pPr>
      <w:r w:rsidRPr="00771E6E">
        <w:t xml:space="preserve">Through the examples presented, it is clear that </w:t>
      </w:r>
      <w:r w:rsidRPr="00771E6E">
        <w:rPr>
          <w:i/>
        </w:rPr>
        <w:t>tondi</w:t>
      </w:r>
      <w:r w:rsidRPr="00771E6E">
        <w:t xml:space="preserve"> and mirrors share many similarities, and indeed would have often been in close proximity within the same domestic spaces. They would have acted in tandem to influence their viewers, who would have been encouraged to reflect upon themselves in both – literally, in the real mirror, and moralistically when viewing </w:t>
      </w:r>
      <w:r w:rsidRPr="00771E6E">
        <w:rPr>
          <w:i/>
        </w:rPr>
        <w:t>tondi</w:t>
      </w:r>
      <w:r w:rsidRPr="00771E6E">
        <w:t>. Their presence within the home was also highly significant, as personal piety would have offered the greatest opportunity for this type of self-reflection.</w:t>
      </w:r>
    </w:p>
    <w:p w14:paraId="1F1BC26F" w14:textId="77777777" w:rsidR="00094F64" w:rsidRPr="00771E6E" w:rsidRDefault="00094F64" w:rsidP="00094F64">
      <w:pPr>
        <w:ind w:firstLine="720"/>
      </w:pPr>
      <w:r w:rsidRPr="00771E6E">
        <w:t xml:space="preserve">Roberta Olson has argued compellingly that the subjects depicted on a </w:t>
      </w:r>
      <w:r w:rsidRPr="00771E6E">
        <w:rPr>
          <w:i/>
        </w:rPr>
        <w:t>tondo</w:t>
      </w:r>
      <w:r w:rsidRPr="00771E6E">
        <w:t xml:space="preserve"> acted as role models for the conduct of the viewers, and </w:t>
      </w:r>
      <w:r w:rsidR="00A71893" w:rsidRPr="00771E6E">
        <w:t xml:space="preserve">among these she </w:t>
      </w:r>
      <w:r w:rsidRPr="00771E6E">
        <w:t>includes</w:t>
      </w:r>
      <w:r w:rsidR="00A71893" w:rsidRPr="00771E6E">
        <w:t xml:space="preserve"> examples of</w:t>
      </w:r>
      <w:r w:rsidRPr="00771E6E">
        <w:t xml:space="preserve"> </w:t>
      </w:r>
      <w:r w:rsidRPr="00771E6E">
        <w:rPr>
          <w:i/>
        </w:rPr>
        <w:t>tondi</w:t>
      </w:r>
      <w:r w:rsidRPr="00771E6E">
        <w:t xml:space="preserve"> depicting the Virgin Mary holding a devotional book.</w:t>
      </w:r>
      <w:r w:rsidRPr="00771E6E">
        <w:rPr>
          <w:rStyle w:val="FootnoteReference"/>
        </w:rPr>
        <w:footnoteReference w:id="549"/>
      </w:r>
      <w:r w:rsidRPr="00771E6E">
        <w:t xml:space="preserve"> These depictions were likely intended to stimulate the reading of sacred texts as part of one’s personal piety. As angels are the second most common subject in </w:t>
      </w:r>
      <w:r w:rsidRPr="00771E6E">
        <w:rPr>
          <w:i/>
        </w:rPr>
        <w:t>tondi</w:t>
      </w:r>
      <w:r w:rsidRPr="00771E6E">
        <w:t xml:space="preserve">, after the Virgin and Child, they too would have provided a source of inspiration for viewers, who were encouraged to emulate their devotional activity. </w:t>
      </w:r>
    </w:p>
    <w:p w14:paraId="06FEE48F" w14:textId="122CF546" w:rsidR="00094F64" w:rsidRPr="00771E6E" w:rsidRDefault="00094F64" w:rsidP="00094F64"/>
    <w:p w14:paraId="61CA2A69" w14:textId="77777777" w:rsidR="00182EED" w:rsidRPr="00771E6E" w:rsidRDefault="00182EED" w:rsidP="00094F64"/>
    <w:p w14:paraId="5073A18B" w14:textId="77777777" w:rsidR="00094F64" w:rsidRPr="00771E6E" w:rsidRDefault="00094F64" w:rsidP="00094F64">
      <w:pPr>
        <w:pStyle w:val="Heading3"/>
      </w:pPr>
      <w:bookmarkStart w:id="59" w:name="_Toc4323757"/>
      <w:bookmarkStart w:id="60" w:name="_Toc20167609"/>
      <w:r w:rsidRPr="00771E6E">
        <w:t>3.1.2. Deschi da Parto, Maiolica Dishes and Metal Roundels</w:t>
      </w:r>
      <w:bookmarkEnd w:id="59"/>
      <w:bookmarkEnd w:id="60"/>
    </w:p>
    <w:p w14:paraId="7F093AEB" w14:textId="77777777" w:rsidR="00094F64" w:rsidRPr="00771E6E" w:rsidRDefault="00094F64" w:rsidP="00094F64"/>
    <w:p w14:paraId="20263904" w14:textId="77777777" w:rsidR="00094F64" w:rsidRPr="00771E6E" w:rsidRDefault="00094F64" w:rsidP="00094F64">
      <w:r w:rsidRPr="00771E6E">
        <w:rPr>
          <w:i/>
        </w:rPr>
        <w:t>Tondi</w:t>
      </w:r>
      <w:r w:rsidRPr="00771E6E">
        <w:t xml:space="preserve"> were not the only circular object in a house that would have had a moralistic function. In this section we will see how </w:t>
      </w:r>
      <w:r w:rsidRPr="00771E6E">
        <w:rPr>
          <w:i/>
        </w:rPr>
        <w:t>deschi da parto</w:t>
      </w:r>
      <w:r w:rsidRPr="00771E6E">
        <w:t xml:space="preserve">, maiolica dishes and metal roundels could have performed a similar role to that discussed in relation to </w:t>
      </w:r>
      <w:r w:rsidRPr="00771E6E">
        <w:rPr>
          <w:i/>
        </w:rPr>
        <w:t xml:space="preserve">tondi </w:t>
      </w:r>
      <w:r w:rsidRPr="00771E6E">
        <w:t xml:space="preserve">in the previous section, and, in particular, how the figures depicted on them could have been used as </w:t>
      </w:r>
      <w:proofErr w:type="spellStart"/>
      <w:r w:rsidRPr="00771E6E">
        <w:t>moralising</w:t>
      </w:r>
      <w:proofErr w:type="spellEnd"/>
      <w:r w:rsidRPr="00771E6E">
        <w:t xml:space="preserve"> examples which viewers would have been expected to imitate, in much the same way as discussed in Chapter 1.4.</w:t>
      </w:r>
    </w:p>
    <w:p w14:paraId="75661ACD" w14:textId="77777777" w:rsidR="00094F64" w:rsidRPr="00771E6E" w:rsidRDefault="00094F64" w:rsidP="00094F64">
      <w:pPr>
        <w:ind w:firstLine="720"/>
      </w:pPr>
      <w:r w:rsidRPr="00771E6E">
        <w:rPr>
          <w:i/>
        </w:rPr>
        <w:t>Deschi da parto</w:t>
      </w:r>
      <w:r w:rsidRPr="00771E6E">
        <w:t xml:space="preserve"> (birth trays) are described by Vasari as a “round on which people bring the women in </w:t>
      </w:r>
      <w:proofErr w:type="spellStart"/>
      <w:r w:rsidRPr="00771E6E">
        <w:t>labour</w:t>
      </w:r>
      <w:proofErr w:type="spellEnd"/>
      <w:r w:rsidRPr="00771E6E">
        <w:t xml:space="preserve"> something to eat.”</w:t>
      </w:r>
      <w:r w:rsidRPr="00771E6E">
        <w:rPr>
          <w:rStyle w:val="FootnoteReference"/>
        </w:rPr>
        <w:footnoteReference w:id="550"/>
      </w:r>
      <w:r w:rsidRPr="00771E6E">
        <w:t xml:space="preserve"> Both sides of these trays were painted, and the depictions upon them are often considered to be a message for married couples, especially for female viewers, encouraging procreation and childbearing.</w:t>
      </w:r>
      <w:r w:rsidRPr="00771E6E">
        <w:rPr>
          <w:rStyle w:val="FootnoteReference"/>
        </w:rPr>
        <w:footnoteReference w:id="551"/>
      </w:r>
      <w:r w:rsidRPr="00771E6E">
        <w:t xml:space="preserve"> These childbirth objects, which served both functional and decorative purposes, were popular among most social classes and could also be purchased at second-hand markets. A likely example of this is the </w:t>
      </w:r>
      <w:r w:rsidRPr="00771E6E">
        <w:rPr>
          <w:i/>
        </w:rPr>
        <w:t>desco</w:t>
      </w:r>
      <w:r w:rsidRPr="00771E6E">
        <w:t xml:space="preserve"> with the </w:t>
      </w:r>
      <w:r w:rsidRPr="00771E6E">
        <w:rPr>
          <w:i/>
        </w:rPr>
        <w:t>Triumph of Love</w:t>
      </w:r>
      <w:r w:rsidRPr="00771E6E">
        <w:t xml:space="preserve"> kept at the Victoria and Albert Museum, the coats of arms on the reverse of which have been repainted, probably to replace them with those of the later owner.</w:t>
      </w:r>
      <w:r w:rsidRPr="00771E6E">
        <w:rPr>
          <w:rStyle w:val="FootnoteReference"/>
        </w:rPr>
        <w:footnoteReference w:id="552"/>
      </w:r>
      <w:r w:rsidRPr="00771E6E">
        <w:t xml:space="preserve"> Although most trays were workshop production, made for sale on the open market, in some cases they could be commissioned for a specific birth, such as the tray with the </w:t>
      </w:r>
      <w:r w:rsidRPr="00771E6E">
        <w:rPr>
          <w:i/>
        </w:rPr>
        <w:t>Triumph of Fame</w:t>
      </w:r>
      <w:r w:rsidRPr="00771E6E">
        <w:t xml:space="preserve"> commissioned for the birth of Lorenzo </w:t>
      </w:r>
      <w:proofErr w:type="spellStart"/>
      <w:r w:rsidRPr="00771E6E">
        <w:t>il</w:t>
      </w:r>
      <w:proofErr w:type="spellEnd"/>
      <w:r w:rsidRPr="00771E6E">
        <w:t xml:space="preserve"> Magnifico, which shows some traces of a broken hook at the top of the reverse </w:t>
      </w:r>
      <w:proofErr w:type="spellStart"/>
      <w:r w:rsidRPr="00771E6E">
        <w:t>moulding</w:t>
      </w:r>
      <w:proofErr w:type="spellEnd"/>
      <w:r w:rsidRPr="00771E6E">
        <w:t xml:space="preserve"> frame and which was reported as hanging in Lorenzo’s room in the inventory carried out at his death in 1492.</w:t>
      </w:r>
      <w:r w:rsidRPr="00771E6E">
        <w:rPr>
          <w:rStyle w:val="FootnoteReference"/>
        </w:rPr>
        <w:footnoteReference w:id="553"/>
      </w:r>
    </w:p>
    <w:p w14:paraId="691F2E32" w14:textId="77777777" w:rsidR="00094F64" w:rsidRPr="00771E6E" w:rsidRDefault="00094F64" w:rsidP="00094F64">
      <w:pPr>
        <w:ind w:firstLine="720"/>
      </w:pPr>
      <w:r w:rsidRPr="00771E6E">
        <w:rPr>
          <w:i/>
        </w:rPr>
        <w:t>Deschi da parto</w:t>
      </w:r>
      <w:r w:rsidRPr="00771E6E">
        <w:t xml:space="preserve"> can be seen as a predecessor of the </w:t>
      </w:r>
      <w:r w:rsidRPr="00771E6E">
        <w:rPr>
          <w:i/>
        </w:rPr>
        <w:t>tondo</w:t>
      </w:r>
      <w:r w:rsidRPr="00771E6E">
        <w:t xml:space="preserve">, as they both share a similar shape (although </w:t>
      </w:r>
      <w:r w:rsidRPr="00771E6E">
        <w:rPr>
          <w:i/>
        </w:rPr>
        <w:t>deschi</w:t>
      </w:r>
      <w:r w:rsidRPr="00771E6E">
        <w:t xml:space="preserve"> were mostly multisided rather than circular), were both present in domestic settings, and enjoyed a similar didactic purpose.</w:t>
      </w:r>
      <w:r w:rsidRPr="00771E6E">
        <w:rPr>
          <w:rStyle w:val="FootnoteReference"/>
        </w:rPr>
        <w:footnoteReference w:id="554"/>
      </w:r>
      <w:r w:rsidRPr="00771E6E">
        <w:t xml:space="preserve"> In addition to this, </w:t>
      </w:r>
      <w:r w:rsidRPr="00771E6E">
        <w:lastRenderedPageBreak/>
        <w:t>even the terminology used to describe these two objects was sometimes combined in inventory records, such as in an inventory compiled in 1472 which reports “1</w:t>
      </w:r>
      <w:r w:rsidRPr="00771E6E">
        <w:rPr>
          <w:vertAlign w:val="superscript"/>
        </w:rPr>
        <w:t xml:space="preserve">o </w:t>
      </w:r>
      <w:r w:rsidRPr="00771E6E">
        <w:t>tondo d[</w:t>
      </w:r>
      <w:proofErr w:type="spellStart"/>
      <w:r w:rsidRPr="00771E6E">
        <w:t>i</w:t>
      </w:r>
      <w:proofErr w:type="spellEnd"/>
      <w:r w:rsidRPr="00771E6E">
        <w:t xml:space="preserve">]pinto da donna d[a]parto” (one painted </w:t>
      </w:r>
      <w:r w:rsidRPr="00771E6E">
        <w:rPr>
          <w:i/>
        </w:rPr>
        <w:t>tondo</w:t>
      </w:r>
      <w:r w:rsidRPr="00771E6E">
        <w:t xml:space="preserve"> for women who gave birth).</w:t>
      </w:r>
      <w:r w:rsidRPr="00771E6E">
        <w:rPr>
          <w:rStyle w:val="FootnoteReference"/>
        </w:rPr>
        <w:footnoteReference w:id="555"/>
      </w:r>
      <w:r w:rsidRPr="00771E6E">
        <w:t xml:space="preserve"> </w:t>
      </w:r>
    </w:p>
    <w:p w14:paraId="6C3C1A97" w14:textId="77777777" w:rsidR="00094F64" w:rsidRPr="00771E6E" w:rsidRDefault="00094F64" w:rsidP="00094F64">
      <w:pPr>
        <w:ind w:firstLine="720"/>
      </w:pPr>
      <w:r w:rsidRPr="00771E6E">
        <w:t xml:space="preserve">Although the scenes depicted in </w:t>
      </w:r>
      <w:r w:rsidRPr="00771E6E">
        <w:rPr>
          <w:i/>
        </w:rPr>
        <w:t xml:space="preserve">deschi </w:t>
      </w:r>
      <w:r w:rsidRPr="00771E6E">
        <w:t xml:space="preserve">and </w:t>
      </w:r>
      <w:r w:rsidRPr="00771E6E">
        <w:rPr>
          <w:i/>
        </w:rPr>
        <w:t xml:space="preserve">tondi </w:t>
      </w:r>
      <w:r w:rsidRPr="00771E6E">
        <w:t xml:space="preserve">might at first sight appear to be very different (often secular in the former, devotional in the latter), one can see that the figures painted on </w:t>
      </w:r>
      <w:r w:rsidRPr="00771E6E">
        <w:rPr>
          <w:i/>
        </w:rPr>
        <w:t>tondi</w:t>
      </w:r>
      <w:r w:rsidRPr="00771E6E">
        <w:t xml:space="preserve"> may in fact be a development of the ones in </w:t>
      </w:r>
      <w:r w:rsidRPr="00771E6E">
        <w:rPr>
          <w:i/>
        </w:rPr>
        <w:t>deschi</w:t>
      </w:r>
      <w:r w:rsidRPr="00771E6E">
        <w:t xml:space="preserve">. The encouragement to procreate found in secular scenes of nativity on </w:t>
      </w:r>
      <w:r w:rsidRPr="00771E6E">
        <w:rPr>
          <w:i/>
        </w:rPr>
        <w:t>deschi</w:t>
      </w:r>
      <w:r w:rsidRPr="00771E6E">
        <w:t xml:space="preserve"> is replaced by the intimate relationship between the Virgin and Child as mother and son in </w:t>
      </w:r>
      <w:r w:rsidRPr="00771E6E">
        <w:rPr>
          <w:i/>
        </w:rPr>
        <w:t>tondi</w:t>
      </w:r>
      <w:r w:rsidRPr="00771E6E">
        <w:t xml:space="preserve">. The confinement scenes often painted on birth trays also present an additional layer of meaning, as they were very similar to the depictions of sacred births that could be seen in churches. Clear examples of this can be seen in the </w:t>
      </w:r>
      <w:r w:rsidRPr="00771E6E">
        <w:rPr>
          <w:i/>
        </w:rPr>
        <w:t>Birth of the Virgin</w:t>
      </w:r>
      <w:r w:rsidRPr="00771E6E">
        <w:t xml:space="preserve"> and the </w:t>
      </w:r>
      <w:r w:rsidRPr="00771E6E">
        <w:rPr>
          <w:i/>
        </w:rPr>
        <w:t>Birth of Saint John the Baptist</w:t>
      </w:r>
      <w:r w:rsidRPr="00771E6E">
        <w:t xml:space="preserve"> by Domenico Ghirlandaio in the Tornabuoni chapel, in the church of Santa Maria Novella in Florence, in which the scenes are presented as if they were taking place in a contemporary setting, including carefully represented Renaissance clothing.</w:t>
      </w:r>
      <w:r w:rsidRPr="00771E6E">
        <w:rPr>
          <w:rStyle w:val="FootnoteReference"/>
        </w:rPr>
        <w:footnoteReference w:id="556"/>
      </w:r>
      <w:r w:rsidRPr="00771E6E">
        <w:t xml:space="preserve"> Updating this scene so that it took place in a </w:t>
      </w:r>
      <w:proofErr w:type="spellStart"/>
      <w:r w:rsidRPr="00771E6E">
        <w:t>recognisable</w:t>
      </w:r>
      <w:proofErr w:type="spellEnd"/>
      <w:r w:rsidRPr="00771E6E">
        <w:t xml:space="preserve"> setting would doubtless have been designed to make the scene more familiar to its intended audience, which would have made it easier for them to relate to the images depicted.</w:t>
      </w:r>
    </w:p>
    <w:p w14:paraId="58D4F84F" w14:textId="77777777" w:rsidR="00094F64" w:rsidRPr="00771E6E" w:rsidRDefault="00094F64" w:rsidP="00094F64">
      <w:pPr>
        <w:ind w:firstLine="720"/>
      </w:pPr>
      <w:r w:rsidRPr="00771E6E">
        <w:t xml:space="preserve">In addition, Roberta Olson has noted that the </w:t>
      </w:r>
      <w:r w:rsidRPr="00771E6E">
        <w:rPr>
          <w:i/>
        </w:rPr>
        <w:t>putti</w:t>
      </w:r>
      <w:r w:rsidRPr="00771E6E">
        <w:t xml:space="preserve"> on the reverse of </w:t>
      </w:r>
      <w:r w:rsidRPr="00771E6E">
        <w:rPr>
          <w:i/>
        </w:rPr>
        <w:t>deschi</w:t>
      </w:r>
      <w:r w:rsidRPr="00771E6E">
        <w:t xml:space="preserve"> recall images of the Infant Christ in </w:t>
      </w:r>
      <w:r w:rsidRPr="00771E6E">
        <w:rPr>
          <w:i/>
        </w:rPr>
        <w:t>tondi</w:t>
      </w:r>
      <w:r w:rsidRPr="00771E6E">
        <w:t>, something that is undoubtedly also true of depictions of the young Saint John the Baptist.</w:t>
      </w:r>
      <w:r w:rsidRPr="00771E6E">
        <w:rPr>
          <w:rStyle w:val="FootnoteReference"/>
        </w:rPr>
        <w:footnoteReference w:id="557"/>
      </w:r>
      <w:r w:rsidRPr="00771E6E">
        <w:t xml:space="preserve"> As seen in </w:t>
      </w:r>
      <w:r w:rsidR="00ED00D2" w:rsidRPr="00771E6E">
        <w:t>C</w:t>
      </w:r>
      <w:r w:rsidRPr="00771E6E">
        <w:t xml:space="preserve">hapter 2, </w:t>
      </w:r>
      <w:r w:rsidRPr="00771E6E">
        <w:rPr>
          <w:i/>
        </w:rPr>
        <w:t>putti</w:t>
      </w:r>
      <w:r w:rsidRPr="00771E6E">
        <w:t xml:space="preserve"> can also be associated with angels, another type of figure often found in </w:t>
      </w:r>
      <w:r w:rsidRPr="00771E6E">
        <w:rPr>
          <w:i/>
        </w:rPr>
        <w:t>tondi</w:t>
      </w:r>
      <w:r w:rsidRPr="00771E6E">
        <w:t xml:space="preserve">, with both having descended from classical figures of </w:t>
      </w:r>
      <w:proofErr w:type="spellStart"/>
      <w:r w:rsidRPr="00771E6E">
        <w:rPr>
          <w:i/>
        </w:rPr>
        <w:t>erotes</w:t>
      </w:r>
      <w:proofErr w:type="spellEnd"/>
      <w:r w:rsidRPr="00771E6E">
        <w:t xml:space="preserve"> or </w:t>
      </w:r>
      <w:proofErr w:type="spellStart"/>
      <w:r w:rsidRPr="00771E6E">
        <w:rPr>
          <w:i/>
        </w:rPr>
        <w:t>amorini</w:t>
      </w:r>
      <w:proofErr w:type="spellEnd"/>
      <w:r w:rsidRPr="00771E6E">
        <w:t xml:space="preserve">. As such, a parallel can be established between the </w:t>
      </w:r>
      <w:r w:rsidRPr="00771E6E">
        <w:rPr>
          <w:i/>
        </w:rPr>
        <w:t xml:space="preserve">putti </w:t>
      </w:r>
      <w:r w:rsidRPr="00771E6E">
        <w:t xml:space="preserve">on the reverse of </w:t>
      </w:r>
      <w:r w:rsidRPr="00771E6E">
        <w:rPr>
          <w:i/>
        </w:rPr>
        <w:t>deschi</w:t>
      </w:r>
      <w:r w:rsidRPr="00771E6E">
        <w:t xml:space="preserve"> and the angels in </w:t>
      </w:r>
      <w:r w:rsidRPr="00771E6E">
        <w:rPr>
          <w:i/>
        </w:rPr>
        <w:t>tondi</w:t>
      </w:r>
      <w:r w:rsidRPr="00771E6E">
        <w:t xml:space="preserve">. However, while the former </w:t>
      </w:r>
      <w:proofErr w:type="gramStart"/>
      <w:r w:rsidRPr="00771E6E">
        <w:t>were</w:t>
      </w:r>
      <w:proofErr w:type="gramEnd"/>
      <w:r w:rsidRPr="00771E6E">
        <w:t xml:space="preserve"> usually relegated to the reverse of the panel, angels gained a place on the obverse in </w:t>
      </w:r>
      <w:r w:rsidRPr="00771E6E">
        <w:rPr>
          <w:i/>
        </w:rPr>
        <w:t>tondi</w:t>
      </w:r>
      <w:r w:rsidRPr="00771E6E">
        <w:t xml:space="preserve"> (with this, of course, being the only painted side). </w:t>
      </w:r>
    </w:p>
    <w:p w14:paraId="7D46C670" w14:textId="77777777" w:rsidR="00094F64" w:rsidRPr="00771E6E" w:rsidRDefault="00094F64" w:rsidP="00094F64">
      <w:pPr>
        <w:ind w:firstLine="720"/>
      </w:pPr>
      <w:r w:rsidRPr="00771E6E">
        <w:rPr>
          <w:i/>
        </w:rPr>
        <w:t>Tondi</w:t>
      </w:r>
      <w:r w:rsidRPr="00771E6E">
        <w:t xml:space="preserve"> and </w:t>
      </w:r>
      <w:r w:rsidRPr="00771E6E">
        <w:rPr>
          <w:i/>
        </w:rPr>
        <w:t>deschi da parto</w:t>
      </w:r>
      <w:r w:rsidRPr="00771E6E">
        <w:t xml:space="preserve"> therefore have the presence of childlike figures in common. Moreover, in both, musical attributes are often added to these figures. A </w:t>
      </w:r>
      <w:r w:rsidRPr="00771E6E">
        <w:rPr>
          <w:i/>
        </w:rPr>
        <w:t>desco</w:t>
      </w:r>
      <w:r w:rsidRPr="00771E6E">
        <w:t xml:space="preserve"> attributed to Domenico di </w:t>
      </w:r>
      <w:proofErr w:type="spellStart"/>
      <w:r w:rsidRPr="00771E6E">
        <w:t>Bartolo</w:t>
      </w:r>
      <w:proofErr w:type="spellEnd"/>
      <w:r w:rsidRPr="00771E6E">
        <w:t xml:space="preserve"> or to Carlo di Giovanni (ca. 1450) has a scene of nativity on the obverse, while, on the reverse, two </w:t>
      </w:r>
      <w:r w:rsidRPr="00771E6E">
        <w:rPr>
          <w:i/>
        </w:rPr>
        <w:t>putti</w:t>
      </w:r>
      <w:r w:rsidRPr="00771E6E">
        <w:t xml:space="preserve"> engage with musical activity: one is singing </w:t>
      </w:r>
      <w:r w:rsidRPr="00771E6E">
        <w:lastRenderedPageBreak/>
        <w:t>and the other is playing the tambourine (fig. 3.11).</w:t>
      </w:r>
      <w:r w:rsidRPr="00771E6E">
        <w:rPr>
          <w:rStyle w:val="FootnoteReference"/>
        </w:rPr>
        <w:footnoteReference w:id="558"/>
      </w:r>
      <w:r w:rsidRPr="00771E6E">
        <w:t xml:space="preserve"> These </w:t>
      </w:r>
      <w:r w:rsidRPr="00771E6E">
        <w:rPr>
          <w:i/>
        </w:rPr>
        <w:t>putti</w:t>
      </w:r>
      <w:r w:rsidRPr="00771E6E">
        <w:t xml:space="preserve"> are wingless, and as such they closely resemble ordinary children. They seem to be the continuation of the scene on the front: there, a child is born, while here he is some years older, making music.</w:t>
      </w:r>
    </w:p>
    <w:p w14:paraId="1F37AB6E" w14:textId="77777777" w:rsidR="00094F64" w:rsidRPr="00771E6E" w:rsidRDefault="00094F64" w:rsidP="00094F64">
      <w:pPr>
        <w:ind w:firstLine="720"/>
      </w:pPr>
      <w:r w:rsidRPr="00771E6E">
        <w:t xml:space="preserve">Another wingless </w:t>
      </w:r>
      <w:r w:rsidRPr="00771E6E">
        <w:rPr>
          <w:i/>
        </w:rPr>
        <w:t>putto</w:t>
      </w:r>
      <w:r w:rsidRPr="00771E6E">
        <w:t xml:space="preserve">, who, unrealistically, is playing a tambourine with his right hand and a recorder with his left, decorates the reverse of a </w:t>
      </w:r>
      <w:r w:rsidRPr="00771E6E">
        <w:rPr>
          <w:i/>
        </w:rPr>
        <w:t>desco</w:t>
      </w:r>
      <w:r w:rsidRPr="00771E6E">
        <w:t xml:space="preserve"> attributed to Lippo </w:t>
      </w:r>
      <w:proofErr w:type="spellStart"/>
      <w:r w:rsidRPr="00771E6E">
        <w:t>d’Andrea</w:t>
      </w:r>
      <w:proofErr w:type="spellEnd"/>
      <w:r w:rsidRPr="00771E6E">
        <w:t xml:space="preserve"> (1420-1430s), while its obverse shows a scene depicting “Trajan’s justice”, an episode from Roman history with highly </w:t>
      </w:r>
      <w:proofErr w:type="spellStart"/>
      <w:r w:rsidRPr="00771E6E">
        <w:t>moralising</w:t>
      </w:r>
      <w:proofErr w:type="spellEnd"/>
      <w:r w:rsidRPr="00771E6E">
        <w:t xml:space="preserve"> connotations (fig. 3.12).</w:t>
      </w:r>
      <w:r w:rsidRPr="00771E6E">
        <w:rPr>
          <w:rStyle w:val="FootnoteReference"/>
        </w:rPr>
        <w:footnoteReference w:id="559"/>
      </w:r>
      <w:r w:rsidRPr="00771E6E">
        <w:t xml:space="preserve"> In the story, the Roman Emperor Trajan, having been stopped by a woman demanding justice for her murdered son, delayed his departure to war in order to carry out his duties and provide justice. As discussed in Chapter 2.1, </w:t>
      </w:r>
      <w:r w:rsidRPr="00771E6E">
        <w:rPr>
          <w:i/>
        </w:rPr>
        <w:t>putti</w:t>
      </w:r>
      <w:r w:rsidRPr="00771E6E">
        <w:t xml:space="preserve"> would have reminded the viewers of angels, and the presence of this theme makes the </w:t>
      </w:r>
      <w:proofErr w:type="spellStart"/>
      <w:r w:rsidRPr="00771E6E">
        <w:t>moralising</w:t>
      </w:r>
      <w:proofErr w:type="spellEnd"/>
      <w:r w:rsidRPr="00771E6E">
        <w:t xml:space="preserve"> significance of the musical </w:t>
      </w:r>
      <w:r w:rsidRPr="00771E6E">
        <w:rPr>
          <w:i/>
        </w:rPr>
        <w:t>putto</w:t>
      </w:r>
      <w:r w:rsidRPr="00771E6E">
        <w:t xml:space="preserve"> on the obverse even more plausible, as the different audiences of these pictures will have likely approached the images on the two sides of the </w:t>
      </w:r>
      <w:r w:rsidRPr="00771E6E">
        <w:rPr>
          <w:i/>
        </w:rPr>
        <w:t>desco</w:t>
      </w:r>
      <w:r w:rsidRPr="00771E6E">
        <w:t xml:space="preserve"> with the same mental disposition. </w:t>
      </w:r>
    </w:p>
    <w:p w14:paraId="35B84E70" w14:textId="77777777" w:rsidR="00094F64" w:rsidRPr="00771E6E" w:rsidRDefault="00094F64" w:rsidP="00094F64">
      <w:pPr>
        <w:ind w:firstLine="720"/>
      </w:pPr>
      <w:r w:rsidRPr="00771E6E">
        <w:t xml:space="preserve">Comparably, in a number of </w:t>
      </w:r>
      <w:r w:rsidRPr="00771E6E">
        <w:rPr>
          <w:i/>
        </w:rPr>
        <w:t>tondi</w:t>
      </w:r>
      <w:r w:rsidRPr="00771E6E">
        <w:t>, childlike angels play a variety of musical instruments and sing from books and scrolls, sometimes even engaging with musical techniques that were common to contemporary practice. This is a topic which will be discussed in greater detail later in this chapter.</w:t>
      </w:r>
    </w:p>
    <w:p w14:paraId="7AA5F05B" w14:textId="77777777" w:rsidR="00094F64" w:rsidRPr="00771E6E" w:rsidRDefault="00094F64" w:rsidP="00094F64">
      <w:pPr>
        <w:ind w:firstLine="720"/>
      </w:pPr>
      <w:r w:rsidRPr="00771E6E">
        <w:t xml:space="preserve">Despite their frequent use in the fifteenth century, by the beginning of the new century </w:t>
      </w:r>
      <w:r w:rsidRPr="00771E6E">
        <w:rPr>
          <w:i/>
        </w:rPr>
        <w:t xml:space="preserve">deschi da parto </w:t>
      </w:r>
      <w:r w:rsidRPr="00771E6E">
        <w:t>started to be superseded by a new custom, based upon tin-glazed earthenware (</w:t>
      </w:r>
      <w:r w:rsidRPr="00771E6E">
        <w:rPr>
          <w:i/>
        </w:rPr>
        <w:t>maiolica</w:t>
      </w:r>
      <w:r w:rsidRPr="00771E6E">
        <w:t>) items.</w:t>
      </w:r>
      <w:r w:rsidRPr="00771E6E">
        <w:rPr>
          <w:rStyle w:val="FootnoteReference"/>
        </w:rPr>
        <w:footnoteReference w:id="560"/>
      </w:r>
      <w:r w:rsidRPr="00771E6E">
        <w:t xml:space="preserve"> Already during the late fifteenth century, circular maiolica dishes were hung on the walls, as is demonstrated by the presence on some examples of holes for the supports. These dishes would have acted in much the same way as </w:t>
      </w:r>
      <w:r w:rsidRPr="00771E6E">
        <w:rPr>
          <w:i/>
        </w:rPr>
        <w:t>tondi</w:t>
      </w:r>
      <w:r w:rsidRPr="00771E6E">
        <w:t xml:space="preserve"> would have done, as demonstrated by the tradition of depicting </w:t>
      </w:r>
      <w:proofErr w:type="spellStart"/>
      <w:r w:rsidRPr="00771E6E">
        <w:t>idealised</w:t>
      </w:r>
      <w:proofErr w:type="spellEnd"/>
      <w:r w:rsidRPr="00771E6E">
        <w:t xml:space="preserve"> female portraits upon them, along with textual references to real women (fig. 3.13). For example, the women portrayed in maiolica </w:t>
      </w:r>
      <w:r w:rsidRPr="00771E6E">
        <w:rPr>
          <w:i/>
        </w:rPr>
        <w:t xml:space="preserve">belle </w:t>
      </w:r>
      <w:proofErr w:type="spellStart"/>
      <w:r w:rsidRPr="00771E6E">
        <w:rPr>
          <w:i/>
        </w:rPr>
        <w:t>donne</w:t>
      </w:r>
      <w:proofErr w:type="spellEnd"/>
      <w:r w:rsidRPr="00771E6E">
        <w:t xml:space="preserve"> dishes between 1520 and 1550 have highly </w:t>
      </w:r>
      <w:proofErr w:type="spellStart"/>
      <w:r w:rsidRPr="00771E6E">
        <w:t>generalised</w:t>
      </w:r>
      <w:proofErr w:type="spellEnd"/>
      <w:r w:rsidRPr="00771E6E">
        <w:t xml:space="preserve"> features, indicating that they were not actual portraits of contemporary women, but were rather aimed at providing a model of virtuous </w:t>
      </w:r>
      <w:proofErr w:type="spellStart"/>
      <w:r w:rsidRPr="00771E6E">
        <w:t>behaviour</w:t>
      </w:r>
      <w:proofErr w:type="spellEnd"/>
      <w:r w:rsidRPr="00771E6E">
        <w:t xml:space="preserve"> to follow. As such, they became the maiolica equivalent of the literary collections of lives of illustrious women, </w:t>
      </w:r>
      <w:r w:rsidRPr="00771E6E">
        <w:lastRenderedPageBreak/>
        <w:t xml:space="preserve">such as Boccaccio’s </w:t>
      </w:r>
      <w:r w:rsidRPr="00771E6E">
        <w:rPr>
          <w:i/>
        </w:rPr>
        <w:t xml:space="preserve">De </w:t>
      </w:r>
      <w:proofErr w:type="spellStart"/>
      <w:r w:rsidRPr="00771E6E">
        <w:rPr>
          <w:i/>
        </w:rPr>
        <w:t>mulieribus</w:t>
      </w:r>
      <w:proofErr w:type="spellEnd"/>
      <w:r w:rsidRPr="00771E6E">
        <w:rPr>
          <w:i/>
        </w:rPr>
        <w:t xml:space="preserve"> </w:t>
      </w:r>
      <w:proofErr w:type="spellStart"/>
      <w:r w:rsidRPr="00771E6E">
        <w:rPr>
          <w:i/>
        </w:rPr>
        <w:t>claris</w:t>
      </w:r>
      <w:proofErr w:type="spellEnd"/>
      <w:r w:rsidRPr="00771E6E">
        <w:t xml:space="preserve"> (1374) and </w:t>
      </w:r>
      <w:proofErr w:type="spellStart"/>
      <w:r w:rsidRPr="00771E6E">
        <w:t>Sabadino</w:t>
      </w:r>
      <w:proofErr w:type="spellEnd"/>
      <w:r w:rsidRPr="00771E6E">
        <w:t xml:space="preserve"> </w:t>
      </w:r>
      <w:proofErr w:type="spellStart"/>
      <w:r w:rsidRPr="00771E6E">
        <w:t>degli</w:t>
      </w:r>
      <w:proofErr w:type="spellEnd"/>
      <w:r w:rsidRPr="00771E6E">
        <w:t xml:space="preserve"> </w:t>
      </w:r>
      <w:proofErr w:type="spellStart"/>
      <w:r w:rsidRPr="00771E6E">
        <w:t>Arienti’s</w:t>
      </w:r>
      <w:proofErr w:type="spellEnd"/>
      <w:r w:rsidRPr="00771E6E">
        <w:t xml:space="preserve"> </w:t>
      </w:r>
      <w:proofErr w:type="spellStart"/>
      <w:r w:rsidRPr="00771E6E">
        <w:rPr>
          <w:i/>
        </w:rPr>
        <w:t>Gynevera</w:t>
      </w:r>
      <w:proofErr w:type="spellEnd"/>
      <w:r w:rsidRPr="00771E6E">
        <w:rPr>
          <w:i/>
        </w:rPr>
        <w:t xml:space="preserve"> de le </w:t>
      </w:r>
      <w:proofErr w:type="spellStart"/>
      <w:r w:rsidRPr="00771E6E">
        <w:rPr>
          <w:i/>
        </w:rPr>
        <w:t>clare</w:t>
      </w:r>
      <w:proofErr w:type="spellEnd"/>
      <w:r w:rsidRPr="00771E6E">
        <w:rPr>
          <w:i/>
        </w:rPr>
        <w:t xml:space="preserve"> </w:t>
      </w:r>
      <w:proofErr w:type="spellStart"/>
      <w:r w:rsidRPr="00771E6E">
        <w:rPr>
          <w:i/>
        </w:rPr>
        <w:t>donne</w:t>
      </w:r>
      <w:proofErr w:type="spellEnd"/>
      <w:r w:rsidRPr="00771E6E">
        <w:t xml:space="preserve"> (1483).</w:t>
      </w:r>
      <w:r w:rsidRPr="00771E6E">
        <w:rPr>
          <w:rStyle w:val="FootnoteReference"/>
        </w:rPr>
        <w:footnoteReference w:id="561"/>
      </w:r>
    </w:p>
    <w:p w14:paraId="4B02D2D0" w14:textId="77777777" w:rsidR="00094F64" w:rsidRPr="00771E6E" w:rsidRDefault="00094F64" w:rsidP="00094F64">
      <w:pPr>
        <w:ind w:firstLine="720"/>
      </w:pPr>
      <w:r w:rsidRPr="00771E6E">
        <w:t xml:space="preserve">In addition, the same moralistic function would have been performed by small </w:t>
      </w:r>
      <w:proofErr w:type="spellStart"/>
      <w:r w:rsidRPr="00771E6E">
        <w:t>moulded</w:t>
      </w:r>
      <w:proofErr w:type="spellEnd"/>
      <w:r w:rsidRPr="00771E6E">
        <w:t xml:space="preserve"> roundels with the Virgin and Child, which were produced cheaply to be used for domestic devotional purposes. The bronze roundel known as the </w:t>
      </w:r>
      <w:proofErr w:type="spellStart"/>
      <w:r w:rsidRPr="00771E6E">
        <w:rPr>
          <w:i/>
        </w:rPr>
        <w:t>Chellini</w:t>
      </w:r>
      <w:proofErr w:type="spellEnd"/>
      <w:r w:rsidRPr="00771E6E">
        <w:rPr>
          <w:i/>
        </w:rPr>
        <w:t xml:space="preserve"> Madonna</w:t>
      </w:r>
      <w:r w:rsidRPr="00771E6E">
        <w:t xml:space="preserve">, donated by Donatello to his physician Giovanni </w:t>
      </w:r>
      <w:proofErr w:type="spellStart"/>
      <w:r w:rsidRPr="00771E6E">
        <w:t>Chellini</w:t>
      </w:r>
      <w:proofErr w:type="spellEnd"/>
      <w:r w:rsidRPr="00771E6E">
        <w:t xml:space="preserve"> </w:t>
      </w:r>
      <w:proofErr w:type="spellStart"/>
      <w:r w:rsidRPr="00771E6E">
        <w:t>Samminiati</w:t>
      </w:r>
      <w:proofErr w:type="spellEnd"/>
      <w:r w:rsidRPr="00771E6E">
        <w:t xml:space="preserve"> in 1456, and now kept in the Victoria and Albert Museum, could also be used as a </w:t>
      </w:r>
      <w:proofErr w:type="spellStart"/>
      <w:r w:rsidRPr="00771E6E">
        <w:t>mould</w:t>
      </w:r>
      <w:proofErr w:type="spellEnd"/>
      <w:r w:rsidRPr="00771E6E">
        <w:t xml:space="preserve"> for producing glass roundels from its reverse (fig. 3.14).</w:t>
      </w:r>
      <w:r w:rsidRPr="00771E6E">
        <w:rPr>
          <w:rStyle w:val="FootnoteReference"/>
        </w:rPr>
        <w:footnoteReference w:id="562"/>
      </w:r>
      <w:r w:rsidRPr="00771E6E">
        <w:t xml:space="preserve"> This roundel demonstrates a further connection to mirrors in that the balustrade depicted in front of the figures of the Virgin and Child is distorted, as if it was seen through its reflection on a convex mirror from a lower point of observation, as William S. A. Dale’s experiments have amply demonstrated.</w:t>
      </w:r>
      <w:r w:rsidRPr="00771E6E">
        <w:rPr>
          <w:rStyle w:val="FootnoteReference"/>
        </w:rPr>
        <w:footnoteReference w:id="563"/>
      </w:r>
    </w:p>
    <w:p w14:paraId="465E43DD" w14:textId="77777777" w:rsidR="00094F64" w:rsidRPr="00771E6E" w:rsidRDefault="00094F64" w:rsidP="00094F64">
      <w:pPr>
        <w:ind w:firstLine="720"/>
      </w:pPr>
      <w:r w:rsidRPr="00771E6E">
        <w:t xml:space="preserve">Much like </w:t>
      </w:r>
      <w:r w:rsidRPr="00771E6E">
        <w:rPr>
          <w:i/>
        </w:rPr>
        <w:t>tondi</w:t>
      </w:r>
      <w:r w:rsidRPr="00771E6E">
        <w:t xml:space="preserve">, metal roundels could also include musical angels accompanying the figure of the Virgin and Child, as can be seen in an example produced from a model attributed to </w:t>
      </w:r>
      <w:proofErr w:type="spellStart"/>
      <w:r w:rsidRPr="00771E6E">
        <w:t>Bertoldo</w:t>
      </w:r>
      <w:proofErr w:type="spellEnd"/>
      <w:r w:rsidRPr="00771E6E">
        <w:t xml:space="preserve"> di Giovanni, now in the Louvre (fig. 3.15). Other, less direct, musical references also appeared in these roundels, as is shown by an example now at the Walters Art Museum, Baltimore (fig. 3.16). The rim of this roundel is inscribed with the Latin words “</w:t>
      </w:r>
      <w:proofErr w:type="spellStart"/>
      <w:r w:rsidRPr="00771E6E">
        <w:t>Puer</w:t>
      </w:r>
      <w:proofErr w:type="spellEnd"/>
      <w:r w:rsidRPr="00771E6E">
        <w:t xml:space="preserve"> </w:t>
      </w:r>
      <w:proofErr w:type="spellStart"/>
      <w:r w:rsidRPr="00771E6E">
        <w:t>natus</w:t>
      </w:r>
      <w:proofErr w:type="spellEnd"/>
      <w:r w:rsidRPr="00771E6E">
        <w:t xml:space="preserve"> </w:t>
      </w:r>
      <w:proofErr w:type="spellStart"/>
      <w:r w:rsidRPr="00771E6E">
        <w:t>est</w:t>
      </w:r>
      <w:proofErr w:type="spellEnd"/>
      <w:r w:rsidRPr="00771E6E">
        <w:t xml:space="preserve"> nobis” (Unto us a child is born), which is the incipit of a chant that was sung as part of the liturgy during Mass on Christmas day. Another chant similarly entitled “</w:t>
      </w:r>
      <w:proofErr w:type="spellStart"/>
      <w:r w:rsidRPr="00771E6E">
        <w:t>Puer</w:t>
      </w:r>
      <w:proofErr w:type="spellEnd"/>
      <w:r w:rsidRPr="00771E6E">
        <w:t xml:space="preserve"> qui </w:t>
      </w:r>
      <w:proofErr w:type="spellStart"/>
      <w:r w:rsidRPr="00771E6E">
        <w:t>natus</w:t>
      </w:r>
      <w:proofErr w:type="spellEnd"/>
      <w:r w:rsidRPr="00771E6E">
        <w:t xml:space="preserve"> </w:t>
      </w:r>
      <w:proofErr w:type="spellStart"/>
      <w:r w:rsidRPr="00771E6E">
        <w:t>est</w:t>
      </w:r>
      <w:proofErr w:type="spellEnd"/>
      <w:r w:rsidRPr="00771E6E">
        <w:t xml:space="preserve"> nobis” was sung at Vespers on the day of the Nativity of Saint John the Baptist, on 24 June. Viewers engaging with this roundel during their devotional practices would have likely </w:t>
      </w:r>
      <w:proofErr w:type="spellStart"/>
      <w:r w:rsidRPr="00771E6E">
        <w:t>recognised</w:t>
      </w:r>
      <w:proofErr w:type="spellEnd"/>
      <w:r w:rsidRPr="00771E6E">
        <w:t xml:space="preserve"> the reference to these chants. This roundel was certainly designed to be hung on a wall, as the ring at the top of the frame demonstrates. </w:t>
      </w:r>
    </w:p>
    <w:p w14:paraId="295E4802" w14:textId="77777777" w:rsidR="00094F64" w:rsidRPr="00771E6E" w:rsidRDefault="00094F64" w:rsidP="00094F64">
      <w:pPr>
        <w:ind w:firstLine="720"/>
      </w:pPr>
      <w:r w:rsidRPr="00771E6E">
        <w:t xml:space="preserve">It is evident that </w:t>
      </w:r>
      <w:r w:rsidRPr="00771E6E">
        <w:rPr>
          <w:i/>
        </w:rPr>
        <w:t>tondi</w:t>
      </w:r>
      <w:r w:rsidRPr="00771E6E">
        <w:t xml:space="preserve"> were not the only objects that could have been reminiscent of mirrors for the inhabitants of domestic spaces, and again it seems that moralistic </w:t>
      </w:r>
      <w:r w:rsidRPr="00771E6E">
        <w:rPr>
          <w:i/>
        </w:rPr>
        <w:t>exempla</w:t>
      </w:r>
      <w:r w:rsidRPr="00771E6E">
        <w:t xml:space="preserve"> would have been included in these in a way that would encourage views to reflect on their own virtue, as models of morality. </w:t>
      </w:r>
      <w:r w:rsidRPr="00771E6E">
        <w:rPr>
          <w:i/>
        </w:rPr>
        <w:t>Deschi da parto</w:t>
      </w:r>
      <w:r w:rsidRPr="00771E6E">
        <w:t xml:space="preserve">, maiolica dishes and metal roundels, all having a similar circular shape, could also be found in a domestic setting, decorated with figures in which the various viewers would have been immediately been able to </w:t>
      </w:r>
      <w:proofErr w:type="spellStart"/>
      <w:r w:rsidRPr="00771E6E">
        <w:t>recognise</w:t>
      </w:r>
      <w:proofErr w:type="spellEnd"/>
      <w:r w:rsidRPr="00771E6E">
        <w:t xml:space="preserve"> themselves. Underlying this, the distinctive circular shape would have helped to create a visual association between these circular objects and mirrors in the minds of their </w:t>
      </w:r>
      <w:r w:rsidRPr="00771E6E">
        <w:lastRenderedPageBreak/>
        <w:t>beholders, and served to continually remind the household about the importance of both self-reflection and maintaining a moralistic mindset throughout their daily lives.</w:t>
      </w:r>
    </w:p>
    <w:p w14:paraId="20FD3C96" w14:textId="77777777" w:rsidR="00094F64" w:rsidRPr="00771E6E" w:rsidRDefault="00094F64" w:rsidP="00094F64">
      <w:pPr>
        <w:ind w:firstLine="720"/>
      </w:pPr>
    </w:p>
    <w:p w14:paraId="2E0A0163" w14:textId="77777777" w:rsidR="00180F58" w:rsidRPr="00771E6E" w:rsidRDefault="00180F58" w:rsidP="00182EED">
      <w:bookmarkStart w:id="61" w:name="_Toc4323758"/>
    </w:p>
    <w:p w14:paraId="50E403F6" w14:textId="77777777" w:rsidR="00094F64" w:rsidRPr="00771E6E" w:rsidRDefault="00094F64" w:rsidP="00094F64">
      <w:pPr>
        <w:pStyle w:val="Heading3"/>
      </w:pPr>
      <w:bookmarkStart w:id="62" w:name="_Toc20167610"/>
      <w:r w:rsidRPr="00771E6E">
        <w:t>3.1.3. Children as an Intended Audience</w:t>
      </w:r>
      <w:bookmarkEnd w:id="61"/>
      <w:bookmarkEnd w:id="62"/>
    </w:p>
    <w:p w14:paraId="5678DBC4" w14:textId="77777777" w:rsidR="00094F64" w:rsidRPr="00771E6E" w:rsidRDefault="00094F64" w:rsidP="00094F64"/>
    <w:p w14:paraId="7593E184" w14:textId="198C98D7" w:rsidR="00094F64" w:rsidRPr="00771E6E" w:rsidRDefault="00094F64" w:rsidP="00094F64">
      <w:r w:rsidRPr="00771E6E">
        <w:rPr>
          <w:color w:val="000000" w:themeColor="text1"/>
        </w:rPr>
        <w:t xml:space="preserve">All the works of art described could be expected to stimulate the curiosity of children, especially where they would have been able to </w:t>
      </w:r>
      <w:proofErr w:type="spellStart"/>
      <w:r w:rsidRPr="00771E6E">
        <w:rPr>
          <w:color w:val="000000" w:themeColor="text1"/>
        </w:rPr>
        <w:t>recognise</w:t>
      </w:r>
      <w:proofErr w:type="spellEnd"/>
      <w:r w:rsidRPr="00771E6E">
        <w:rPr>
          <w:color w:val="000000" w:themeColor="text1"/>
        </w:rPr>
        <w:t xml:space="preserve"> figures similar to themselves. For example, </w:t>
      </w:r>
      <w:r w:rsidRPr="00771E6E">
        <w:t xml:space="preserve">wingless </w:t>
      </w:r>
      <w:r w:rsidRPr="00771E6E">
        <w:rPr>
          <w:i/>
        </w:rPr>
        <w:t>putti</w:t>
      </w:r>
      <w:r w:rsidRPr="00771E6E">
        <w:t xml:space="preserve"> in </w:t>
      </w:r>
      <w:r w:rsidRPr="00771E6E">
        <w:rPr>
          <w:i/>
        </w:rPr>
        <w:t>deschi da parto</w:t>
      </w:r>
      <w:r w:rsidRPr="00771E6E">
        <w:t xml:space="preserve"> and in mirror frames closely resemble the children who were likely to look at them. Each of the two </w:t>
      </w:r>
      <w:r w:rsidRPr="00771E6E">
        <w:rPr>
          <w:i/>
        </w:rPr>
        <w:t>putti</w:t>
      </w:r>
      <w:r w:rsidRPr="00771E6E">
        <w:t xml:space="preserve"> holding a shield at the base of the mirror frame from Palazzo </w:t>
      </w:r>
      <w:proofErr w:type="spellStart"/>
      <w:r w:rsidRPr="00771E6E">
        <w:t>Davanzati</w:t>
      </w:r>
      <w:proofErr w:type="spellEnd"/>
      <w:r w:rsidRPr="00771E6E">
        <w:t xml:space="preserve"> mentioned above (fig. 3.10) wear a coral necklace and bracelet, which were ornaments often worn by children as talismans for their protection and good luck. These can also be observed being worn by both the Christ child, </w:t>
      </w:r>
      <w:r w:rsidR="00A71893" w:rsidRPr="00771E6E">
        <w:t>as see</w:t>
      </w:r>
      <w:r w:rsidR="00676082" w:rsidRPr="00771E6E">
        <w:t>n</w:t>
      </w:r>
      <w:r w:rsidR="00A71893" w:rsidRPr="00771E6E">
        <w:t xml:space="preserve"> in </w:t>
      </w:r>
      <w:r w:rsidRPr="00771E6E">
        <w:t xml:space="preserve">several paintings with the Virgin and Child, and </w:t>
      </w:r>
      <w:r w:rsidR="00A71893" w:rsidRPr="00771E6E">
        <w:t xml:space="preserve">in </w:t>
      </w:r>
      <w:r w:rsidRPr="00771E6E">
        <w:t>various childlike figures depicted on the reverse of</w:t>
      </w:r>
      <w:r w:rsidR="008815C1" w:rsidRPr="00771E6E">
        <w:t xml:space="preserve"> </w:t>
      </w:r>
      <w:r w:rsidR="008815C1" w:rsidRPr="00771E6E">
        <w:rPr>
          <w:i/>
          <w:iCs/>
        </w:rPr>
        <w:t>deschi</w:t>
      </w:r>
      <w:r w:rsidRPr="00771E6E">
        <w:t>, such as th</w:t>
      </w:r>
      <w:r w:rsidR="008815C1" w:rsidRPr="00771E6E">
        <w:t>at</w:t>
      </w:r>
      <w:r w:rsidRPr="00771E6E">
        <w:t xml:space="preserve"> </w:t>
      </w:r>
      <w:r w:rsidR="00A71893" w:rsidRPr="00771E6E">
        <w:t xml:space="preserve">executed either </w:t>
      </w:r>
      <w:r w:rsidR="008815C1" w:rsidRPr="00771E6E">
        <w:t xml:space="preserve">by Domenico di </w:t>
      </w:r>
      <w:proofErr w:type="spellStart"/>
      <w:r w:rsidR="008815C1" w:rsidRPr="00771E6E">
        <w:t>Bartolo</w:t>
      </w:r>
      <w:proofErr w:type="spellEnd"/>
      <w:r w:rsidR="008815C1" w:rsidRPr="00771E6E">
        <w:t xml:space="preserve"> or Carlo di Giovanni, kept in the Ca’ </w:t>
      </w:r>
      <w:proofErr w:type="spellStart"/>
      <w:r w:rsidR="008815C1" w:rsidRPr="00771E6E">
        <w:t>d’Oro</w:t>
      </w:r>
      <w:proofErr w:type="spellEnd"/>
      <w:r w:rsidR="008815C1" w:rsidRPr="00771E6E">
        <w:t xml:space="preserve"> in Venice (fig. 3.11) </w:t>
      </w:r>
      <w:r w:rsidRPr="00771E6E">
        <w:t>previously noted.</w:t>
      </w:r>
      <w:r w:rsidRPr="00771E6E">
        <w:rPr>
          <w:rStyle w:val="FootnoteReference"/>
        </w:rPr>
        <w:footnoteReference w:id="564"/>
      </w:r>
      <w:r w:rsidRPr="00771E6E">
        <w:t xml:space="preserve"> These elements would have certainly assisted children in identifying themselves with the figures in these artistic representations.</w:t>
      </w:r>
    </w:p>
    <w:p w14:paraId="453F73B2" w14:textId="77777777" w:rsidR="00094F64" w:rsidRPr="00771E6E" w:rsidRDefault="00094F64" w:rsidP="00094F64">
      <w:pPr>
        <w:ind w:firstLine="720"/>
      </w:pPr>
      <w:r w:rsidRPr="00771E6E">
        <w:t xml:space="preserve">Sometimes, </w:t>
      </w:r>
      <w:r w:rsidRPr="00771E6E">
        <w:rPr>
          <w:color w:val="000000" w:themeColor="text1"/>
        </w:rPr>
        <w:t>particular messages directed towards children were concealed in the decoration of these objects. Following Tim Shephard’s reading of the mirror frame from Ferrara discussed above</w:t>
      </w:r>
      <w:r w:rsidR="00992180" w:rsidRPr="00771E6E">
        <w:rPr>
          <w:color w:val="000000" w:themeColor="text1"/>
        </w:rPr>
        <w:t xml:space="preserve"> (fig. 3.7)</w:t>
      </w:r>
      <w:r w:rsidRPr="00771E6E">
        <w:rPr>
          <w:color w:val="000000" w:themeColor="text1"/>
        </w:rPr>
        <w:t xml:space="preserve">, it appears that this object was intended for a young Alfonso I </w:t>
      </w:r>
      <w:proofErr w:type="spellStart"/>
      <w:r w:rsidRPr="00771E6E">
        <w:rPr>
          <w:color w:val="000000" w:themeColor="text1"/>
        </w:rPr>
        <w:t>d’Este</w:t>
      </w:r>
      <w:proofErr w:type="spellEnd"/>
      <w:r w:rsidRPr="00771E6E">
        <w:rPr>
          <w:color w:val="000000" w:themeColor="text1"/>
        </w:rPr>
        <w:t xml:space="preserve"> (1476-1534). It not only presents him with a choice between vice and virtue, characterized by the symbol Y, but it also establishes a link with Alfonso’s illustrious ancestors by showing symbols of the qualities they were renowned for in the “</w:t>
      </w:r>
      <w:proofErr w:type="spellStart"/>
      <w:r w:rsidRPr="00771E6E">
        <w:rPr>
          <w:color w:val="000000" w:themeColor="text1"/>
        </w:rPr>
        <w:t>bonum</w:t>
      </w:r>
      <w:proofErr w:type="spellEnd"/>
      <w:r w:rsidRPr="00771E6E">
        <w:rPr>
          <w:color w:val="000000" w:themeColor="text1"/>
        </w:rPr>
        <w:t xml:space="preserve">” section of the decoration, therefore elevating his ancestors as </w:t>
      </w:r>
      <w:r w:rsidRPr="00771E6E">
        <w:rPr>
          <w:i/>
          <w:color w:val="000000" w:themeColor="text1"/>
        </w:rPr>
        <w:t>exempla</w:t>
      </w:r>
      <w:r w:rsidRPr="00771E6E">
        <w:rPr>
          <w:color w:val="000000" w:themeColor="text1"/>
        </w:rPr>
        <w:t xml:space="preserve"> for him to follow.</w:t>
      </w:r>
      <w:r w:rsidRPr="00771E6E">
        <w:rPr>
          <w:rStyle w:val="FootnoteReference"/>
        </w:rPr>
        <w:footnoteReference w:id="565"/>
      </w:r>
      <w:r w:rsidRPr="00771E6E">
        <w:rPr>
          <w:color w:val="000000" w:themeColor="text1"/>
        </w:rPr>
        <w:t xml:space="preserve"> As discussed in Chapter 1, </w:t>
      </w:r>
      <w:proofErr w:type="spellStart"/>
      <w:r w:rsidRPr="00771E6E">
        <w:rPr>
          <w:color w:val="000000" w:themeColor="text1"/>
        </w:rPr>
        <w:t>utilising</w:t>
      </w:r>
      <w:proofErr w:type="spellEnd"/>
      <w:r w:rsidRPr="00771E6E">
        <w:rPr>
          <w:color w:val="000000" w:themeColor="text1"/>
        </w:rPr>
        <w:t xml:space="preserve"> </w:t>
      </w:r>
      <w:r w:rsidRPr="00771E6E">
        <w:rPr>
          <w:i/>
          <w:color w:val="000000" w:themeColor="text1"/>
        </w:rPr>
        <w:t xml:space="preserve">exempla </w:t>
      </w:r>
      <w:r w:rsidRPr="00771E6E">
        <w:rPr>
          <w:color w:val="000000" w:themeColor="text1"/>
        </w:rPr>
        <w:t xml:space="preserve">from the past was a common didactic tool, which was often employed as part of the education of children. </w:t>
      </w:r>
    </w:p>
    <w:p w14:paraId="2E465F7D" w14:textId="77777777" w:rsidR="00094F64" w:rsidRPr="00771E6E" w:rsidRDefault="00094F64" w:rsidP="00094F64">
      <w:pPr>
        <w:ind w:firstLine="720"/>
      </w:pPr>
      <w:r w:rsidRPr="00771E6E">
        <w:rPr>
          <w:color w:val="000000" w:themeColor="text1"/>
        </w:rPr>
        <w:t xml:space="preserve">While mirrors offered an introspective opportunity to their users, and could be directed towards young people with the intention of shaping their </w:t>
      </w:r>
      <w:proofErr w:type="spellStart"/>
      <w:r w:rsidRPr="00771E6E">
        <w:rPr>
          <w:color w:val="000000" w:themeColor="text1"/>
        </w:rPr>
        <w:t>behaviour</w:t>
      </w:r>
      <w:proofErr w:type="spellEnd"/>
      <w:r w:rsidRPr="00771E6E">
        <w:rPr>
          <w:color w:val="000000" w:themeColor="text1"/>
        </w:rPr>
        <w:t xml:space="preserve">, </w:t>
      </w:r>
      <w:r w:rsidRPr="00771E6E">
        <w:rPr>
          <w:i/>
          <w:color w:val="000000" w:themeColor="text1"/>
        </w:rPr>
        <w:t xml:space="preserve">tondi </w:t>
      </w:r>
      <w:r w:rsidRPr="00771E6E">
        <w:rPr>
          <w:color w:val="000000" w:themeColor="text1"/>
        </w:rPr>
        <w:t xml:space="preserve">would present them with the chance to establish a comparison between themselves and the divine </w:t>
      </w:r>
      <w:r w:rsidRPr="00771E6E">
        <w:rPr>
          <w:color w:val="000000" w:themeColor="text1"/>
        </w:rPr>
        <w:lastRenderedPageBreak/>
        <w:t>figures shown.</w:t>
      </w:r>
      <w:r w:rsidRPr="00771E6E">
        <w:t xml:space="preserve"> As previously discussed, Giovanni </w:t>
      </w:r>
      <w:proofErr w:type="spellStart"/>
      <w:r w:rsidRPr="00771E6E">
        <w:t>Dominici</w:t>
      </w:r>
      <w:proofErr w:type="spellEnd"/>
      <w:r w:rsidRPr="00771E6E">
        <w:t xml:space="preserve"> urged parents to allow and encourage new-</w:t>
      </w:r>
      <w:proofErr w:type="spellStart"/>
      <w:r w:rsidRPr="00771E6E">
        <w:t>borns</w:t>
      </w:r>
      <w:proofErr w:type="spellEnd"/>
      <w:r w:rsidRPr="00771E6E">
        <w:t xml:space="preserve"> and young children to mirror themselves in images of angels and saints.</w:t>
      </w:r>
      <w:r w:rsidRPr="00771E6E">
        <w:rPr>
          <w:rStyle w:val="FootnoteReference"/>
        </w:rPr>
        <w:footnoteReference w:id="566"/>
      </w:r>
      <w:r w:rsidRPr="00771E6E">
        <w:t xml:space="preserve"> </w:t>
      </w:r>
      <w:r w:rsidRPr="00771E6E">
        <w:rPr>
          <w:color w:val="000000" w:themeColor="text1"/>
        </w:rPr>
        <w:t xml:space="preserve">It seems likely that pictures of musical angels were intended to elevate children’s moral </w:t>
      </w:r>
      <w:proofErr w:type="spellStart"/>
      <w:r w:rsidRPr="00771E6E">
        <w:rPr>
          <w:color w:val="000000" w:themeColor="text1"/>
        </w:rPr>
        <w:t>behaviour</w:t>
      </w:r>
      <w:proofErr w:type="spellEnd"/>
      <w:r w:rsidRPr="00771E6E">
        <w:rPr>
          <w:color w:val="000000" w:themeColor="text1"/>
        </w:rPr>
        <w:t>, acting as their mentors. Although the individual perception of images is difficult to explore definitively, it is possible to assert with some confidence that the intention (as exercised either by the patron of an image, by the artist or by the picture’s owner) was at least in part to induce a moral response in young viewers in the household. The wealth of contextual evidence – or, as William Hood has labelled it, the “frame of proper reference” – supports this interpretation.</w:t>
      </w:r>
      <w:r w:rsidRPr="00771E6E">
        <w:rPr>
          <w:rStyle w:val="FootnoteReference"/>
        </w:rPr>
        <w:footnoteReference w:id="567"/>
      </w:r>
    </w:p>
    <w:p w14:paraId="5CCA007F" w14:textId="77777777" w:rsidR="00094F64" w:rsidRPr="00771E6E" w:rsidRDefault="00094F64" w:rsidP="00094F64">
      <w:pPr>
        <w:ind w:firstLine="720"/>
        <w:rPr>
          <w:color w:val="000000" w:themeColor="text1"/>
        </w:rPr>
      </w:pPr>
      <w:r w:rsidRPr="00771E6E">
        <w:rPr>
          <w:color w:val="000000" w:themeColor="text1"/>
        </w:rPr>
        <w:t xml:space="preserve">It seems likely that angels and musical angels were the most obvious subject to attract the attention of children, as they were omnipresent in their life, both in depicted form and, as we have seen, in performances as part of public manifestations of devotion such as sacred plays and processions, and this would have been particularly true in the home. This is also demonstrated by several maiolica dishes from Deruta, all produced in the same workshop around 1500-1530. These are particularly interesting examples as, on each of them, an angel is depicted as an independent subject in its own right. The angel in these is likely </w:t>
      </w:r>
      <w:r w:rsidRPr="00771E6E">
        <w:t xml:space="preserve">inspired by one of the angels in Pietro Perugino’s fresco of God the Father in the Sala </w:t>
      </w:r>
      <w:proofErr w:type="spellStart"/>
      <w:r w:rsidRPr="00771E6E">
        <w:t>dell’Udienza</w:t>
      </w:r>
      <w:proofErr w:type="spellEnd"/>
      <w:r w:rsidRPr="00771E6E">
        <w:t xml:space="preserve">, </w:t>
      </w:r>
      <w:proofErr w:type="spellStart"/>
      <w:r w:rsidRPr="00771E6E">
        <w:t>Collegio</w:t>
      </w:r>
      <w:proofErr w:type="spellEnd"/>
      <w:r w:rsidRPr="00771E6E">
        <w:t xml:space="preserve"> del Cambio, Perugia</w:t>
      </w:r>
      <w:r w:rsidRPr="00771E6E">
        <w:rPr>
          <w:color w:val="000000" w:themeColor="text1"/>
        </w:rPr>
        <w:t>.</w:t>
      </w:r>
      <w:r w:rsidRPr="00771E6E">
        <w:rPr>
          <w:rStyle w:val="FootnoteReference"/>
        </w:rPr>
        <w:footnoteReference w:id="568"/>
      </w:r>
      <w:r w:rsidRPr="00771E6E">
        <w:rPr>
          <w:color w:val="000000" w:themeColor="text1"/>
        </w:rPr>
        <w:t xml:space="preserve"> The fact that the single angel depicted in these dishes </w:t>
      </w:r>
      <w:r w:rsidRPr="00771E6E">
        <w:t xml:space="preserve">is replicated in several versions </w:t>
      </w:r>
      <w:r w:rsidRPr="00771E6E">
        <w:rPr>
          <w:color w:val="000000" w:themeColor="text1"/>
        </w:rPr>
        <w:t>with minimal variation suggests the significant popularity of this subject. One of these dishes in the British Museum (fig. 3.17) presents a figure of an angel facing towards the right, and, as such, this could be equated with the angel of the Annunciation, as such angels are usually depicted facing right. However, in most of the other dishes, the angel faces left, making this identification unlikely.</w:t>
      </w:r>
      <w:r w:rsidRPr="00771E6E">
        <w:rPr>
          <w:rStyle w:val="FootnoteReference"/>
        </w:rPr>
        <w:footnoteReference w:id="569"/>
      </w:r>
      <w:r w:rsidRPr="00771E6E">
        <w:rPr>
          <w:color w:val="000000" w:themeColor="text1"/>
        </w:rPr>
        <w:t xml:space="preserve"> A version</w:t>
      </w:r>
      <w:r w:rsidRPr="00771E6E">
        <w:t xml:space="preserve"> facing left, now in the Metropolitan Museum, has been given the new attribute of a book by its maker, which Timothy Wilson describes as a sacred text or a music book (fig. 3.18).</w:t>
      </w:r>
      <w:r w:rsidRPr="00771E6E">
        <w:rPr>
          <w:rStyle w:val="FootnoteReference"/>
        </w:rPr>
        <w:footnoteReference w:id="570"/>
      </w:r>
      <w:r w:rsidRPr="00771E6E">
        <w:t xml:space="preserve"> The Metropolitan Museum’s online catalogue stresses the fact </w:t>
      </w:r>
      <w:r w:rsidRPr="00771E6E">
        <w:lastRenderedPageBreak/>
        <w:t>that the image of an angel reading a sacred book might have been seen as a model to imitate for the viewer.</w:t>
      </w:r>
      <w:r w:rsidRPr="00771E6E">
        <w:rPr>
          <w:rStyle w:val="FootnoteReference"/>
        </w:rPr>
        <w:footnoteReference w:id="571"/>
      </w:r>
      <w:r w:rsidRPr="00771E6E">
        <w:t xml:space="preserve"> In my view it is more likely that this angel is accompanied by a music book, as the signs on the book seem to resemble notation much more closely than letters, and the distance between each sign is more similar to the way in which musical notation is spaced, even though no musical staff appears here. Additionally, whereas the infant Christ was often depicted learning how to read on his mother’s lap, angels are far more frequently associated with musical texts and notation than with the act of reading from sacred texts. In much the same way as </w:t>
      </w:r>
      <w:r w:rsidRPr="00771E6E">
        <w:rPr>
          <w:i/>
        </w:rPr>
        <w:t>tondi</w:t>
      </w:r>
      <w:r w:rsidRPr="00771E6E">
        <w:t xml:space="preserve"> and </w:t>
      </w:r>
      <w:r w:rsidRPr="00771E6E">
        <w:rPr>
          <w:i/>
        </w:rPr>
        <w:t>deschi da parto</w:t>
      </w:r>
      <w:r w:rsidRPr="00771E6E">
        <w:t xml:space="preserve">, this circular dish could be hung on the wall of a Renaissance house, and the angel depicted in its surface would perform exactly the same function, allowing children to identify themselves with this figure and inspiring them to emulate it. </w:t>
      </w:r>
    </w:p>
    <w:p w14:paraId="4C81E9EB" w14:textId="77777777" w:rsidR="00094F64" w:rsidRPr="00771E6E" w:rsidRDefault="00094F64" w:rsidP="00094F64">
      <w:pPr>
        <w:ind w:firstLine="720"/>
        <w:rPr>
          <w:color w:val="000000" w:themeColor="text1"/>
        </w:rPr>
      </w:pPr>
      <w:r w:rsidRPr="00771E6E">
        <w:rPr>
          <w:color w:val="000000" w:themeColor="text1"/>
        </w:rPr>
        <w:t xml:space="preserve">In a domestic environment, children would have been an important audience for the works of art displayed, and it is to be expected that this would have been kept in mind by both the artists and by the adults who decided upon their acquisition and display. Although the original location of most of the works discussed is not known, and in other cases is uncertain, this should not be seen as affecting the argument to an overly significant degree. While my research is focused specifically on works of art that were likely to have been displayed in a domestic setting, similar principles can be applied to other environments as well, if to a lesser degree. It is worth noting that the </w:t>
      </w:r>
      <w:proofErr w:type="spellStart"/>
      <w:r w:rsidRPr="00771E6E">
        <w:rPr>
          <w:color w:val="000000" w:themeColor="text1"/>
        </w:rPr>
        <w:t>Domenican</w:t>
      </w:r>
      <w:proofErr w:type="spellEnd"/>
      <w:r w:rsidRPr="00771E6E">
        <w:rPr>
          <w:color w:val="000000" w:themeColor="text1"/>
        </w:rPr>
        <w:t xml:space="preserve"> preacher Giovanni </w:t>
      </w:r>
      <w:proofErr w:type="spellStart"/>
      <w:r w:rsidRPr="00771E6E">
        <w:rPr>
          <w:color w:val="000000" w:themeColor="text1"/>
        </w:rPr>
        <w:t>Dominici</w:t>
      </w:r>
      <w:proofErr w:type="spellEnd"/>
      <w:r w:rsidRPr="00771E6E">
        <w:rPr>
          <w:color w:val="000000" w:themeColor="text1"/>
        </w:rPr>
        <w:t xml:space="preserve"> did encourage his reader </w:t>
      </w:r>
      <w:proofErr w:type="spellStart"/>
      <w:r w:rsidRPr="00771E6E">
        <w:t>Bartolomea</w:t>
      </w:r>
      <w:proofErr w:type="spellEnd"/>
      <w:r w:rsidRPr="00771E6E">
        <w:t xml:space="preserve"> </w:t>
      </w:r>
      <w:proofErr w:type="spellStart"/>
      <w:r w:rsidRPr="00771E6E">
        <w:t>degli</w:t>
      </w:r>
      <w:proofErr w:type="spellEnd"/>
      <w:r w:rsidRPr="00771E6E">
        <w:t xml:space="preserve"> </w:t>
      </w:r>
      <w:proofErr w:type="spellStart"/>
      <w:r w:rsidRPr="00771E6E">
        <w:t>Obizzi</w:t>
      </w:r>
      <w:proofErr w:type="spellEnd"/>
      <w:r w:rsidRPr="00771E6E" w:rsidDel="00A235CE">
        <w:rPr>
          <w:color w:val="000000" w:themeColor="text1"/>
        </w:rPr>
        <w:t xml:space="preserve"> </w:t>
      </w:r>
      <w:r w:rsidRPr="00771E6E">
        <w:rPr>
          <w:color w:val="000000" w:themeColor="text1"/>
        </w:rPr>
        <w:t>to display images in the house, and, if this was not possible, he also advised her to bring her children to church where they could see pictures of divine subjects: “if you don’t want to make your house into a temple, or if you are not able to … ensure that they [your children] are often taken to church”.</w:t>
      </w:r>
      <w:r w:rsidRPr="00771E6E">
        <w:rPr>
          <w:rStyle w:val="FootnoteReference"/>
        </w:rPr>
        <w:footnoteReference w:id="572"/>
      </w:r>
    </w:p>
    <w:p w14:paraId="2EF7B7C9" w14:textId="77777777" w:rsidR="00094F64" w:rsidRPr="00771E6E" w:rsidRDefault="00094F64" w:rsidP="00094F64">
      <w:pPr>
        <w:ind w:firstLine="720"/>
        <w:rPr>
          <w:color w:val="000000" w:themeColor="text1"/>
        </w:rPr>
      </w:pPr>
      <w:r w:rsidRPr="00771E6E">
        <w:rPr>
          <w:color w:val="000000" w:themeColor="text1"/>
        </w:rPr>
        <w:t xml:space="preserve">Having discussed how works of art of circular shape would carry appropriate messages of virtue and morality to encourage viewers to reflect upon themselves in these divine mirrors, and in particular the impact on the children in the household, we will now consider the effect that the musical angels depicted in specific </w:t>
      </w:r>
      <w:r w:rsidRPr="00771E6E">
        <w:rPr>
          <w:i/>
          <w:color w:val="000000" w:themeColor="text1"/>
        </w:rPr>
        <w:t xml:space="preserve">tondi </w:t>
      </w:r>
      <w:r w:rsidRPr="00771E6E">
        <w:rPr>
          <w:color w:val="000000" w:themeColor="text1"/>
        </w:rPr>
        <w:t>would have had on these young viewers.</w:t>
      </w:r>
    </w:p>
    <w:p w14:paraId="70526492" w14:textId="23C9EFE3" w:rsidR="00094F64" w:rsidRPr="00771E6E" w:rsidRDefault="00094F64" w:rsidP="00182EED"/>
    <w:p w14:paraId="1504A6F7" w14:textId="77777777" w:rsidR="00182EED" w:rsidRPr="00771E6E" w:rsidRDefault="00182EED" w:rsidP="00182EED"/>
    <w:p w14:paraId="23E92AFA" w14:textId="77777777" w:rsidR="00094F64" w:rsidRPr="00771E6E" w:rsidRDefault="00094F64" w:rsidP="00094F64"/>
    <w:p w14:paraId="43228F10" w14:textId="77777777" w:rsidR="00094F64" w:rsidRPr="00771E6E" w:rsidRDefault="00094F64" w:rsidP="00094F64">
      <w:pPr>
        <w:pStyle w:val="Subchapter"/>
      </w:pPr>
      <w:bookmarkStart w:id="63" w:name="_Toc4323759"/>
      <w:bookmarkStart w:id="64" w:name="_Toc20167611"/>
      <w:r w:rsidRPr="00771E6E">
        <w:t>3.2. Tondi with Singing Angels</w:t>
      </w:r>
      <w:bookmarkEnd w:id="63"/>
      <w:bookmarkEnd w:id="64"/>
    </w:p>
    <w:p w14:paraId="1FD73547" w14:textId="77777777" w:rsidR="00094F64" w:rsidRPr="00771E6E" w:rsidRDefault="00094F64" w:rsidP="00094F64">
      <w:pPr>
        <w:rPr>
          <w:b/>
          <w:color w:val="000000" w:themeColor="text1"/>
        </w:rPr>
      </w:pPr>
    </w:p>
    <w:p w14:paraId="1E239DD1" w14:textId="77777777" w:rsidR="00094F64" w:rsidRPr="00771E6E" w:rsidRDefault="00094F64" w:rsidP="00094F64">
      <w:pPr>
        <w:rPr>
          <w:color w:val="000000" w:themeColor="text1"/>
        </w:rPr>
      </w:pPr>
      <w:r w:rsidRPr="00771E6E">
        <w:rPr>
          <w:color w:val="000000" w:themeColor="text1"/>
        </w:rPr>
        <w:t xml:space="preserve">As discussed in Chapter 3.1.1, </w:t>
      </w:r>
      <w:r w:rsidRPr="00771E6E">
        <w:rPr>
          <w:i/>
          <w:color w:val="000000" w:themeColor="text1"/>
        </w:rPr>
        <w:t>tondi</w:t>
      </w:r>
      <w:r w:rsidRPr="00771E6E">
        <w:rPr>
          <w:color w:val="000000" w:themeColor="text1"/>
        </w:rPr>
        <w:t xml:space="preserve"> would resonate with domestic viewers in a number of different ways. The subjects depicted upon them would often include a number of characters to whom the viewers would be able to relate, and which therefore would provide powerful </w:t>
      </w:r>
      <w:r w:rsidRPr="00771E6E">
        <w:rPr>
          <w:i/>
          <w:color w:val="000000" w:themeColor="text1"/>
        </w:rPr>
        <w:t>exempla</w:t>
      </w:r>
      <w:r w:rsidRPr="00771E6E">
        <w:rPr>
          <w:color w:val="000000" w:themeColor="text1"/>
        </w:rPr>
        <w:t xml:space="preserve"> of virtuous </w:t>
      </w:r>
      <w:proofErr w:type="spellStart"/>
      <w:r w:rsidRPr="00771E6E">
        <w:rPr>
          <w:color w:val="000000" w:themeColor="text1"/>
        </w:rPr>
        <w:t>behaviours</w:t>
      </w:r>
      <w:proofErr w:type="spellEnd"/>
      <w:r w:rsidRPr="00771E6E">
        <w:rPr>
          <w:color w:val="000000" w:themeColor="text1"/>
        </w:rPr>
        <w:t xml:space="preserve"> or characteristics for them to imitate. The frequent inclusion of musical angels would have served to communicate moralistic teachings to children in particular, as discussed in Chapter 2.6. In addition, thanks to their similarity to mirrors, and indeed sometimes being viewed in conjunction with actual mirrors, </w:t>
      </w:r>
      <w:r w:rsidRPr="00771E6E">
        <w:rPr>
          <w:i/>
          <w:color w:val="000000" w:themeColor="text1"/>
        </w:rPr>
        <w:t>tondi</w:t>
      </w:r>
      <w:r w:rsidRPr="00771E6E">
        <w:rPr>
          <w:color w:val="000000" w:themeColor="text1"/>
        </w:rPr>
        <w:t xml:space="preserve"> reflected moralistic teachings back to their viewers in a particularly compelling way. Considering this, </w:t>
      </w:r>
      <w:r w:rsidRPr="00771E6E">
        <w:rPr>
          <w:i/>
          <w:color w:val="000000" w:themeColor="text1"/>
        </w:rPr>
        <w:t>tondi</w:t>
      </w:r>
      <w:r w:rsidRPr="00771E6E">
        <w:rPr>
          <w:color w:val="000000" w:themeColor="text1"/>
        </w:rPr>
        <w:t xml:space="preserve"> provide a particularly useful opportunity to illustrate the ways in which depictions of musical angels in domestic settings were intended to provide moral teaching and guidance to children. The following section will consider some specific examples of </w:t>
      </w:r>
      <w:r w:rsidRPr="00771E6E">
        <w:rPr>
          <w:i/>
          <w:color w:val="000000" w:themeColor="text1"/>
        </w:rPr>
        <w:t>tondi</w:t>
      </w:r>
      <w:r w:rsidRPr="00771E6E">
        <w:rPr>
          <w:color w:val="000000" w:themeColor="text1"/>
        </w:rPr>
        <w:t>, and build upon the conclusions drawn in the previous chapters to provide greater insight into the pedagogical role of the musical angels that were included in these compositions.</w:t>
      </w:r>
    </w:p>
    <w:p w14:paraId="576A172B" w14:textId="77777777" w:rsidR="00094F64" w:rsidRPr="00771E6E" w:rsidRDefault="00094F64" w:rsidP="00094F64">
      <w:pPr>
        <w:ind w:firstLine="720"/>
        <w:jc w:val="both"/>
        <w:rPr>
          <w:color w:val="000000" w:themeColor="text1"/>
        </w:rPr>
      </w:pPr>
    </w:p>
    <w:p w14:paraId="1C07A7F6" w14:textId="77777777" w:rsidR="00094F64" w:rsidRPr="00771E6E" w:rsidRDefault="00094F64" w:rsidP="00094F64">
      <w:pPr>
        <w:ind w:firstLine="720"/>
        <w:jc w:val="both"/>
        <w:rPr>
          <w:b/>
          <w:color w:val="000000" w:themeColor="text1"/>
        </w:rPr>
      </w:pPr>
    </w:p>
    <w:p w14:paraId="6CC34BF3" w14:textId="77777777" w:rsidR="00094F64" w:rsidRPr="00771E6E" w:rsidRDefault="00094F64" w:rsidP="00094F64">
      <w:pPr>
        <w:pStyle w:val="Heading3"/>
      </w:pPr>
      <w:bookmarkStart w:id="65" w:name="_Toc4323760"/>
      <w:bookmarkStart w:id="66" w:name="_Toc20167612"/>
      <w:r w:rsidRPr="00771E6E">
        <w:t>3.2.1. Botticelli’s Musical Tondi</w:t>
      </w:r>
      <w:bookmarkEnd w:id="65"/>
      <w:bookmarkEnd w:id="66"/>
      <w:r w:rsidRPr="00771E6E">
        <w:t xml:space="preserve">  </w:t>
      </w:r>
    </w:p>
    <w:p w14:paraId="1B45A357" w14:textId="77777777" w:rsidR="00094F64" w:rsidRPr="00771E6E" w:rsidRDefault="00094F64" w:rsidP="00094F64">
      <w:pPr>
        <w:rPr>
          <w:color w:val="000000" w:themeColor="text1"/>
        </w:rPr>
      </w:pPr>
    </w:p>
    <w:p w14:paraId="5997F009" w14:textId="77777777" w:rsidR="00094F64" w:rsidRPr="00771E6E" w:rsidRDefault="00094F64" w:rsidP="00094F64">
      <w:pPr>
        <w:rPr>
          <w:color w:val="000000" w:themeColor="text1"/>
        </w:rPr>
      </w:pPr>
      <w:r w:rsidRPr="00771E6E">
        <w:rPr>
          <w:color w:val="000000" w:themeColor="text1"/>
        </w:rPr>
        <w:t>Sandro Botticelli included music making in several of his paintings throughout his career. In his works, angels play musical instruments (</w:t>
      </w:r>
      <w:r w:rsidRPr="00771E6E">
        <w:rPr>
          <w:i/>
          <w:color w:val="000000" w:themeColor="text1"/>
        </w:rPr>
        <w:t>Saint Francis of Assisi with Angels</w:t>
      </w:r>
      <w:r w:rsidRPr="00771E6E">
        <w:rPr>
          <w:color w:val="000000" w:themeColor="text1"/>
        </w:rPr>
        <w:t>) and dance (</w:t>
      </w:r>
      <w:r w:rsidRPr="00771E6E">
        <w:rPr>
          <w:i/>
          <w:color w:val="000000" w:themeColor="text1"/>
        </w:rPr>
        <w:t xml:space="preserve">Mystic Nativity </w:t>
      </w:r>
      <w:r w:rsidRPr="00771E6E">
        <w:rPr>
          <w:color w:val="000000" w:themeColor="text1"/>
        </w:rPr>
        <w:t xml:space="preserve">and San Marco altarpiece with the </w:t>
      </w:r>
      <w:r w:rsidRPr="00771E6E">
        <w:rPr>
          <w:i/>
          <w:color w:val="000000" w:themeColor="text1"/>
        </w:rPr>
        <w:t>Coronation of the Virgin</w:t>
      </w:r>
      <w:r w:rsidRPr="00771E6E">
        <w:rPr>
          <w:color w:val="000000" w:themeColor="text1"/>
        </w:rPr>
        <w:t xml:space="preserve">), among other activities. However, the most common musical activity that they perform is singing from choir books and beating musical time while they do so, as can be observed in several </w:t>
      </w:r>
      <w:r w:rsidRPr="00771E6E">
        <w:rPr>
          <w:i/>
          <w:color w:val="000000" w:themeColor="text1"/>
        </w:rPr>
        <w:t>tondi</w:t>
      </w:r>
      <w:r w:rsidRPr="00771E6E">
        <w:rPr>
          <w:color w:val="000000" w:themeColor="text1"/>
        </w:rPr>
        <w:t xml:space="preserve"> that he and his workshop produced, which will be discussed in this section.</w:t>
      </w:r>
    </w:p>
    <w:p w14:paraId="34E06249" w14:textId="77777777" w:rsidR="00094F64" w:rsidRPr="00771E6E" w:rsidRDefault="00094F64" w:rsidP="00094F64">
      <w:pPr>
        <w:ind w:firstLine="720"/>
        <w:rPr>
          <w:color w:val="000000" w:themeColor="text1"/>
        </w:rPr>
      </w:pPr>
      <w:r w:rsidRPr="00771E6E">
        <w:rPr>
          <w:color w:val="000000" w:themeColor="text1"/>
        </w:rPr>
        <w:t xml:space="preserve">A small number of contemporary references to Botticelli’s </w:t>
      </w:r>
      <w:r w:rsidRPr="00771E6E">
        <w:rPr>
          <w:i/>
          <w:color w:val="000000" w:themeColor="text1"/>
        </w:rPr>
        <w:t>tondi</w:t>
      </w:r>
      <w:r w:rsidRPr="00771E6E">
        <w:rPr>
          <w:color w:val="000000" w:themeColor="text1"/>
        </w:rPr>
        <w:t xml:space="preserve"> survive, including three records of </w:t>
      </w:r>
      <w:r w:rsidRPr="00771E6E">
        <w:t>payments, one of which was made in 1477-1478 for Cardinal Francesco Gonzaga</w:t>
      </w:r>
      <w:r w:rsidRPr="00771E6E">
        <w:rPr>
          <w:color w:val="000000" w:themeColor="text1"/>
        </w:rPr>
        <w:t xml:space="preserve">, another in 1487 for the audience hall of the </w:t>
      </w:r>
      <w:proofErr w:type="spellStart"/>
      <w:r w:rsidRPr="00771E6E">
        <w:rPr>
          <w:color w:val="000000" w:themeColor="text1"/>
        </w:rPr>
        <w:t>Massai</w:t>
      </w:r>
      <w:proofErr w:type="spellEnd"/>
      <w:r w:rsidRPr="00771E6E">
        <w:rPr>
          <w:color w:val="000000" w:themeColor="text1"/>
        </w:rPr>
        <w:t xml:space="preserve"> </w:t>
      </w:r>
      <w:proofErr w:type="spellStart"/>
      <w:r w:rsidRPr="00771E6E">
        <w:rPr>
          <w:color w:val="000000" w:themeColor="text1"/>
        </w:rPr>
        <w:t>della</w:t>
      </w:r>
      <w:proofErr w:type="spellEnd"/>
      <w:r w:rsidRPr="00771E6E">
        <w:rPr>
          <w:color w:val="000000" w:themeColor="text1"/>
        </w:rPr>
        <w:t xml:space="preserve"> Camera, and the last one in 1489 for a citizen called Luigi </w:t>
      </w:r>
      <w:proofErr w:type="spellStart"/>
      <w:r w:rsidRPr="00771E6E">
        <w:rPr>
          <w:color w:val="000000" w:themeColor="text1"/>
        </w:rPr>
        <w:t>d’Ugolino</w:t>
      </w:r>
      <w:proofErr w:type="spellEnd"/>
      <w:r w:rsidRPr="00771E6E">
        <w:rPr>
          <w:color w:val="000000" w:themeColor="text1"/>
        </w:rPr>
        <w:t xml:space="preserve"> </w:t>
      </w:r>
      <w:proofErr w:type="spellStart"/>
      <w:r w:rsidRPr="00771E6E">
        <w:rPr>
          <w:color w:val="000000" w:themeColor="text1"/>
        </w:rPr>
        <w:t>Martelli</w:t>
      </w:r>
      <w:proofErr w:type="spellEnd"/>
      <w:r w:rsidRPr="00771E6E">
        <w:rPr>
          <w:color w:val="000000" w:themeColor="text1"/>
        </w:rPr>
        <w:t>.</w:t>
      </w:r>
      <w:r w:rsidRPr="00771E6E">
        <w:rPr>
          <w:rStyle w:val="FootnoteReference"/>
        </w:rPr>
        <w:footnoteReference w:id="573"/>
      </w:r>
      <w:r w:rsidRPr="00771E6E">
        <w:rPr>
          <w:color w:val="000000" w:themeColor="text1"/>
        </w:rPr>
        <w:t xml:space="preserve"> While these references to </w:t>
      </w:r>
      <w:r w:rsidRPr="00771E6E">
        <w:rPr>
          <w:color w:val="000000" w:themeColor="text1"/>
        </w:rPr>
        <w:lastRenderedPageBreak/>
        <w:t xml:space="preserve">Botticelli’s </w:t>
      </w:r>
      <w:r w:rsidRPr="00771E6E">
        <w:rPr>
          <w:i/>
          <w:color w:val="000000" w:themeColor="text1"/>
        </w:rPr>
        <w:t xml:space="preserve">tondi </w:t>
      </w:r>
      <w:r w:rsidRPr="00771E6E">
        <w:rPr>
          <w:color w:val="000000" w:themeColor="text1"/>
        </w:rPr>
        <w:t>provide information about their commission and patron, they rarely provide a detailed description of the images depicted.</w:t>
      </w:r>
      <w:r w:rsidRPr="00771E6E">
        <w:rPr>
          <w:rStyle w:val="FootnoteReference"/>
        </w:rPr>
        <w:footnoteReference w:id="574"/>
      </w:r>
    </w:p>
    <w:p w14:paraId="1F275C45" w14:textId="77777777" w:rsidR="00094F64" w:rsidRPr="00771E6E" w:rsidRDefault="00094F64" w:rsidP="00094F64">
      <w:pPr>
        <w:ind w:firstLine="720"/>
        <w:rPr>
          <w:color w:val="000000" w:themeColor="text1"/>
        </w:rPr>
      </w:pPr>
      <w:r w:rsidRPr="00771E6E">
        <w:rPr>
          <w:color w:val="000000" w:themeColor="text1"/>
        </w:rPr>
        <w:t xml:space="preserve">Although one of these commissions is for a public institution, in most cases a domestic purpose can be considered, as implied by a statement made by Vasari: “throughout the town in numerous </w:t>
      </w:r>
      <w:r w:rsidRPr="00771E6E">
        <w:rPr>
          <w:i/>
          <w:color w:val="000000" w:themeColor="text1"/>
        </w:rPr>
        <w:t>houses</w:t>
      </w:r>
      <w:r w:rsidRPr="00771E6E">
        <w:rPr>
          <w:color w:val="000000" w:themeColor="text1"/>
        </w:rPr>
        <w:t xml:space="preserve"> [Sandro Botticelli] made </w:t>
      </w:r>
      <w:r w:rsidRPr="00771E6E">
        <w:rPr>
          <w:i/>
          <w:color w:val="000000" w:themeColor="text1"/>
        </w:rPr>
        <w:t>tondi</w:t>
      </w:r>
      <w:r w:rsidRPr="00771E6E">
        <w:rPr>
          <w:color w:val="000000" w:themeColor="text1"/>
        </w:rPr>
        <w:t xml:space="preserve"> with his own hand” (my Italics).</w:t>
      </w:r>
      <w:r w:rsidRPr="00771E6E">
        <w:rPr>
          <w:rStyle w:val="FootnoteReference"/>
        </w:rPr>
        <w:footnoteReference w:id="575"/>
      </w:r>
      <w:r w:rsidRPr="00771E6E">
        <w:rPr>
          <w:color w:val="000000" w:themeColor="text1"/>
        </w:rPr>
        <w:t xml:space="preserve"> It seems likely that, the aforementioned commission by Luigi </w:t>
      </w:r>
      <w:proofErr w:type="spellStart"/>
      <w:r w:rsidRPr="00771E6E">
        <w:rPr>
          <w:color w:val="000000" w:themeColor="text1"/>
        </w:rPr>
        <w:t>d’Ugolino</w:t>
      </w:r>
      <w:proofErr w:type="spellEnd"/>
      <w:r w:rsidRPr="00771E6E">
        <w:rPr>
          <w:color w:val="000000" w:themeColor="text1"/>
        </w:rPr>
        <w:t xml:space="preserve"> </w:t>
      </w:r>
      <w:proofErr w:type="spellStart"/>
      <w:r w:rsidRPr="00771E6E">
        <w:rPr>
          <w:color w:val="000000" w:themeColor="text1"/>
        </w:rPr>
        <w:t>Martelli</w:t>
      </w:r>
      <w:proofErr w:type="spellEnd"/>
      <w:r w:rsidRPr="00771E6E">
        <w:rPr>
          <w:color w:val="000000" w:themeColor="text1"/>
        </w:rPr>
        <w:t xml:space="preserve"> was intended for a similar domestic purpose. According to the surviving record, Luigi purchased an expensive </w:t>
      </w:r>
      <w:r w:rsidRPr="00771E6E">
        <w:rPr>
          <w:i/>
          <w:color w:val="000000" w:themeColor="text1"/>
        </w:rPr>
        <w:t>tondo</w:t>
      </w:r>
      <w:r w:rsidRPr="00771E6E">
        <w:rPr>
          <w:color w:val="000000" w:themeColor="text1"/>
        </w:rPr>
        <w:t xml:space="preserve"> by Botticelli painted with the figure of the Virgin, which is now either lost or missing a correct identification.</w:t>
      </w:r>
      <w:r w:rsidRPr="00771E6E">
        <w:rPr>
          <w:rStyle w:val="FootnoteReference"/>
        </w:rPr>
        <w:footnoteReference w:id="576"/>
      </w:r>
      <w:r w:rsidRPr="00771E6E">
        <w:rPr>
          <w:color w:val="000000" w:themeColor="text1"/>
        </w:rPr>
        <w:t xml:space="preserve"> The idea that </w:t>
      </w:r>
      <w:r w:rsidRPr="00771E6E">
        <w:rPr>
          <w:i/>
          <w:color w:val="000000" w:themeColor="text1"/>
        </w:rPr>
        <w:t>tondi</w:t>
      </w:r>
      <w:r w:rsidRPr="00771E6E">
        <w:rPr>
          <w:color w:val="000000" w:themeColor="text1"/>
        </w:rPr>
        <w:t xml:space="preserve"> were intended for a domestic setting is further supported by the </w:t>
      </w:r>
      <w:r w:rsidRPr="00771E6E">
        <w:rPr>
          <w:i/>
          <w:color w:val="000000" w:themeColor="text1"/>
        </w:rPr>
        <w:t>tondo</w:t>
      </w:r>
      <w:r w:rsidRPr="00771E6E">
        <w:rPr>
          <w:color w:val="000000" w:themeColor="text1"/>
        </w:rPr>
        <w:t xml:space="preserve"> with the Virgin and Child and angels carrying the instruments of the Passion </w:t>
      </w:r>
      <w:r w:rsidRPr="00771E6E">
        <w:t>now held in the Galleria Corsini</w:t>
      </w:r>
      <w:r w:rsidRPr="00771E6E">
        <w:rPr>
          <w:color w:val="000000" w:themeColor="text1"/>
        </w:rPr>
        <w:t xml:space="preserve"> in </w:t>
      </w:r>
      <w:r w:rsidRPr="00771E6E">
        <w:t xml:space="preserve">Florence, which </w:t>
      </w:r>
      <w:r w:rsidRPr="00771E6E">
        <w:rPr>
          <w:color w:val="000000" w:themeColor="text1"/>
        </w:rPr>
        <w:t>was once part of the collections kept in the Villa Medici in Careggi.</w:t>
      </w:r>
      <w:r w:rsidRPr="00771E6E">
        <w:rPr>
          <w:rStyle w:val="FootnoteReference"/>
        </w:rPr>
        <w:footnoteReference w:id="577"/>
      </w:r>
      <w:r w:rsidRPr="00771E6E">
        <w:rPr>
          <w:color w:val="000000" w:themeColor="text1"/>
        </w:rPr>
        <w:t xml:space="preserve"> Fortunately, a number of </w:t>
      </w:r>
      <w:r w:rsidRPr="00771E6E">
        <w:rPr>
          <w:i/>
          <w:color w:val="000000" w:themeColor="text1"/>
        </w:rPr>
        <w:t xml:space="preserve">tondi </w:t>
      </w:r>
      <w:r w:rsidRPr="00771E6E">
        <w:rPr>
          <w:color w:val="000000" w:themeColor="text1"/>
        </w:rPr>
        <w:t xml:space="preserve">from Botticelli’s workshop have survived, providing further opportunities to better understand the role that these objects would have played in domestic environments and the messages they would have communicated to their viewers. This section will focus in particular on a number of Botticelli’s </w:t>
      </w:r>
      <w:r w:rsidRPr="00771E6E">
        <w:rPr>
          <w:i/>
          <w:color w:val="000000" w:themeColor="text1"/>
        </w:rPr>
        <w:t>tondi</w:t>
      </w:r>
      <w:r w:rsidRPr="00771E6E">
        <w:rPr>
          <w:color w:val="000000" w:themeColor="text1"/>
        </w:rPr>
        <w:t xml:space="preserve"> which feature musical angels, a subject that can often be linked to a young audience.</w:t>
      </w:r>
    </w:p>
    <w:p w14:paraId="440B7D10" w14:textId="77777777" w:rsidR="00094F64" w:rsidRPr="00771E6E" w:rsidRDefault="00094F64" w:rsidP="00094F64">
      <w:pPr>
        <w:ind w:firstLine="720"/>
        <w:rPr>
          <w:color w:val="000000" w:themeColor="text1"/>
        </w:rPr>
      </w:pPr>
      <w:r w:rsidRPr="00771E6E">
        <w:rPr>
          <w:color w:val="000000" w:themeColor="text1"/>
        </w:rPr>
        <w:t xml:space="preserve">In the so-called </w:t>
      </w:r>
      <w:proofErr w:type="spellStart"/>
      <w:r w:rsidRPr="00771E6E">
        <w:rPr>
          <w:i/>
          <w:color w:val="000000" w:themeColor="text1"/>
        </w:rPr>
        <w:t>Raczynski</w:t>
      </w:r>
      <w:proofErr w:type="spellEnd"/>
      <w:r w:rsidRPr="00771E6E">
        <w:rPr>
          <w:i/>
          <w:color w:val="000000" w:themeColor="text1"/>
        </w:rPr>
        <w:t xml:space="preserve"> Tondo</w:t>
      </w:r>
      <w:r w:rsidRPr="00771E6E">
        <w:rPr>
          <w:color w:val="000000" w:themeColor="text1"/>
        </w:rPr>
        <w:t xml:space="preserve"> (fig. 3.19), kept in the </w:t>
      </w:r>
      <w:proofErr w:type="spellStart"/>
      <w:r w:rsidRPr="00771E6E">
        <w:rPr>
          <w:color w:val="000000" w:themeColor="text1"/>
        </w:rPr>
        <w:t>Gemäldegalerie</w:t>
      </w:r>
      <w:proofErr w:type="spellEnd"/>
      <w:r w:rsidRPr="00771E6E">
        <w:rPr>
          <w:color w:val="000000" w:themeColor="text1"/>
        </w:rPr>
        <w:t xml:space="preserve"> in Berlin, eight young angels gather around the Virgin and Child, carrying lilies, a symbol of Mary’s purity, while a crown is held by heavenly hands above the Virgin’s head. This </w:t>
      </w:r>
      <w:r w:rsidRPr="00771E6E">
        <w:rPr>
          <w:i/>
          <w:color w:val="000000" w:themeColor="text1"/>
        </w:rPr>
        <w:t>tondo</w:t>
      </w:r>
      <w:r w:rsidRPr="00771E6E">
        <w:rPr>
          <w:color w:val="000000" w:themeColor="text1"/>
        </w:rPr>
        <w:t xml:space="preserve"> can possibly be identified as that mentioned by Vasari as being in the church of San Francesco (now San Salvatore al Monte) in Florence: “It is by Sandro’s hand, in San Francesco outside the Porta San </w:t>
      </w:r>
      <w:proofErr w:type="spellStart"/>
      <w:r w:rsidRPr="00771E6E">
        <w:rPr>
          <w:color w:val="000000" w:themeColor="text1"/>
        </w:rPr>
        <w:t>Miniato</w:t>
      </w:r>
      <w:proofErr w:type="spellEnd"/>
      <w:r w:rsidRPr="00771E6E">
        <w:rPr>
          <w:color w:val="000000" w:themeColor="text1"/>
        </w:rPr>
        <w:t xml:space="preserve">, a </w:t>
      </w:r>
      <w:r w:rsidRPr="00771E6E">
        <w:rPr>
          <w:i/>
          <w:color w:val="000000" w:themeColor="text1"/>
        </w:rPr>
        <w:t>tondo</w:t>
      </w:r>
      <w:r w:rsidRPr="00771E6E">
        <w:rPr>
          <w:color w:val="000000" w:themeColor="text1"/>
        </w:rPr>
        <w:t xml:space="preserve"> with a Madonna and a number of life-size angels,</w:t>
      </w:r>
      <w:r w:rsidRPr="00771E6E">
        <w:rPr>
          <w:i/>
          <w:color w:val="000000" w:themeColor="text1"/>
        </w:rPr>
        <w:t xml:space="preserve"> </w:t>
      </w:r>
      <w:r w:rsidRPr="00771E6E">
        <w:rPr>
          <w:color w:val="000000" w:themeColor="text1"/>
        </w:rPr>
        <w:t>which was considered to be a very beautiful thing”.</w:t>
      </w:r>
      <w:r w:rsidRPr="00771E6E">
        <w:rPr>
          <w:rStyle w:val="FootnoteReference"/>
        </w:rPr>
        <w:footnoteReference w:id="578"/>
      </w:r>
      <w:r w:rsidRPr="00771E6E">
        <w:rPr>
          <w:color w:val="000000" w:themeColor="text1"/>
        </w:rPr>
        <w:t xml:space="preserve"> However, Ronald Lightbown believes it unlikely that this </w:t>
      </w:r>
      <w:r w:rsidRPr="00771E6E">
        <w:rPr>
          <w:i/>
          <w:color w:val="000000" w:themeColor="text1"/>
        </w:rPr>
        <w:t>tondo</w:t>
      </w:r>
      <w:r w:rsidRPr="00771E6E">
        <w:rPr>
          <w:color w:val="000000" w:themeColor="text1"/>
        </w:rPr>
        <w:t xml:space="preserve"> was produced for the ecclesiastical setting in which it was seen by Vasari.</w:t>
      </w:r>
      <w:r w:rsidRPr="00771E6E">
        <w:rPr>
          <w:rStyle w:val="FootnoteReference"/>
        </w:rPr>
        <w:footnoteReference w:id="579"/>
      </w:r>
      <w:r w:rsidRPr="00771E6E">
        <w:rPr>
          <w:color w:val="000000" w:themeColor="text1"/>
        </w:rPr>
        <w:t xml:space="preserve"> Frank </w:t>
      </w:r>
      <w:proofErr w:type="spellStart"/>
      <w:r w:rsidRPr="00771E6E">
        <w:rPr>
          <w:color w:val="000000" w:themeColor="text1"/>
        </w:rPr>
        <w:t>Zöllner</w:t>
      </w:r>
      <w:proofErr w:type="spellEnd"/>
      <w:r w:rsidRPr="00771E6E">
        <w:rPr>
          <w:color w:val="000000" w:themeColor="text1"/>
        </w:rPr>
        <w:t xml:space="preserve"> has put forward the hypothesis that the location of this </w:t>
      </w:r>
      <w:r w:rsidRPr="00771E6E">
        <w:rPr>
          <w:color w:val="000000" w:themeColor="text1"/>
        </w:rPr>
        <w:lastRenderedPageBreak/>
        <w:t xml:space="preserve">painting could have been a funerary setting, which would be supported by the fact that the eight lilies in this </w:t>
      </w:r>
      <w:r w:rsidRPr="00771E6E">
        <w:rPr>
          <w:i/>
          <w:color w:val="000000" w:themeColor="text1"/>
        </w:rPr>
        <w:t>tondo</w:t>
      </w:r>
      <w:r w:rsidRPr="00771E6E">
        <w:rPr>
          <w:color w:val="000000" w:themeColor="text1"/>
        </w:rPr>
        <w:t xml:space="preserve"> might have been intended as a symbol of resurrection.</w:t>
      </w:r>
      <w:r w:rsidRPr="00771E6E">
        <w:rPr>
          <w:rStyle w:val="FootnoteReference"/>
        </w:rPr>
        <w:footnoteReference w:id="580"/>
      </w:r>
      <w:r w:rsidRPr="00771E6E">
        <w:rPr>
          <w:color w:val="000000" w:themeColor="text1"/>
        </w:rPr>
        <w:t xml:space="preserve"> </w:t>
      </w:r>
    </w:p>
    <w:p w14:paraId="07C998EC" w14:textId="77777777" w:rsidR="00094F64" w:rsidRPr="00771E6E" w:rsidRDefault="00094F64" w:rsidP="00094F64">
      <w:pPr>
        <w:ind w:firstLine="720"/>
        <w:rPr>
          <w:color w:val="000000" w:themeColor="text1"/>
        </w:rPr>
      </w:pPr>
      <w:r w:rsidRPr="00771E6E">
        <w:t>The figure of the Virgin dominates the composition. She wears a golden star on her robe, which is a reference to her epithet of “Star of the Sea.”</w:t>
      </w:r>
      <w:r w:rsidRPr="00771E6E">
        <w:rPr>
          <w:rStyle w:val="FootnoteReference"/>
        </w:rPr>
        <w:footnoteReference w:id="581"/>
      </w:r>
      <w:r w:rsidRPr="00771E6E">
        <w:t xml:space="preserve"> </w:t>
      </w:r>
      <w:r w:rsidRPr="00771E6E">
        <w:rPr>
          <w:color w:val="000000" w:themeColor="text1"/>
        </w:rPr>
        <w:t>The four angels on the right-hand side of the panel are poised to sing from a book of music held by one member of the group, who seems to be following the text or the musical notes using a lily stem. The remaining angels on the other side appear silent, perhaps listening or waiting for their turn to sing, seemingly paying little attention to the book that one of them holds.</w:t>
      </w:r>
      <w:r w:rsidRPr="00771E6E">
        <w:t xml:space="preserve"> It is possible that the two groups of angels are performing antiphonal singing, although the representation of the choir books and the distribution of voices is perhaps more likely to be a product of the artist’s creativity rather than an accurate depiction of realistic practices, as the size of the depicted choir books does not correspond to contemporary use.</w:t>
      </w:r>
      <w:r w:rsidRPr="00771E6E">
        <w:rPr>
          <w:rStyle w:val="FootnoteReference"/>
        </w:rPr>
        <w:footnoteReference w:id="582"/>
      </w:r>
      <w:r w:rsidRPr="00771E6E">
        <w:t xml:space="preserve"> It appears that there is no direct indication in the painting as to the song the angels may be singing. The only pictorial suggestion is the Virgin’s epithet of “Star of the Sea”, which also existed in a musical form, namely, in a hymn entitled </w:t>
      </w:r>
      <w:r w:rsidRPr="00771E6E">
        <w:rPr>
          <w:i/>
          <w:iCs/>
        </w:rPr>
        <w:t>Ave Maris Stella</w:t>
      </w:r>
      <w:r w:rsidRPr="00771E6E">
        <w:t xml:space="preserve">. This hymn is included in a </w:t>
      </w:r>
      <w:r w:rsidRPr="00771E6E">
        <w:rPr>
          <w:color w:val="000000" w:themeColor="text1"/>
        </w:rPr>
        <w:t>three-voice setting in the manuscript Mod B</w:t>
      </w:r>
      <w:r w:rsidRPr="00771E6E">
        <w:t xml:space="preserve"> (</w:t>
      </w:r>
      <w:r w:rsidRPr="00771E6E">
        <w:rPr>
          <w:color w:val="000000" w:themeColor="text1"/>
        </w:rPr>
        <w:t xml:space="preserve">Modena, </w:t>
      </w:r>
      <w:proofErr w:type="spellStart"/>
      <w:r w:rsidRPr="00771E6E">
        <w:rPr>
          <w:color w:val="000000" w:themeColor="text1"/>
        </w:rPr>
        <w:t>Biblioteca</w:t>
      </w:r>
      <w:proofErr w:type="spellEnd"/>
      <w:r w:rsidRPr="00771E6E">
        <w:rPr>
          <w:color w:val="000000" w:themeColor="text1"/>
        </w:rPr>
        <w:t xml:space="preserve"> </w:t>
      </w:r>
      <w:proofErr w:type="spellStart"/>
      <w:r w:rsidRPr="00771E6E">
        <w:rPr>
          <w:color w:val="000000" w:themeColor="text1"/>
        </w:rPr>
        <w:t>Estense</w:t>
      </w:r>
      <w:proofErr w:type="spellEnd"/>
      <w:r w:rsidRPr="00771E6E">
        <w:rPr>
          <w:color w:val="000000" w:themeColor="text1"/>
        </w:rPr>
        <w:t xml:space="preserve">, MS α.X.1.11), which was likely used by singers in the Florentine Cathedral. James </w:t>
      </w:r>
      <w:proofErr w:type="spellStart"/>
      <w:r w:rsidRPr="00771E6E">
        <w:rPr>
          <w:color w:val="000000" w:themeColor="text1"/>
        </w:rPr>
        <w:t>Haar</w:t>
      </w:r>
      <w:proofErr w:type="spellEnd"/>
      <w:r w:rsidRPr="00771E6E">
        <w:rPr>
          <w:color w:val="000000" w:themeColor="text1"/>
        </w:rPr>
        <w:t xml:space="preserve"> and John </w:t>
      </w:r>
      <w:proofErr w:type="spellStart"/>
      <w:r w:rsidRPr="00771E6E">
        <w:rPr>
          <w:color w:val="000000" w:themeColor="text1"/>
        </w:rPr>
        <w:t>Nádas</w:t>
      </w:r>
      <w:proofErr w:type="spellEnd"/>
      <w:r w:rsidRPr="00771E6E">
        <w:rPr>
          <w:color w:val="000000" w:themeColor="text1"/>
        </w:rPr>
        <w:t xml:space="preserve"> believe that this manuscript was compiled by the French singer Benoît </w:t>
      </w:r>
      <w:r w:rsidRPr="00771E6E">
        <w:t xml:space="preserve">(often called </w:t>
      </w:r>
      <w:proofErr w:type="spellStart"/>
      <w:r w:rsidRPr="00771E6E">
        <w:t>Benotto</w:t>
      </w:r>
      <w:proofErr w:type="spellEnd"/>
      <w:r w:rsidRPr="00771E6E">
        <w:t xml:space="preserve"> in the documents), who sung at the Florence Baptistery and, from December 1438, at the Cathedral</w:t>
      </w:r>
      <w:r w:rsidRPr="00771E6E">
        <w:rPr>
          <w:color w:val="000000" w:themeColor="text1"/>
        </w:rPr>
        <w:t>.</w:t>
      </w:r>
      <w:r w:rsidRPr="00771E6E">
        <w:rPr>
          <w:rStyle w:val="FootnoteReference"/>
        </w:rPr>
        <w:footnoteReference w:id="583"/>
      </w:r>
      <w:r w:rsidRPr="00771E6E">
        <w:rPr>
          <w:color w:val="000000" w:themeColor="text1"/>
        </w:rPr>
        <w:t xml:space="preserve"> </w:t>
      </w:r>
    </w:p>
    <w:p w14:paraId="5BFC3B7F" w14:textId="77777777" w:rsidR="00094F64" w:rsidRPr="00771E6E" w:rsidRDefault="00094F64" w:rsidP="00094F64">
      <w:pPr>
        <w:ind w:firstLine="720"/>
      </w:pPr>
      <w:r w:rsidRPr="00771E6E">
        <w:t xml:space="preserve">The singing of the </w:t>
      </w:r>
      <w:r w:rsidRPr="00771E6E">
        <w:rPr>
          <w:i/>
        </w:rPr>
        <w:t>Ave Maris Stella</w:t>
      </w:r>
      <w:r w:rsidRPr="00771E6E">
        <w:t xml:space="preserve"> was also advocated by Girolamo Savonarola as part of his promotion of </w:t>
      </w:r>
      <w:r w:rsidRPr="00771E6E">
        <w:rPr>
          <w:i/>
        </w:rPr>
        <w:t>laude</w:t>
      </w:r>
      <w:r w:rsidRPr="00771E6E">
        <w:t xml:space="preserve"> and chant singing in contrast to ornate polyphony, as can be read in one his sermons directed to young people: </w:t>
      </w:r>
    </w:p>
    <w:p w14:paraId="768365F4" w14:textId="77777777" w:rsidR="00094F64" w:rsidRPr="00771E6E" w:rsidRDefault="00094F64" w:rsidP="00094F64">
      <w:pPr>
        <w:ind w:left="720"/>
      </w:pPr>
    </w:p>
    <w:p w14:paraId="29EB3448" w14:textId="77777777" w:rsidR="00094F64" w:rsidRPr="00771E6E" w:rsidRDefault="00094F64" w:rsidP="00094F64">
      <w:pPr>
        <w:pStyle w:val="IntenseQuote"/>
      </w:pPr>
      <w:r w:rsidRPr="00771E6E">
        <w:t xml:space="preserve">Let us now talk to you, young children. Listen to me: you sing </w:t>
      </w:r>
      <w:r w:rsidRPr="00771E6E">
        <w:rPr>
          <w:i/>
        </w:rPr>
        <w:t>laude</w:t>
      </w:r>
      <w:r w:rsidRPr="00771E6E">
        <w:t xml:space="preserve"> here in the morning and this is a good thing; but sometimes I would like you to sing the songs of the Church as well, such as </w:t>
      </w:r>
      <w:r w:rsidRPr="00771E6E">
        <w:rPr>
          <w:i/>
        </w:rPr>
        <w:t>Ave Maris Stella</w:t>
      </w:r>
      <w:r w:rsidRPr="00771E6E">
        <w:t xml:space="preserve"> … and when I am in the pulpit, if I was to find you singing the </w:t>
      </w:r>
      <w:r w:rsidRPr="00771E6E">
        <w:rPr>
          <w:i/>
        </w:rPr>
        <w:t>Ave Maris Stella</w:t>
      </w:r>
      <w:r w:rsidRPr="00771E6E">
        <w:t xml:space="preserve"> perhaps I would sing myself as well.</w:t>
      </w:r>
      <w:r w:rsidRPr="00771E6E">
        <w:rPr>
          <w:rStyle w:val="FootnoteReference"/>
        </w:rPr>
        <w:footnoteReference w:id="584"/>
      </w:r>
      <w:r w:rsidRPr="00771E6E">
        <w:rPr>
          <w:rFonts w:ascii="Brill" w:hAnsi="Brill"/>
          <w:sz w:val="22"/>
          <w:szCs w:val="22"/>
        </w:rPr>
        <w:t xml:space="preserve"> </w:t>
      </w:r>
    </w:p>
    <w:p w14:paraId="3F4184B3" w14:textId="77777777" w:rsidR="00094F64" w:rsidRPr="00771E6E" w:rsidRDefault="00094F64" w:rsidP="00094F64">
      <w:pPr>
        <w:ind w:firstLine="720"/>
      </w:pPr>
    </w:p>
    <w:p w14:paraId="4F8C9900" w14:textId="77777777" w:rsidR="00094F64" w:rsidRPr="00771E6E" w:rsidRDefault="00094F64" w:rsidP="00094F64">
      <w:pPr>
        <w:rPr>
          <w:color w:val="000000" w:themeColor="text1"/>
        </w:rPr>
      </w:pPr>
      <w:r w:rsidRPr="00771E6E">
        <w:rPr>
          <w:color w:val="000000" w:themeColor="text1"/>
        </w:rPr>
        <w:t xml:space="preserve">In light of this, it seems likely that the child-like angels in Botticelli’s </w:t>
      </w:r>
      <w:r w:rsidRPr="00771E6E">
        <w:rPr>
          <w:i/>
          <w:color w:val="000000" w:themeColor="text1"/>
        </w:rPr>
        <w:t>tondo</w:t>
      </w:r>
      <w:r w:rsidRPr="00771E6E">
        <w:rPr>
          <w:color w:val="000000" w:themeColor="text1"/>
        </w:rPr>
        <w:t xml:space="preserve"> were based on actual contemporary practices, in which groups of children would sing this hymn.</w:t>
      </w:r>
    </w:p>
    <w:p w14:paraId="5FD663E6" w14:textId="77777777" w:rsidR="00094F64" w:rsidRPr="00771E6E" w:rsidRDefault="00094F64" w:rsidP="00094F64">
      <w:pPr>
        <w:ind w:firstLine="720"/>
      </w:pPr>
      <w:r w:rsidRPr="00771E6E">
        <w:rPr>
          <w:color w:val="000000" w:themeColor="text1"/>
        </w:rPr>
        <w:t xml:space="preserve">However, </w:t>
      </w:r>
      <w:r w:rsidRPr="00771E6E">
        <w:rPr>
          <w:i/>
          <w:color w:val="000000" w:themeColor="text1"/>
        </w:rPr>
        <w:t>Ave Maris Stella</w:t>
      </w:r>
      <w:r w:rsidRPr="00771E6E">
        <w:rPr>
          <w:color w:val="000000" w:themeColor="text1"/>
        </w:rPr>
        <w:t xml:space="preserve"> is not the only reference to a hymn that can be found in the painting. The lilies that the singing angels are holding are connected to another of the Virgin’s epithets, </w:t>
      </w:r>
      <w:r w:rsidRPr="00771E6E">
        <w:rPr>
          <w:i/>
          <w:color w:val="000000" w:themeColor="text1"/>
        </w:rPr>
        <w:t xml:space="preserve">lilium convallis </w:t>
      </w:r>
      <w:r w:rsidRPr="00771E6E">
        <w:rPr>
          <w:color w:val="000000" w:themeColor="text1"/>
        </w:rPr>
        <w:t xml:space="preserve">(the Lily of the Valley) </w:t>
      </w:r>
      <w:r w:rsidR="00586C70" w:rsidRPr="00771E6E">
        <w:rPr>
          <w:color w:val="000000" w:themeColor="text1"/>
        </w:rPr>
        <w:t>or</w:t>
      </w:r>
      <w:r w:rsidRPr="00771E6E">
        <w:rPr>
          <w:color w:val="000000" w:themeColor="text1"/>
        </w:rPr>
        <w:t xml:space="preserve"> </w:t>
      </w:r>
      <w:r w:rsidRPr="00771E6E">
        <w:rPr>
          <w:i/>
          <w:color w:val="000000" w:themeColor="text1"/>
        </w:rPr>
        <w:t xml:space="preserve">lilium inter </w:t>
      </w:r>
      <w:proofErr w:type="spellStart"/>
      <w:r w:rsidRPr="00771E6E">
        <w:rPr>
          <w:i/>
          <w:color w:val="000000" w:themeColor="text1"/>
        </w:rPr>
        <w:t>spinas</w:t>
      </w:r>
      <w:proofErr w:type="spellEnd"/>
      <w:r w:rsidRPr="00771E6E">
        <w:rPr>
          <w:i/>
          <w:color w:val="000000" w:themeColor="text1"/>
        </w:rPr>
        <w:t xml:space="preserve"> </w:t>
      </w:r>
      <w:r w:rsidRPr="00771E6E">
        <w:rPr>
          <w:color w:val="000000" w:themeColor="text1"/>
        </w:rPr>
        <w:t xml:space="preserve">(the Lily Among Thorns), which was derived from the biblical Song of Songs 2:1-2. Not only was this passage sung at Matins or Vespers </w:t>
      </w:r>
      <w:r w:rsidRPr="00771E6E">
        <w:t>on the feast of the Assumption of the Virgin and other Marian festivities, but the lily was also a symbol of the town of Florence itself.</w:t>
      </w:r>
      <w:r w:rsidRPr="00771E6E">
        <w:rPr>
          <w:rStyle w:val="FootnoteReference"/>
        </w:rPr>
        <w:footnoteReference w:id="585"/>
      </w:r>
      <w:r w:rsidRPr="00771E6E">
        <w:t xml:space="preserve"> Therefore, the use of a lily stem as a pointer by a musical angel can be read as an indication that the angels are actually praising the Virgin’s purity, while at the same time creating a connection between the town of Florence and the Virgin.</w:t>
      </w:r>
    </w:p>
    <w:p w14:paraId="3EC352A9" w14:textId="77777777" w:rsidR="00094F64" w:rsidRPr="00771E6E" w:rsidRDefault="00094F64" w:rsidP="00094F64">
      <w:pPr>
        <w:ind w:firstLine="720"/>
        <w:rPr>
          <w:color w:val="000000" w:themeColor="text1"/>
        </w:rPr>
      </w:pPr>
      <w:r w:rsidRPr="00771E6E">
        <w:rPr>
          <w:color w:val="000000" w:themeColor="text1"/>
        </w:rPr>
        <w:t xml:space="preserve">One of the angels seems to be looking outside the frame, directing his gaze towards the viewer, as if trying to engage the beholders in the musical performance, inviting them to sing praises to God together with the angels. In general, the depiction of an outward-looking figure, referred to by Michael Baxandall as a </w:t>
      </w:r>
      <w:proofErr w:type="spellStart"/>
      <w:r w:rsidRPr="00771E6E">
        <w:rPr>
          <w:i/>
          <w:color w:val="000000" w:themeColor="text1"/>
        </w:rPr>
        <w:t>festaiuolo</w:t>
      </w:r>
      <w:proofErr w:type="spellEnd"/>
      <w:r w:rsidRPr="00771E6E">
        <w:rPr>
          <w:color w:val="000000" w:themeColor="text1"/>
        </w:rPr>
        <w:t>,</w:t>
      </w:r>
      <w:r w:rsidRPr="00771E6E">
        <w:rPr>
          <w:i/>
          <w:color w:val="000000" w:themeColor="text1"/>
        </w:rPr>
        <w:t xml:space="preserve"> </w:t>
      </w:r>
      <w:r w:rsidRPr="00771E6E">
        <w:rPr>
          <w:color w:val="000000" w:themeColor="text1"/>
        </w:rPr>
        <w:t xml:space="preserve">aims to involve viewers with the events portrayed. The use of figures such as these in paintings was recommended by Leon Battista Alberti in his </w:t>
      </w:r>
      <w:r w:rsidRPr="00771E6E">
        <w:rPr>
          <w:i/>
          <w:color w:val="000000" w:themeColor="text1"/>
        </w:rPr>
        <w:t xml:space="preserve">De </w:t>
      </w:r>
      <w:proofErr w:type="spellStart"/>
      <w:r w:rsidRPr="00771E6E">
        <w:rPr>
          <w:i/>
          <w:color w:val="000000" w:themeColor="text1"/>
        </w:rPr>
        <w:t>Pictura</w:t>
      </w:r>
      <w:proofErr w:type="spellEnd"/>
      <w:r w:rsidRPr="00771E6E">
        <w:rPr>
          <w:color w:val="000000" w:themeColor="text1"/>
        </w:rPr>
        <w:t xml:space="preserve"> </w:t>
      </w:r>
      <w:r w:rsidRPr="00771E6E">
        <w:t xml:space="preserve">(1435-1436), based on the original </w:t>
      </w:r>
      <w:proofErr w:type="spellStart"/>
      <w:r w:rsidRPr="00771E6E">
        <w:rPr>
          <w:i/>
          <w:color w:val="000000" w:themeColor="text1"/>
        </w:rPr>
        <w:t>festaiuoli</w:t>
      </w:r>
      <w:proofErr w:type="spellEnd"/>
      <w:r w:rsidRPr="00771E6E">
        <w:rPr>
          <w:color w:val="000000" w:themeColor="text1"/>
        </w:rPr>
        <w:t>, who were angelic figures who introduced theatrical plays and who remained on stage to facilitate the engagement of the viewer with the scene.</w:t>
      </w:r>
      <w:r w:rsidRPr="00771E6E">
        <w:rPr>
          <w:rStyle w:val="FootnoteReference"/>
        </w:rPr>
        <w:footnoteReference w:id="586"/>
      </w:r>
      <w:r w:rsidRPr="00771E6E">
        <w:rPr>
          <w:color w:val="000000" w:themeColor="text1"/>
        </w:rPr>
        <w:t xml:space="preserve"> The addition of the figure of the </w:t>
      </w:r>
      <w:proofErr w:type="spellStart"/>
      <w:r w:rsidRPr="00771E6E">
        <w:rPr>
          <w:i/>
          <w:color w:val="000000" w:themeColor="text1"/>
        </w:rPr>
        <w:t>festaiuolo</w:t>
      </w:r>
      <w:proofErr w:type="spellEnd"/>
      <w:r w:rsidRPr="00771E6E">
        <w:rPr>
          <w:color w:val="000000" w:themeColor="text1"/>
        </w:rPr>
        <w:t xml:space="preserve"> in </w:t>
      </w:r>
      <w:r w:rsidRPr="00771E6E">
        <w:rPr>
          <w:i/>
          <w:color w:val="000000" w:themeColor="text1"/>
        </w:rPr>
        <w:t>tondi</w:t>
      </w:r>
      <w:r w:rsidRPr="00771E6E">
        <w:rPr>
          <w:color w:val="000000" w:themeColor="text1"/>
        </w:rPr>
        <w:t xml:space="preserve"> such as this seems to have been carefully calculated to prompt youthful viewers to identify with the equally youthful angels, accepting their guidance and their example, exactly as they were encouraged to do in other areas of their devotional practice. Without their wings and halos, these distinctly human angels adopt precisely the identity of the domestic viewers whose minds were most ready to accept their lesson. </w:t>
      </w:r>
    </w:p>
    <w:p w14:paraId="6646EAA5" w14:textId="77777777" w:rsidR="00094F64" w:rsidRPr="00771E6E" w:rsidRDefault="00094F64" w:rsidP="00094F64">
      <w:pPr>
        <w:ind w:firstLine="720"/>
        <w:rPr>
          <w:color w:val="000000" w:themeColor="text1"/>
        </w:rPr>
      </w:pPr>
      <w:r w:rsidRPr="00771E6E">
        <w:rPr>
          <w:color w:val="000000" w:themeColor="text1"/>
        </w:rPr>
        <w:t xml:space="preserve">A half-size copy of the </w:t>
      </w:r>
      <w:proofErr w:type="spellStart"/>
      <w:r w:rsidRPr="00771E6E">
        <w:rPr>
          <w:i/>
          <w:color w:val="000000" w:themeColor="text1"/>
        </w:rPr>
        <w:t>Raczynski</w:t>
      </w:r>
      <w:proofErr w:type="spellEnd"/>
      <w:r w:rsidRPr="00771E6E">
        <w:rPr>
          <w:color w:val="000000" w:themeColor="text1"/>
        </w:rPr>
        <w:t xml:space="preserve"> </w:t>
      </w:r>
      <w:r w:rsidRPr="00771E6E">
        <w:rPr>
          <w:i/>
          <w:color w:val="000000" w:themeColor="text1"/>
        </w:rPr>
        <w:t>Tondo</w:t>
      </w:r>
      <w:r w:rsidRPr="00771E6E">
        <w:rPr>
          <w:color w:val="000000" w:themeColor="text1"/>
        </w:rPr>
        <w:t xml:space="preserve"> exists in the </w:t>
      </w:r>
      <w:proofErr w:type="spellStart"/>
      <w:r w:rsidRPr="00771E6E">
        <w:rPr>
          <w:color w:val="000000" w:themeColor="text1"/>
        </w:rPr>
        <w:t>Lindenau</w:t>
      </w:r>
      <w:proofErr w:type="spellEnd"/>
      <w:r w:rsidRPr="00771E6E">
        <w:rPr>
          <w:color w:val="000000" w:themeColor="text1"/>
        </w:rPr>
        <w:t xml:space="preserve">-Museum, Altenburg, which unfortunately is now lacking its bottom third. This might be the copy </w:t>
      </w:r>
      <w:r w:rsidRPr="00771E6E">
        <w:rPr>
          <w:color w:val="000000" w:themeColor="text1"/>
        </w:rPr>
        <w:lastRenderedPageBreak/>
        <w:t xml:space="preserve">produced by Botticelli’s pupil </w:t>
      </w:r>
      <w:proofErr w:type="spellStart"/>
      <w:r w:rsidRPr="00771E6E">
        <w:rPr>
          <w:color w:val="000000" w:themeColor="text1"/>
        </w:rPr>
        <w:t>Biagio</w:t>
      </w:r>
      <w:proofErr w:type="spellEnd"/>
      <w:r w:rsidRPr="00771E6E">
        <w:rPr>
          <w:color w:val="000000" w:themeColor="text1"/>
        </w:rPr>
        <w:t xml:space="preserve">, mentioned by Vasari, which the master sold to a citizen on </w:t>
      </w:r>
      <w:proofErr w:type="spellStart"/>
      <w:r w:rsidRPr="00771E6E">
        <w:rPr>
          <w:color w:val="000000" w:themeColor="text1"/>
        </w:rPr>
        <w:t>Biagio’s</w:t>
      </w:r>
      <w:proofErr w:type="spellEnd"/>
      <w:r w:rsidRPr="00771E6E">
        <w:rPr>
          <w:color w:val="000000" w:themeColor="text1"/>
        </w:rPr>
        <w:t xml:space="preserve"> behalf. The existence of this copy testifies to the fact that Botticelli’s workshop would regularly produce replicas of the master’s works, even in different sizes from the original, that were then sold on the open market.</w:t>
      </w:r>
      <w:r w:rsidRPr="00771E6E">
        <w:rPr>
          <w:rStyle w:val="FootnoteReference"/>
        </w:rPr>
        <w:footnoteReference w:id="587"/>
      </w:r>
    </w:p>
    <w:p w14:paraId="49A4A032" w14:textId="77777777" w:rsidR="00094F64" w:rsidRPr="00771E6E" w:rsidRDefault="00094F64" w:rsidP="00094F64">
      <w:pPr>
        <w:ind w:firstLine="720"/>
        <w:rPr>
          <w:color w:val="000000" w:themeColor="text1"/>
        </w:rPr>
      </w:pPr>
      <w:r w:rsidRPr="00771E6E">
        <w:rPr>
          <w:color w:val="000000" w:themeColor="text1"/>
        </w:rPr>
        <w:t xml:space="preserve">Another of Botticelli’s </w:t>
      </w:r>
      <w:r w:rsidRPr="00771E6E">
        <w:rPr>
          <w:i/>
          <w:color w:val="000000" w:themeColor="text1"/>
        </w:rPr>
        <w:t xml:space="preserve">tondi, </w:t>
      </w:r>
      <w:r w:rsidRPr="00771E6E">
        <w:rPr>
          <w:color w:val="000000" w:themeColor="text1"/>
        </w:rPr>
        <w:t xml:space="preserve">the </w:t>
      </w:r>
      <w:r w:rsidRPr="00771E6E">
        <w:rPr>
          <w:i/>
          <w:iCs/>
          <w:color w:val="000000" w:themeColor="text1"/>
        </w:rPr>
        <w:t xml:space="preserve">Madonna of the Pomegranate </w:t>
      </w:r>
      <w:r w:rsidRPr="00771E6E">
        <w:rPr>
          <w:iCs/>
          <w:color w:val="000000" w:themeColor="text1"/>
        </w:rPr>
        <w:t>(fig. 3.20)</w:t>
      </w:r>
      <w:r w:rsidRPr="00771E6E">
        <w:rPr>
          <w:rStyle w:val="CommentReference"/>
        </w:rPr>
        <w:t xml:space="preserve">, </w:t>
      </w:r>
      <w:r w:rsidRPr="00771E6E">
        <w:rPr>
          <w:color w:val="000000" w:themeColor="text1"/>
        </w:rPr>
        <w:t xml:space="preserve">presents a similar composition to the </w:t>
      </w:r>
      <w:proofErr w:type="spellStart"/>
      <w:r w:rsidRPr="00771E6E">
        <w:rPr>
          <w:i/>
          <w:color w:val="000000" w:themeColor="text1"/>
        </w:rPr>
        <w:t>Raczynski</w:t>
      </w:r>
      <w:proofErr w:type="spellEnd"/>
      <w:r w:rsidRPr="00771E6E">
        <w:rPr>
          <w:i/>
          <w:color w:val="000000" w:themeColor="text1"/>
        </w:rPr>
        <w:t xml:space="preserve"> Tondo</w:t>
      </w:r>
      <w:r w:rsidRPr="00771E6E">
        <w:rPr>
          <w:iCs/>
          <w:color w:val="000000" w:themeColor="text1"/>
        </w:rPr>
        <w:t xml:space="preserve">. Here, </w:t>
      </w:r>
      <w:r w:rsidRPr="00771E6E">
        <w:rPr>
          <w:color w:val="000000" w:themeColor="text1"/>
        </w:rPr>
        <w:t xml:space="preserve">six singing angels are depicted divided into two choirs of three members each on either side of the Virgin and Child, preparing to sing from a pair of books. In this </w:t>
      </w:r>
      <w:r w:rsidRPr="00771E6E">
        <w:rPr>
          <w:i/>
          <w:color w:val="000000" w:themeColor="text1"/>
        </w:rPr>
        <w:t>tondo</w:t>
      </w:r>
      <w:r w:rsidRPr="00771E6E">
        <w:rPr>
          <w:color w:val="000000" w:themeColor="text1"/>
        </w:rPr>
        <w:t>, the Virgin is again portrayed in three-quarter length. The infant Christ holds an open pomegranate, a symbol of his sufferings, while the angels carry pink and red roses and lilies, emblems of the Virgin.</w:t>
      </w:r>
      <w:r w:rsidRPr="00771E6E">
        <w:rPr>
          <w:rStyle w:val="FootnoteReference"/>
        </w:rPr>
        <w:footnoteReference w:id="588"/>
      </w:r>
      <w:r w:rsidRPr="00771E6E">
        <w:rPr>
          <w:color w:val="000000" w:themeColor="text1"/>
        </w:rPr>
        <w:t xml:space="preserve"> </w:t>
      </w:r>
    </w:p>
    <w:p w14:paraId="4BA2795A" w14:textId="71D02C27" w:rsidR="00094F64" w:rsidRPr="00771E6E" w:rsidRDefault="00094F64" w:rsidP="00094F64">
      <w:pPr>
        <w:ind w:firstLine="720"/>
        <w:rPr>
          <w:color w:val="000000" w:themeColor="text1"/>
        </w:rPr>
      </w:pPr>
      <w:r w:rsidRPr="00771E6E">
        <w:rPr>
          <w:color w:val="000000" w:themeColor="text1"/>
        </w:rPr>
        <w:t xml:space="preserve">It has been suggested that this work should be identified with the </w:t>
      </w:r>
      <w:r w:rsidRPr="00771E6E">
        <w:rPr>
          <w:i/>
          <w:color w:val="000000" w:themeColor="text1"/>
        </w:rPr>
        <w:t xml:space="preserve">tondo </w:t>
      </w:r>
      <w:r w:rsidRPr="00771E6E">
        <w:rPr>
          <w:color w:val="000000" w:themeColor="text1"/>
        </w:rPr>
        <w:t xml:space="preserve">commissioned by the magistrate of the </w:t>
      </w:r>
      <w:proofErr w:type="spellStart"/>
      <w:r w:rsidRPr="00771E6E">
        <w:rPr>
          <w:color w:val="000000" w:themeColor="text1"/>
        </w:rPr>
        <w:t>Massai</w:t>
      </w:r>
      <w:proofErr w:type="spellEnd"/>
      <w:r w:rsidRPr="00771E6E">
        <w:rPr>
          <w:color w:val="000000" w:themeColor="text1"/>
        </w:rPr>
        <w:t xml:space="preserve"> di Camera in 1487 for an audience hall (</w:t>
      </w:r>
      <w:r w:rsidRPr="00771E6E">
        <w:rPr>
          <w:i/>
          <w:color w:val="000000" w:themeColor="text1"/>
        </w:rPr>
        <w:t xml:space="preserve">Sala </w:t>
      </w:r>
      <w:proofErr w:type="spellStart"/>
      <w:r w:rsidRPr="00771E6E">
        <w:rPr>
          <w:i/>
          <w:color w:val="000000" w:themeColor="text1"/>
        </w:rPr>
        <w:t>dell’Udienza</w:t>
      </w:r>
      <w:proofErr w:type="spellEnd"/>
      <w:r w:rsidRPr="00771E6E">
        <w:rPr>
          <w:color w:val="000000" w:themeColor="text1"/>
        </w:rPr>
        <w:t>), presumably</w:t>
      </w:r>
      <w:r w:rsidRPr="00771E6E">
        <w:t xml:space="preserve"> the one in Palazzo </w:t>
      </w:r>
      <w:r w:rsidRPr="00771E6E">
        <w:rPr>
          <w:color w:val="000000" w:themeColor="text1"/>
        </w:rPr>
        <w:t xml:space="preserve">Vecchio, Florence. However, this identification is rather problematic, as it is rooted in Gaetano </w:t>
      </w:r>
      <w:proofErr w:type="spellStart"/>
      <w:r w:rsidRPr="00771E6E">
        <w:rPr>
          <w:color w:val="000000" w:themeColor="text1"/>
        </w:rPr>
        <w:t>Milanesi’s</w:t>
      </w:r>
      <w:proofErr w:type="spellEnd"/>
      <w:r w:rsidRPr="00771E6E">
        <w:rPr>
          <w:color w:val="000000" w:themeColor="text1"/>
        </w:rPr>
        <w:t xml:space="preserve"> reference to a </w:t>
      </w:r>
      <w:r w:rsidRPr="00771E6E">
        <w:rPr>
          <w:i/>
          <w:color w:val="000000" w:themeColor="text1"/>
        </w:rPr>
        <w:t>tondo</w:t>
      </w:r>
      <w:r w:rsidRPr="00771E6E">
        <w:rPr>
          <w:color w:val="000000" w:themeColor="text1"/>
        </w:rPr>
        <w:t xml:space="preserve"> commissioned for an audience hall, in his comments on Vasari’s </w:t>
      </w:r>
      <w:r w:rsidRPr="00771E6E">
        <w:rPr>
          <w:i/>
          <w:color w:val="000000" w:themeColor="text1"/>
        </w:rPr>
        <w:t>Lives</w:t>
      </w:r>
      <w:r w:rsidRPr="00771E6E">
        <w:rPr>
          <w:color w:val="000000" w:themeColor="text1"/>
        </w:rPr>
        <w:t xml:space="preserve">, </w:t>
      </w:r>
      <w:r w:rsidR="007A361D" w:rsidRPr="00771E6E">
        <w:rPr>
          <w:color w:val="000000" w:themeColor="text1"/>
        </w:rPr>
        <w:t>and</w:t>
      </w:r>
      <w:r w:rsidRPr="00771E6E">
        <w:rPr>
          <w:color w:val="000000" w:themeColor="text1"/>
        </w:rPr>
        <w:t xml:space="preserve"> he does not record the source from which this information was taken. Herbert Percy Horne linked the </w:t>
      </w:r>
      <w:r w:rsidRPr="00771E6E">
        <w:rPr>
          <w:i/>
          <w:color w:val="000000" w:themeColor="text1"/>
        </w:rPr>
        <w:t xml:space="preserve">tondo </w:t>
      </w:r>
      <w:r w:rsidRPr="00771E6E">
        <w:rPr>
          <w:color w:val="000000" w:themeColor="text1"/>
        </w:rPr>
        <w:t xml:space="preserve">described by </w:t>
      </w:r>
      <w:proofErr w:type="spellStart"/>
      <w:r w:rsidRPr="00771E6E">
        <w:rPr>
          <w:color w:val="000000" w:themeColor="text1"/>
        </w:rPr>
        <w:t>Milanesi</w:t>
      </w:r>
      <w:proofErr w:type="spellEnd"/>
      <w:r w:rsidRPr="00771E6E">
        <w:rPr>
          <w:color w:val="000000" w:themeColor="text1"/>
        </w:rPr>
        <w:t xml:space="preserve"> to the </w:t>
      </w:r>
      <w:r w:rsidRPr="00771E6E">
        <w:rPr>
          <w:i/>
          <w:color w:val="000000" w:themeColor="text1"/>
        </w:rPr>
        <w:t>Madonna of the Pomegranate</w:t>
      </w:r>
      <w:r w:rsidRPr="00771E6E">
        <w:rPr>
          <w:color w:val="000000" w:themeColor="text1"/>
        </w:rPr>
        <w:t xml:space="preserve"> as he believed that the </w:t>
      </w:r>
      <w:r w:rsidRPr="00771E6E">
        <w:rPr>
          <w:i/>
          <w:color w:val="000000" w:themeColor="text1"/>
        </w:rPr>
        <w:t>fleur-de-lis</w:t>
      </w:r>
      <w:r w:rsidRPr="00771E6E">
        <w:rPr>
          <w:color w:val="000000" w:themeColor="text1"/>
        </w:rPr>
        <w:t xml:space="preserve"> carved on its frame, a symbol of the town of Florence, was an indication of a commission for a public institution.</w:t>
      </w:r>
      <w:r w:rsidRPr="00771E6E">
        <w:rPr>
          <w:rStyle w:val="FootnoteReference"/>
        </w:rPr>
        <w:footnoteReference w:id="589"/>
      </w:r>
      <w:r w:rsidRPr="00771E6E">
        <w:rPr>
          <w:color w:val="000000" w:themeColor="text1"/>
        </w:rPr>
        <w:t xml:space="preserve"> Roberta Olson has located the document that refers to the commission mentioned by </w:t>
      </w:r>
      <w:proofErr w:type="spellStart"/>
      <w:r w:rsidRPr="00771E6E">
        <w:rPr>
          <w:color w:val="000000" w:themeColor="text1"/>
        </w:rPr>
        <w:t>Milanesi</w:t>
      </w:r>
      <w:proofErr w:type="spellEnd"/>
      <w:r w:rsidRPr="00771E6E">
        <w:rPr>
          <w:color w:val="000000" w:themeColor="text1"/>
        </w:rPr>
        <w:t xml:space="preserve">, but unfortunately this does not provide any further information which would assist with the identification of the </w:t>
      </w:r>
      <w:r w:rsidRPr="00771E6E">
        <w:rPr>
          <w:i/>
          <w:color w:val="000000" w:themeColor="text1"/>
        </w:rPr>
        <w:t>tondo</w:t>
      </w:r>
      <w:r w:rsidRPr="00771E6E">
        <w:rPr>
          <w:color w:val="000000" w:themeColor="text1"/>
        </w:rPr>
        <w:t>.</w:t>
      </w:r>
      <w:r w:rsidRPr="00771E6E">
        <w:rPr>
          <w:rStyle w:val="FootnoteReference"/>
        </w:rPr>
        <w:footnoteReference w:id="590"/>
      </w:r>
      <w:r w:rsidRPr="00771E6E">
        <w:rPr>
          <w:color w:val="000000" w:themeColor="text1"/>
        </w:rPr>
        <w:t xml:space="preserve"> If this location is accurate, it would place the painting in a semi-public space accessed by numerous potential viewers. In any case, even if this was the location where Vasari saw the painting, there is no guarantee that this was its original intended setting.</w:t>
      </w:r>
      <w:r w:rsidRPr="00771E6E">
        <w:rPr>
          <w:rStyle w:val="FootnoteReference"/>
        </w:rPr>
        <w:footnoteReference w:id="591"/>
      </w:r>
    </w:p>
    <w:p w14:paraId="33164DB5" w14:textId="77777777" w:rsidR="00094F64" w:rsidRPr="00771E6E" w:rsidRDefault="00094F64" w:rsidP="00094F64">
      <w:pPr>
        <w:ind w:firstLine="720"/>
        <w:rPr>
          <w:color w:val="000000" w:themeColor="text1"/>
        </w:rPr>
      </w:pPr>
      <w:r w:rsidRPr="00771E6E">
        <w:rPr>
          <w:color w:val="000000" w:themeColor="text1"/>
        </w:rPr>
        <w:t xml:space="preserve">The words </w:t>
      </w:r>
      <w:r w:rsidRPr="00771E6E">
        <w:t xml:space="preserve">“Ave grazia plena” </w:t>
      </w:r>
      <w:r w:rsidRPr="00771E6E">
        <w:rPr>
          <w:color w:val="000000" w:themeColor="text1"/>
        </w:rPr>
        <w:t xml:space="preserve">can be read on the straps crossing the chest of the first angel on the left, who, much like the angel in the </w:t>
      </w:r>
      <w:proofErr w:type="spellStart"/>
      <w:r w:rsidRPr="00771E6E">
        <w:rPr>
          <w:i/>
          <w:color w:val="000000" w:themeColor="text1"/>
        </w:rPr>
        <w:t>Raczynski</w:t>
      </w:r>
      <w:proofErr w:type="spellEnd"/>
      <w:r w:rsidRPr="00771E6E">
        <w:rPr>
          <w:i/>
          <w:color w:val="000000" w:themeColor="text1"/>
        </w:rPr>
        <w:t xml:space="preserve"> Tondo</w:t>
      </w:r>
      <w:r w:rsidRPr="00771E6E">
        <w:rPr>
          <w:color w:val="000000" w:themeColor="text1"/>
        </w:rPr>
        <w:t xml:space="preserve">, acts as a </w:t>
      </w:r>
      <w:proofErr w:type="spellStart"/>
      <w:r w:rsidRPr="00771E6E">
        <w:rPr>
          <w:i/>
          <w:color w:val="000000" w:themeColor="text1"/>
        </w:rPr>
        <w:t>festaiuolo</w:t>
      </w:r>
      <w:proofErr w:type="spellEnd"/>
      <w:r w:rsidRPr="00771E6E">
        <w:rPr>
          <w:color w:val="000000" w:themeColor="text1"/>
        </w:rPr>
        <w:t xml:space="preserve"> looking out intently toward the viewer, engaging them in this reverential moment and inviting them to sing along. Lightbown has suggested that viewers would have uttered </w:t>
      </w:r>
      <w:r w:rsidRPr="00771E6E">
        <w:rPr>
          <w:color w:val="000000" w:themeColor="text1"/>
        </w:rPr>
        <w:lastRenderedPageBreak/>
        <w:t>these words out loud before the picture,</w:t>
      </w:r>
      <w:r w:rsidRPr="00771E6E">
        <w:rPr>
          <w:rStyle w:val="FootnoteReference"/>
          <w:color w:val="000000" w:themeColor="text1"/>
        </w:rPr>
        <w:t xml:space="preserve"> </w:t>
      </w:r>
      <w:r w:rsidRPr="00771E6E">
        <w:rPr>
          <w:color w:val="000000" w:themeColor="text1"/>
        </w:rPr>
        <w:t>although it would seem equally possible that these were intended to be the words that the angels are singing, and these words were indeed sung as part of the ecclesiastical liturgy.</w:t>
      </w:r>
      <w:r w:rsidRPr="00771E6E">
        <w:rPr>
          <w:rStyle w:val="FootnoteReference"/>
        </w:rPr>
        <w:footnoteReference w:id="592"/>
      </w:r>
      <w:r w:rsidRPr="00771E6E">
        <w:rPr>
          <w:color w:val="000000" w:themeColor="text1"/>
        </w:rPr>
        <w:t xml:space="preserve"> The roses that this angel carries refer to the Virgin, who, in the Middle Ages, was called the “rose without thorns” and “mystical rose.”</w:t>
      </w:r>
      <w:r w:rsidRPr="00771E6E">
        <w:rPr>
          <w:rStyle w:val="FootnoteReference"/>
        </w:rPr>
        <w:footnoteReference w:id="593"/>
      </w:r>
      <w:r w:rsidRPr="00771E6E">
        <w:rPr>
          <w:color w:val="000000" w:themeColor="text1"/>
        </w:rPr>
        <w:t xml:space="preserve"> They can, however, also be interpreted as an element with musical resonances, as the connection between the Virgin and roses is celebrated in the antiphon </w:t>
      </w:r>
      <w:r w:rsidRPr="00771E6E">
        <w:rPr>
          <w:i/>
          <w:color w:val="000000" w:themeColor="text1"/>
        </w:rPr>
        <w:t xml:space="preserve">O </w:t>
      </w:r>
      <w:proofErr w:type="spellStart"/>
      <w:r w:rsidRPr="00771E6E">
        <w:rPr>
          <w:i/>
          <w:color w:val="000000" w:themeColor="text1"/>
        </w:rPr>
        <w:t>florens</w:t>
      </w:r>
      <w:proofErr w:type="spellEnd"/>
      <w:r w:rsidRPr="00771E6E">
        <w:rPr>
          <w:i/>
          <w:color w:val="000000" w:themeColor="text1"/>
        </w:rPr>
        <w:t xml:space="preserve"> </w:t>
      </w:r>
      <w:proofErr w:type="spellStart"/>
      <w:r w:rsidRPr="00771E6E">
        <w:rPr>
          <w:i/>
          <w:color w:val="000000" w:themeColor="text1"/>
        </w:rPr>
        <w:t>rosa</w:t>
      </w:r>
      <w:proofErr w:type="spellEnd"/>
      <w:r w:rsidRPr="00771E6E">
        <w:rPr>
          <w:i/>
          <w:color w:val="000000" w:themeColor="text1"/>
        </w:rPr>
        <w:t xml:space="preserve">, mater Domini </w:t>
      </w:r>
      <w:proofErr w:type="spellStart"/>
      <w:r w:rsidRPr="00771E6E">
        <w:rPr>
          <w:i/>
          <w:color w:val="000000" w:themeColor="text1"/>
        </w:rPr>
        <w:t>speciosa</w:t>
      </w:r>
      <w:proofErr w:type="spellEnd"/>
      <w:r w:rsidRPr="00771E6E">
        <w:rPr>
          <w:i/>
          <w:color w:val="000000" w:themeColor="text1"/>
        </w:rPr>
        <w:t xml:space="preserve"> </w:t>
      </w:r>
      <w:r w:rsidRPr="00771E6E">
        <w:rPr>
          <w:color w:val="000000" w:themeColor="text1"/>
        </w:rPr>
        <w:t xml:space="preserve">(Oh blooming rose, beautiful mother of God), which circulated both as a chant and in polyphonic settings. In addition, the presence of lilies in this work would have had much the same connotations as has been discussed previously in relation to the </w:t>
      </w:r>
      <w:proofErr w:type="spellStart"/>
      <w:r w:rsidRPr="00771E6E">
        <w:rPr>
          <w:i/>
          <w:color w:val="000000" w:themeColor="text1"/>
        </w:rPr>
        <w:t>Raczynski</w:t>
      </w:r>
      <w:proofErr w:type="spellEnd"/>
      <w:r w:rsidRPr="00771E6E">
        <w:rPr>
          <w:i/>
          <w:color w:val="000000" w:themeColor="text1"/>
        </w:rPr>
        <w:t xml:space="preserve"> Tondo</w:t>
      </w:r>
      <w:r w:rsidRPr="00771E6E">
        <w:rPr>
          <w:color w:val="000000" w:themeColor="text1"/>
        </w:rPr>
        <w:t xml:space="preserve">. The appearance of a second celestial </w:t>
      </w:r>
      <w:proofErr w:type="spellStart"/>
      <w:r w:rsidRPr="00771E6E">
        <w:rPr>
          <w:i/>
          <w:color w:val="000000" w:themeColor="text1"/>
        </w:rPr>
        <w:t>festaiuolo</w:t>
      </w:r>
      <w:proofErr w:type="spellEnd"/>
      <w:r w:rsidRPr="00771E6E">
        <w:rPr>
          <w:color w:val="000000" w:themeColor="text1"/>
        </w:rPr>
        <w:t xml:space="preserve"> on the other side further reinforces the involvement of the viewer in the activity depicted. The painter has again taken the opportunity to show a varied range of poses and attitudes performed by the angels, and while two of them are reading from the book, only one is actually shown as singing. </w:t>
      </w:r>
    </w:p>
    <w:p w14:paraId="79AFF4B0" w14:textId="77777777" w:rsidR="00094F64" w:rsidRPr="00771E6E" w:rsidRDefault="00094F64" w:rsidP="00094F64">
      <w:pPr>
        <w:ind w:firstLine="720"/>
      </w:pPr>
      <w:r w:rsidRPr="00771E6E">
        <w:t xml:space="preserve">Six angels singing from two books of music also appear in another </w:t>
      </w:r>
      <w:r w:rsidRPr="00771E6E">
        <w:rPr>
          <w:i/>
        </w:rPr>
        <w:t>tondo</w:t>
      </w:r>
      <w:r w:rsidRPr="00771E6E">
        <w:t xml:space="preserve"> produced by Botticelli’s workshop between 1488 and 1490, now kept in the Galleria Borghese, Rome</w:t>
      </w:r>
      <w:r w:rsidRPr="00771E6E">
        <w:rPr>
          <w:b/>
        </w:rPr>
        <w:t xml:space="preserve"> </w:t>
      </w:r>
      <w:r w:rsidRPr="00771E6E">
        <w:t xml:space="preserve">(fig. 3.21). Unlike the </w:t>
      </w:r>
      <w:proofErr w:type="spellStart"/>
      <w:r w:rsidRPr="00771E6E">
        <w:rPr>
          <w:i/>
        </w:rPr>
        <w:t>Raczynski</w:t>
      </w:r>
      <w:proofErr w:type="spellEnd"/>
      <w:r w:rsidRPr="00771E6E">
        <w:rPr>
          <w:i/>
        </w:rPr>
        <w:t xml:space="preserve"> tondo</w:t>
      </w:r>
      <w:r w:rsidRPr="00771E6E">
        <w:t xml:space="preserve"> and the </w:t>
      </w:r>
      <w:r w:rsidRPr="00771E6E">
        <w:rPr>
          <w:i/>
        </w:rPr>
        <w:t>Madonna of the Pomegranate</w:t>
      </w:r>
      <w:r w:rsidRPr="00771E6E">
        <w:t xml:space="preserve">, in which the figures are set against a blue sky, the scene here takes place in a well-defined architectural space, while a small Saint John the Baptist takes part in the scene, kneeling in front of the Virgin and Child. This is possibly the largest of the extant </w:t>
      </w:r>
      <w:r w:rsidRPr="00771E6E">
        <w:rPr>
          <w:i/>
        </w:rPr>
        <w:t>tondi</w:t>
      </w:r>
      <w:r w:rsidRPr="00771E6E">
        <w:t xml:space="preserve"> from this workshop, and it is likely based on a drawing by the master.</w:t>
      </w:r>
      <w:r w:rsidRPr="00771E6E">
        <w:rPr>
          <w:rStyle w:val="FootnoteReference"/>
        </w:rPr>
        <w:footnoteReference w:id="594"/>
      </w:r>
      <w:r w:rsidRPr="00771E6E">
        <w:t xml:space="preserve"> While the three angels on the right are caught in the moment of turning a page of the music book, attentively following the music and singing, the angels on the left send their gaze in different directions, and once more a </w:t>
      </w:r>
      <w:proofErr w:type="spellStart"/>
      <w:r w:rsidRPr="00771E6E">
        <w:rPr>
          <w:i/>
        </w:rPr>
        <w:t>fes</w:t>
      </w:r>
      <w:r w:rsidRPr="00771E6E">
        <w:rPr>
          <w:i/>
          <w:color w:val="000000" w:themeColor="text1"/>
        </w:rPr>
        <w:t>taiuo</w:t>
      </w:r>
      <w:r w:rsidRPr="00771E6E">
        <w:rPr>
          <w:i/>
        </w:rPr>
        <w:t>lo</w:t>
      </w:r>
      <w:proofErr w:type="spellEnd"/>
      <w:r w:rsidRPr="00771E6E">
        <w:t xml:space="preserve"> engages the gaze of the viewer, in the same way as in the </w:t>
      </w:r>
      <w:r w:rsidRPr="00771E6E">
        <w:rPr>
          <w:i/>
        </w:rPr>
        <w:t xml:space="preserve">tondi </w:t>
      </w:r>
      <w:r w:rsidRPr="00771E6E">
        <w:t>discussed previously. Once again, the presence of roses and lilies have connotations which suggest a musical atmosphere.</w:t>
      </w:r>
    </w:p>
    <w:p w14:paraId="6E4AFF44" w14:textId="77777777" w:rsidR="00094F64" w:rsidRPr="00771E6E" w:rsidRDefault="00094F64" w:rsidP="00094F64">
      <w:pPr>
        <w:ind w:firstLine="720"/>
        <w:rPr>
          <w:color w:val="000000" w:themeColor="text1"/>
          <w:shd w:val="clear" w:color="auto" w:fill="FFFFFF"/>
        </w:rPr>
      </w:pPr>
      <w:r w:rsidRPr="00771E6E">
        <w:rPr>
          <w:color w:val="000000" w:themeColor="text1"/>
          <w:shd w:val="clear" w:color="auto" w:fill="FFFFFF"/>
        </w:rPr>
        <w:t xml:space="preserve">These three </w:t>
      </w:r>
      <w:r w:rsidRPr="00771E6E">
        <w:rPr>
          <w:i/>
          <w:color w:val="000000" w:themeColor="text1"/>
          <w:shd w:val="clear" w:color="auto" w:fill="FFFFFF"/>
        </w:rPr>
        <w:t>tondi</w:t>
      </w:r>
      <w:r w:rsidRPr="00771E6E">
        <w:rPr>
          <w:color w:val="000000" w:themeColor="text1"/>
          <w:shd w:val="clear" w:color="auto" w:fill="FFFFFF"/>
        </w:rPr>
        <w:t xml:space="preserve"> have several elements in common. Aside from the compositional setting of two groups of angels singing from books on either side of the main figures, they </w:t>
      </w:r>
      <w:r w:rsidRPr="00771E6E">
        <w:rPr>
          <w:color w:val="000000" w:themeColor="text1"/>
          <w:shd w:val="clear" w:color="auto" w:fill="FFFFFF"/>
        </w:rPr>
        <w:lastRenderedPageBreak/>
        <w:t>all include another musical device, in that some</w:t>
      </w:r>
      <w:r w:rsidRPr="00771E6E">
        <w:rPr>
          <w:color w:val="000000" w:themeColor="text1"/>
        </w:rPr>
        <w:t xml:space="preserve"> of the angels are</w:t>
      </w:r>
      <w:r w:rsidRPr="00771E6E">
        <w:rPr>
          <w:color w:val="000000" w:themeColor="text1"/>
          <w:shd w:val="clear" w:color="auto" w:fill="FFFFFF"/>
        </w:rPr>
        <w:t xml:space="preserve"> depicted in the act of tapping the musical time on the shoulders of their fellow singers. </w:t>
      </w:r>
    </w:p>
    <w:p w14:paraId="4E2FD34E" w14:textId="77777777" w:rsidR="00094F64" w:rsidRPr="00771E6E" w:rsidRDefault="00094F64" w:rsidP="00094F64">
      <w:pPr>
        <w:ind w:firstLine="720"/>
        <w:rPr>
          <w:color w:val="000000" w:themeColor="text1"/>
          <w:shd w:val="clear" w:color="auto" w:fill="FFFFFF"/>
        </w:rPr>
      </w:pPr>
      <w:r w:rsidRPr="00771E6E">
        <w:rPr>
          <w:color w:val="000000" w:themeColor="text1"/>
        </w:rPr>
        <w:t xml:space="preserve">This practice is called </w:t>
      </w:r>
      <w:r w:rsidRPr="00771E6E">
        <w:rPr>
          <w:i/>
          <w:color w:val="000000" w:themeColor="text1"/>
        </w:rPr>
        <w:t>tactus</w:t>
      </w:r>
      <w:r w:rsidRPr="00771E6E">
        <w:rPr>
          <w:color w:val="000000" w:themeColor="text1"/>
        </w:rPr>
        <w:t xml:space="preserve">, or to be more precise “performance </w:t>
      </w:r>
      <w:r w:rsidRPr="00771E6E">
        <w:rPr>
          <w:i/>
          <w:color w:val="000000" w:themeColor="text1"/>
        </w:rPr>
        <w:t>tactus</w:t>
      </w:r>
      <w:r w:rsidRPr="00771E6E">
        <w:rPr>
          <w:color w:val="000000" w:themeColor="text1"/>
        </w:rPr>
        <w:t xml:space="preserve">,” as Ruth </w:t>
      </w:r>
      <w:proofErr w:type="spellStart"/>
      <w:r w:rsidRPr="00771E6E">
        <w:rPr>
          <w:color w:val="000000" w:themeColor="text1"/>
        </w:rPr>
        <w:t>DeFord</w:t>
      </w:r>
      <w:proofErr w:type="spellEnd"/>
      <w:r w:rsidRPr="00771E6E">
        <w:rPr>
          <w:color w:val="000000" w:themeColor="text1"/>
        </w:rPr>
        <w:t xml:space="preserve"> has classified it</w:t>
      </w:r>
      <w:r w:rsidRPr="00771E6E">
        <w:rPr>
          <w:i/>
          <w:color w:val="000000" w:themeColor="text1"/>
        </w:rPr>
        <w:t xml:space="preserve"> </w:t>
      </w:r>
      <w:r w:rsidRPr="00771E6E">
        <w:rPr>
          <w:color w:val="000000" w:themeColor="text1"/>
        </w:rPr>
        <w:t xml:space="preserve">in her book on this topic, although it was sometimes also known as </w:t>
      </w:r>
      <w:r w:rsidRPr="00771E6E">
        <w:rPr>
          <w:i/>
          <w:color w:val="000000" w:themeColor="text1"/>
        </w:rPr>
        <w:t>mensura</w:t>
      </w:r>
      <w:r w:rsidRPr="00771E6E">
        <w:rPr>
          <w:color w:val="000000" w:themeColor="text1"/>
        </w:rPr>
        <w:t xml:space="preserve"> in the fifteenth century.</w:t>
      </w:r>
      <w:r w:rsidRPr="00771E6E">
        <w:rPr>
          <w:rStyle w:val="FootnoteReference"/>
        </w:rPr>
        <w:footnoteReference w:id="595"/>
      </w:r>
      <w:r w:rsidRPr="00771E6E">
        <w:rPr>
          <w:color w:val="000000" w:themeColor="text1"/>
        </w:rPr>
        <w:t xml:space="preserve"> It consists of a repeated physical tapping of the hand or the foot upon another performer or upon a surface, and was used for teaching music to young students.</w:t>
      </w:r>
      <w:r w:rsidRPr="00771E6E">
        <w:rPr>
          <w:rStyle w:val="FootnoteReference"/>
          <w:color w:val="000000" w:themeColor="text1"/>
        </w:rPr>
        <w:t xml:space="preserve"> </w:t>
      </w:r>
      <w:r w:rsidRPr="00771E6E">
        <w:rPr>
          <w:rStyle w:val="FootnoteReference"/>
        </w:rPr>
        <w:footnoteReference w:id="596"/>
      </w:r>
      <w:r w:rsidRPr="00771E6E">
        <w:rPr>
          <w:color w:val="000000" w:themeColor="text1"/>
        </w:rPr>
        <w:t xml:space="preserve">  The theorist Giorgio </w:t>
      </w:r>
      <w:proofErr w:type="spellStart"/>
      <w:r w:rsidRPr="00771E6E">
        <w:rPr>
          <w:color w:val="000000" w:themeColor="text1"/>
        </w:rPr>
        <w:t>Anselmi</w:t>
      </w:r>
      <w:proofErr w:type="spellEnd"/>
      <w:r w:rsidRPr="00771E6E">
        <w:rPr>
          <w:color w:val="000000" w:themeColor="text1"/>
        </w:rPr>
        <w:t xml:space="preserve"> from Parma, writing in his </w:t>
      </w:r>
      <w:r w:rsidRPr="00771E6E">
        <w:rPr>
          <w:i/>
          <w:iCs/>
          <w:color w:val="000000" w:themeColor="text1"/>
        </w:rPr>
        <w:t xml:space="preserve">De </w:t>
      </w:r>
      <w:proofErr w:type="spellStart"/>
      <w:r w:rsidRPr="00771E6E">
        <w:rPr>
          <w:i/>
          <w:iCs/>
          <w:color w:val="000000" w:themeColor="text1"/>
        </w:rPr>
        <w:t>musica</w:t>
      </w:r>
      <w:proofErr w:type="spellEnd"/>
      <w:r w:rsidRPr="00771E6E">
        <w:rPr>
          <w:color w:val="000000" w:themeColor="text1"/>
        </w:rPr>
        <w:t xml:space="preserve"> of 1434, describes </w:t>
      </w:r>
      <w:r w:rsidRPr="00771E6E">
        <w:rPr>
          <w:i/>
          <w:color w:val="000000" w:themeColor="text1"/>
        </w:rPr>
        <w:t>tactus</w:t>
      </w:r>
      <w:r w:rsidRPr="00771E6E">
        <w:rPr>
          <w:color w:val="000000" w:themeColor="text1"/>
        </w:rPr>
        <w:t xml:space="preserve"> as a practical means of teaching musical time-keeping: “</w:t>
      </w:r>
      <w:r w:rsidRPr="00771E6E">
        <w:t>the singer, neither speeding up the song too much nor drawing the notes out too long, taps the front of his foot, keeping the heel still, or touches his hand to the hand or the back of the student, as equally as possible.”</w:t>
      </w:r>
      <w:r w:rsidRPr="00771E6E">
        <w:rPr>
          <w:rStyle w:val="FootnoteReference"/>
        </w:rPr>
        <w:footnoteReference w:id="597"/>
      </w:r>
      <w:r w:rsidRPr="00771E6E">
        <w:rPr>
          <w:color w:val="000000" w:themeColor="text1"/>
        </w:rPr>
        <w:t xml:space="preserve"> In this way, musical time was communicated among the singers in a non-visual way, consisting of a single, repeated beat.</w:t>
      </w:r>
      <w:r w:rsidRPr="00771E6E">
        <w:rPr>
          <w:rStyle w:val="FootnoteReference"/>
        </w:rPr>
        <w:footnoteReference w:id="598"/>
      </w:r>
      <w:r w:rsidRPr="00771E6E">
        <w:rPr>
          <w:color w:val="000000" w:themeColor="text1"/>
          <w:shd w:val="clear" w:color="auto" w:fill="FFFFFF"/>
        </w:rPr>
        <w:t xml:space="preserve"> </w:t>
      </w:r>
    </w:p>
    <w:p w14:paraId="1BCA3E11" w14:textId="77777777" w:rsidR="00094F64" w:rsidRPr="00771E6E" w:rsidRDefault="00094F64" w:rsidP="00094F64">
      <w:pPr>
        <w:ind w:firstLine="720"/>
        <w:rPr>
          <w:color w:val="000000" w:themeColor="text1"/>
          <w:shd w:val="clear" w:color="auto" w:fill="FFFFFF"/>
        </w:rPr>
      </w:pPr>
      <w:r w:rsidRPr="00771E6E">
        <w:rPr>
          <w:color w:val="000000" w:themeColor="text1"/>
        </w:rPr>
        <w:t xml:space="preserve">A similar definition can also be found in an anonymous manuscript from around 1450-75 entitled </w:t>
      </w:r>
      <w:r w:rsidRPr="00771E6E">
        <w:rPr>
          <w:i/>
          <w:color w:val="000000" w:themeColor="text1"/>
        </w:rPr>
        <w:t xml:space="preserve">Compendium breve </w:t>
      </w:r>
      <w:proofErr w:type="spellStart"/>
      <w:r w:rsidRPr="00771E6E">
        <w:rPr>
          <w:i/>
          <w:color w:val="000000" w:themeColor="text1"/>
        </w:rPr>
        <w:t>artis</w:t>
      </w:r>
      <w:proofErr w:type="spellEnd"/>
      <w:r w:rsidRPr="00771E6E">
        <w:rPr>
          <w:i/>
          <w:color w:val="000000" w:themeColor="text1"/>
        </w:rPr>
        <w:t xml:space="preserve"> </w:t>
      </w:r>
      <w:proofErr w:type="spellStart"/>
      <w:r w:rsidRPr="00771E6E">
        <w:rPr>
          <w:i/>
          <w:color w:val="000000" w:themeColor="text1"/>
        </w:rPr>
        <w:t>musicae</w:t>
      </w:r>
      <w:proofErr w:type="spellEnd"/>
      <w:r w:rsidRPr="00771E6E">
        <w:rPr>
          <w:color w:val="000000" w:themeColor="text1"/>
        </w:rPr>
        <w:t xml:space="preserve">, in which the author describes the number of taps to be performed as “fingers”: </w:t>
      </w:r>
    </w:p>
    <w:p w14:paraId="38BBC6C7" w14:textId="77777777" w:rsidR="00094F64" w:rsidRPr="00771E6E" w:rsidRDefault="00094F64" w:rsidP="00094F64">
      <w:pPr>
        <w:ind w:firstLine="720"/>
        <w:rPr>
          <w:color w:val="000000" w:themeColor="text1"/>
        </w:rPr>
      </w:pPr>
    </w:p>
    <w:p w14:paraId="16C58767" w14:textId="77777777" w:rsidR="00094F64" w:rsidRPr="00771E6E" w:rsidRDefault="00094F64" w:rsidP="00094F64">
      <w:pPr>
        <w:pStyle w:val="IntenseQuote"/>
      </w:pPr>
      <w:r w:rsidRPr="00771E6E">
        <w:t xml:space="preserve">Tempus is of two types, namely, perfect and imperfect. Perfect is that which contains the number three in semibreves, and it must be touched with three fingers, that is </w:t>
      </w:r>
      <w:r w:rsidRPr="00771E6E">
        <w:rPr>
          <w:i/>
        </w:rPr>
        <w:t>tactus</w:t>
      </w:r>
      <w:r w:rsidRPr="00771E6E">
        <w:t>. But imperfect tempus is that which contains the number two in semibreves, and it must be touched with two fingers</w:t>
      </w:r>
      <w:r w:rsidR="00586C70" w:rsidRPr="00771E6E">
        <w:t xml:space="preserve"> (my Italics)</w:t>
      </w:r>
      <w:r w:rsidR="00B96009" w:rsidRPr="00771E6E">
        <w:t>.</w:t>
      </w:r>
      <w:r w:rsidRPr="00771E6E">
        <w:rPr>
          <w:rStyle w:val="FootnoteReference"/>
        </w:rPr>
        <w:footnoteReference w:id="599"/>
      </w:r>
    </w:p>
    <w:p w14:paraId="32E83C5B" w14:textId="77777777" w:rsidR="00094F64" w:rsidRPr="00771E6E" w:rsidRDefault="00094F64" w:rsidP="00094F64">
      <w:pPr>
        <w:rPr>
          <w:color w:val="000000" w:themeColor="text1"/>
        </w:rPr>
      </w:pPr>
    </w:p>
    <w:p w14:paraId="126042E8" w14:textId="77777777" w:rsidR="00094F64" w:rsidRPr="00771E6E" w:rsidRDefault="00094F64" w:rsidP="00094F64">
      <w:pPr>
        <w:rPr>
          <w:color w:val="000000" w:themeColor="text1"/>
        </w:rPr>
      </w:pPr>
      <w:r w:rsidRPr="00771E6E">
        <w:rPr>
          <w:color w:val="000000" w:themeColor="text1"/>
        </w:rPr>
        <w:t xml:space="preserve">Bartolomé Ramos de Pareja, in his </w:t>
      </w:r>
      <w:proofErr w:type="spellStart"/>
      <w:r w:rsidRPr="00771E6E">
        <w:rPr>
          <w:i/>
          <w:color w:val="000000" w:themeColor="text1"/>
        </w:rPr>
        <w:t>Musica</w:t>
      </w:r>
      <w:proofErr w:type="spellEnd"/>
      <w:r w:rsidRPr="00771E6E">
        <w:rPr>
          <w:i/>
          <w:color w:val="000000" w:themeColor="text1"/>
        </w:rPr>
        <w:t xml:space="preserve"> </w:t>
      </w:r>
      <w:proofErr w:type="spellStart"/>
      <w:r w:rsidRPr="00771E6E">
        <w:rPr>
          <w:i/>
          <w:color w:val="000000" w:themeColor="text1"/>
        </w:rPr>
        <w:t>Practica</w:t>
      </w:r>
      <w:proofErr w:type="spellEnd"/>
      <w:r w:rsidRPr="00771E6E">
        <w:rPr>
          <w:i/>
          <w:color w:val="000000" w:themeColor="text1"/>
        </w:rPr>
        <w:t xml:space="preserve"> </w:t>
      </w:r>
      <w:r w:rsidRPr="00771E6E">
        <w:rPr>
          <w:color w:val="000000" w:themeColor="text1"/>
        </w:rPr>
        <w:t>published in Bologna in 1482, explains that “when the singer wishes to sing correctly and with good measure, he should move his foot or hand or finger, touching in some place, like his pulse.”</w:t>
      </w:r>
      <w:r w:rsidRPr="00771E6E">
        <w:rPr>
          <w:rStyle w:val="FootnoteReference"/>
        </w:rPr>
        <w:footnoteReference w:id="600"/>
      </w:r>
      <w:r w:rsidRPr="00771E6E">
        <w:rPr>
          <w:color w:val="000000" w:themeColor="text1"/>
        </w:rPr>
        <w:t xml:space="preserve"> Ramos de </w:t>
      </w:r>
      <w:r w:rsidRPr="00771E6E">
        <w:rPr>
          <w:color w:val="000000" w:themeColor="text1"/>
        </w:rPr>
        <w:lastRenderedPageBreak/>
        <w:t xml:space="preserve">Pareja also related the musical beat to the human pulse, stating that the </w:t>
      </w:r>
      <w:r w:rsidRPr="00771E6E">
        <w:rPr>
          <w:i/>
          <w:color w:val="000000" w:themeColor="text1"/>
        </w:rPr>
        <w:t>mensura</w:t>
      </w:r>
      <w:r w:rsidRPr="00771E6E">
        <w:rPr>
          <w:color w:val="000000" w:themeColor="text1"/>
        </w:rPr>
        <w:t xml:space="preserve"> occurs between the two parts of the heartbeat, the diastole and the systole.</w:t>
      </w:r>
      <w:r w:rsidRPr="00771E6E">
        <w:rPr>
          <w:rStyle w:val="FootnoteReference"/>
        </w:rPr>
        <w:footnoteReference w:id="601"/>
      </w:r>
    </w:p>
    <w:p w14:paraId="11F37B93" w14:textId="77777777" w:rsidR="00094F64" w:rsidRPr="00771E6E" w:rsidRDefault="00094F64" w:rsidP="00094F64">
      <w:pPr>
        <w:ind w:firstLine="720"/>
        <w:rPr>
          <w:color w:val="000000" w:themeColor="text1"/>
        </w:rPr>
      </w:pPr>
      <w:r w:rsidRPr="00771E6E">
        <w:rPr>
          <w:color w:val="000000" w:themeColor="text1"/>
        </w:rPr>
        <w:t>This gesture was a common motif in both sacred and secular art, with fingers beating time in the air or on other singers’ shoulders and arms.</w:t>
      </w:r>
      <w:r w:rsidRPr="00771E6E">
        <w:rPr>
          <w:rStyle w:val="FootnoteReference"/>
        </w:rPr>
        <w:footnoteReference w:id="602"/>
      </w:r>
      <w:r w:rsidRPr="00771E6E">
        <w:rPr>
          <w:color w:val="000000" w:themeColor="text1"/>
        </w:rPr>
        <w:t xml:space="preserve"> It is in exactly this way that a music master is depicted in a woodcut decoration from the opening page of Franchino </w:t>
      </w:r>
      <w:proofErr w:type="spellStart"/>
      <w:r w:rsidRPr="00771E6E">
        <w:rPr>
          <w:color w:val="000000" w:themeColor="text1"/>
        </w:rPr>
        <w:t>Gaffurius</w:t>
      </w:r>
      <w:proofErr w:type="spellEnd"/>
      <w:r w:rsidRPr="00771E6E">
        <w:rPr>
          <w:color w:val="000000" w:themeColor="text1"/>
        </w:rPr>
        <w:t xml:space="preserve">’ treatise </w:t>
      </w:r>
      <w:proofErr w:type="spellStart"/>
      <w:r w:rsidRPr="00771E6E">
        <w:rPr>
          <w:i/>
          <w:color w:val="000000" w:themeColor="text1"/>
        </w:rPr>
        <w:t>Practica</w:t>
      </w:r>
      <w:proofErr w:type="spellEnd"/>
      <w:r w:rsidRPr="00771E6E">
        <w:rPr>
          <w:i/>
          <w:color w:val="000000" w:themeColor="text1"/>
        </w:rPr>
        <w:t xml:space="preserve"> </w:t>
      </w:r>
      <w:proofErr w:type="spellStart"/>
      <w:r w:rsidRPr="00771E6E">
        <w:rPr>
          <w:i/>
          <w:color w:val="000000" w:themeColor="text1"/>
        </w:rPr>
        <w:t>Musicae</w:t>
      </w:r>
      <w:proofErr w:type="spellEnd"/>
      <w:r w:rsidRPr="00771E6E">
        <w:rPr>
          <w:color w:val="000000" w:themeColor="text1"/>
        </w:rPr>
        <w:t>, published in 1496 in Milan (fig. 3.22). The teacher touches the shoulder of the two students in front of him, beating time.</w:t>
      </w:r>
      <w:r w:rsidRPr="00771E6E">
        <w:rPr>
          <w:rStyle w:val="FootnoteReference"/>
        </w:rPr>
        <w:footnoteReference w:id="603"/>
      </w:r>
      <w:r w:rsidRPr="00771E6E">
        <w:rPr>
          <w:color w:val="000000" w:themeColor="text1"/>
        </w:rPr>
        <w:t xml:space="preserve"> This is also clearly represented in both religious and secular works of art that are inspired by real practice. </w:t>
      </w:r>
    </w:p>
    <w:p w14:paraId="44D88035" w14:textId="77777777" w:rsidR="00094F64" w:rsidRPr="00771E6E" w:rsidRDefault="00094F64" w:rsidP="00094F64">
      <w:pPr>
        <w:ind w:firstLine="720"/>
        <w:rPr>
          <w:color w:val="000000" w:themeColor="text1"/>
        </w:rPr>
      </w:pPr>
      <w:r w:rsidRPr="00771E6E">
        <w:rPr>
          <w:color w:val="000000" w:themeColor="text1"/>
        </w:rPr>
        <w:t xml:space="preserve">Luca </w:t>
      </w:r>
      <w:proofErr w:type="spellStart"/>
      <w:r w:rsidRPr="00771E6E">
        <w:rPr>
          <w:color w:val="000000" w:themeColor="text1"/>
        </w:rPr>
        <w:t>della</w:t>
      </w:r>
      <w:proofErr w:type="spellEnd"/>
      <w:r w:rsidRPr="00771E6E">
        <w:rPr>
          <w:color w:val="000000" w:themeColor="text1"/>
        </w:rPr>
        <w:t xml:space="preserve"> Robbia made his sculpted figures engage in </w:t>
      </w:r>
      <w:r w:rsidRPr="00771E6E">
        <w:rPr>
          <w:i/>
          <w:color w:val="000000" w:themeColor="text1"/>
        </w:rPr>
        <w:t>tactus</w:t>
      </w:r>
      <w:r w:rsidRPr="00771E6E">
        <w:rPr>
          <w:color w:val="000000" w:themeColor="text1"/>
        </w:rPr>
        <w:t xml:space="preserve"> in two different singing scenes in the </w:t>
      </w:r>
      <w:proofErr w:type="spellStart"/>
      <w:r w:rsidRPr="00771E6E">
        <w:rPr>
          <w:i/>
          <w:color w:val="000000" w:themeColor="text1"/>
        </w:rPr>
        <w:t>Cantoria</w:t>
      </w:r>
      <w:proofErr w:type="spellEnd"/>
      <w:r w:rsidRPr="00771E6E">
        <w:rPr>
          <w:color w:val="000000" w:themeColor="text1"/>
        </w:rPr>
        <w:t xml:space="preserve"> for Florence Cathedral between 1432 and 1438 (fig. 3.23).</w:t>
      </w:r>
      <w:r w:rsidRPr="00771E6E">
        <w:rPr>
          <w:rStyle w:val="FootnoteReference"/>
        </w:rPr>
        <w:footnoteReference w:id="604"/>
      </w:r>
      <w:r w:rsidRPr="00771E6E">
        <w:rPr>
          <w:color w:val="000000" w:themeColor="text1"/>
        </w:rPr>
        <w:t xml:space="preserve"> The graceful adolescents and children portrayed here sing, dance, and play musical instruments, illustrating the text of Psalm 150, which is inscribed in the horizontal friezes. In fashioning his singers, the artist was probably inspired by the children who were members of the popular </w:t>
      </w:r>
      <w:proofErr w:type="spellStart"/>
      <w:r w:rsidRPr="00771E6E">
        <w:rPr>
          <w:i/>
          <w:color w:val="000000" w:themeColor="text1"/>
        </w:rPr>
        <w:t>laudesi</w:t>
      </w:r>
      <w:proofErr w:type="spellEnd"/>
      <w:r w:rsidRPr="00771E6E">
        <w:rPr>
          <w:i/>
          <w:color w:val="000000" w:themeColor="text1"/>
        </w:rPr>
        <w:t xml:space="preserve"> </w:t>
      </w:r>
      <w:r w:rsidRPr="00771E6E">
        <w:rPr>
          <w:color w:val="000000" w:themeColor="text1"/>
        </w:rPr>
        <w:t>companies, who were regularly involved in the practice of singing Christian hymns and psalms.</w:t>
      </w:r>
      <w:r w:rsidRPr="00771E6E">
        <w:rPr>
          <w:rStyle w:val="FootnoteReference"/>
        </w:rPr>
        <w:footnoteReference w:id="605"/>
      </w:r>
      <w:r w:rsidRPr="00771E6E">
        <w:rPr>
          <w:color w:val="000000" w:themeColor="text1"/>
        </w:rPr>
        <w:t xml:space="preserve"> Describing the side panels in which young boys singing are sculpted, Vasari said that Luca </w:t>
      </w:r>
      <w:proofErr w:type="spellStart"/>
      <w:r w:rsidRPr="00771E6E">
        <w:rPr>
          <w:color w:val="000000" w:themeColor="text1"/>
        </w:rPr>
        <w:t>della</w:t>
      </w:r>
      <w:proofErr w:type="spellEnd"/>
      <w:r w:rsidRPr="00771E6E">
        <w:rPr>
          <w:color w:val="000000" w:themeColor="text1"/>
        </w:rPr>
        <w:t xml:space="preserve"> </w:t>
      </w:r>
      <w:proofErr w:type="spellStart"/>
      <w:r w:rsidRPr="00771E6E">
        <w:rPr>
          <w:color w:val="000000" w:themeColor="text1"/>
        </w:rPr>
        <w:t>Robbia’s</w:t>
      </w:r>
      <w:proofErr w:type="spellEnd"/>
      <w:r w:rsidRPr="00771E6E">
        <w:rPr>
          <w:color w:val="000000" w:themeColor="text1"/>
        </w:rPr>
        <w:t xml:space="preserve"> work was so outstandingly executed that, even when looking up at it from below, he could see “the singers’ throats swelling, the hands of the person directing the music beating on the younger singers’ shoulders, and, in short, various ways of [making] sounds, songs, dances and other delightful acts that the pleasure of music offers.”</w:t>
      </w:r>
      <w:r w:rsidRPr="00771E6E">
        <w:rPr>
          <w:rStyle w:val="FootnoteReference"/>
        </w:rPr>
        <w:footnoteReference w:id="606"/>
      </w:r>
      <w:r w:rsidRPr="00771E6E">
        <w:rPr>
          <w:color w:val="000000" w:themeColor="text1"/>
        </w:rPr>
        <w:t xml:space="preserve"> </w:t>
      </w:r>
    </w:p>
    <w:p w14:paraId="40BB47DF" w14:textId="77777777" w:rsidR="00094F64" w:rsidRPr="00771E6E" w:rsidRDefault="00094F64" w:rsidP="00094F64">
      <w:pPr>
        <w:ind w:firstLine="720"/>
        <w:rPr>
          <w:color w:val="000000" w:themeColor="text1"/>
        </w:rPr>
      </w:pPr>
      <w:r w:rsidRPr="00771E6E">
        <w:rPr>
          <w:color w:val="000000" w:themeColor="text1"/>
        </w:rPr>
        <w:t xml:space="preserve">The relief with </w:t>
      </w:r>
      <w:r w:rsidRPr="00771E6E">
        <w:rPr>
          <w:i/>
          <w:color w:val="000000" w:themeColor="text1"/>
        </w:rPr>
        <w:t>Boys singing from a Book</w:t>
      </w:r>
      <w:r w:rsidRPr="00771E6E">
        <w:rPr>
          <w:color w:val="000000" w:themeColor="text1"/>
        </w:rPr>
        <w:t xml:space="preserve"> shows two different occurrences of </w:t>
      </w:r>
      <w:r w:rsidRPr="00771E6E">
        <w:rPr>
          <w:i/>
          <w:color w:val="000000" w:themeColor="text1"/>
        </w:rPr>
        <w:t>tactus</w:t>
      </w:r>
      <w:r w:rsidRPr="00771E6E">
        <w:rPr>
          <w:color w:val="000000" w:themeColor="text1"/>
        </w:rPr>
        <w:t xml:space="preserve">. The smallest singer taps his foot, in the same way described by </w:t>
      </w:r>
      <w:proofErr w:type="spellStart"/>
      <w:r w:rsidRPr="00771E6E">
        <w:rPr>
          <w:color w:val="000000" w:themeColor="text1"/>
        </w:rPr>
        <w:t>Anselmi</w:t>
      </w:r>
      <w:proofErr w:type="spellEnd"/>
      <w:r w:rsidRPr="00771E6E">
        <w:rPr>
          <w:color w:val="000000" w:themeColor="text1"/>
        </w:rPr>
        <w:t xml:space="preserve"> as “keeping his heel to the ground” (see above), while the second singer from the left places </w:t>
      </w:r>
      <w:r w:rsidRPr="00771E6E">
        <w:rPr>
          <w:color w:val="000000" w:themeColor="text1"/>
        </w:rPr>
        <w:lastRenderedPageBreak/>
        <w:t xml:space="preserve">one hand on the shoulder of the companion who stands in front of him, and, a little less visibly, the younger singer in the foreground taps musical time either on his fellow singer’s shoulder or on the choir book. Similarly, in the second relief with </w:t>
      </w:r>
      <w:r w:rsidRPr="00771E6E">
        <w:rPr>
          <w:i/>
          <w:color w:val="000000" w:themeColor="text1"/>
        </w:rPr>
        <w:t>Boys singing from a Scroll</w:t>
      </w:r>
      <w:r w:rsidRPr="00771E6E">
        <w:rPr>
          <w:color w:val="000000" w:themeColor="text1"/>
        </w:rPr>
        <w:t>, the three central singers place their hands on each other’s shoulders beating time, in a sort of musical embrace. Even though in this case there are elements of the scene that do not portray actual contemporary practice, such as the fact that the singers are wearing Roman-style clothing and are singing from a scroll rather than a book (which is also presented upside down), the depiction of tactus is still in keeping with fifteenth-century performance practices.</w:t>
      </w:r>
      <w:r w:rsidRPr="00771E6E">
        <w:rPr>
          <w:rStyle w:val="FootnoteReference"/>
        </w:rPr>
        <w:footnoteReference w:id="607"/>
      </w:r>
      <w:r w:rsidRPr="00771E6E">
        <w:rPr>
          <w:color w:val="000000" w:themeColor="text1"/>
        </w:rPr>
        <w:t xml:space="preserve"> Based on this, </w:t>
      </w:r>
      <w:r w:rsidRPr="00771E6E">
        <w:t xml:space="preserve">it seems reasonable to assume that, for contemporary viewers, this was designed to be a </w:t>
      </w:r>
      <w:proofErr w:type="spellStart"/>
      <w:r w:rsidRPr="00771E6E">
        <w:t>recognisable</w:t>
      </w:r>
      <w:proofErr w:type="spellEnd"/>
      <w:r w:rsidRPr="00771E6E">
        <w:t xml:space="preserve"> visual signifier that music practice was taking place.</w:t>
      </w:r>
    </w:p>
    <w:p w14:paraId="6BC10EF3" w14:textId="77777777" w:rsidR="00094F64" w:rsidRPr="00771E6E" w:rsidRDefault="00094F64" w:rsidP="00094F64">
      <w:pPr>
        <w:ind w:firstLine="720"/>
        <w:rPr>
          <w:color w:val="000000" w:themeColor="text1"/>
        </w:rPr>
      </w:pPr>
      <w:r w:rsidRPr="00771E6E">
        <w:rPr>
          <w:color w:val="000000" w:themeColor="text1"/>
        </w:rPr>
        <w:t xml:space="preserve">A similarly accurate depiction of Florentine singers can be seen in the frescoes painted by </w:t>
      </w:r>
      <w:proofErr w:type="spellStart"/>
      <w:r w:rsidRPr="00771E6E">
        <w:rPr>
          <w:color w:val="000000" w:themeColor="text1"/>
        </w:rPr>
        <w:t>Benozzo</w:t>
      </w:r>
      <w:proofErr w:type="spellEnd"/>
      <w:r w:rsidRPr="00771E6E">
        <w:rPr>
          <w:color w:val="000000" w:themeColor="text1"/>
        </w:rPr>
        <w:t xml:space="preserve"> </w:t>
      </w:r>
      <w:proofErr w:type="spellStart"/>
      <w:r w:rsidRPr="00771E6E">
        <w:rPr>
          <w:color w:val="000000" w:themeColor="text1"/>
        </w:rPr>
        <w:t>Gozzoli</w:t>
      </w:r>
      <w:proofErr w:type="spellEnd"/>
      <w:r w:rsidRPr="00771E6E">
        <w:rPr>
          <w:color w:val="000000" w:themeColor="text1"/>
        </w:rPr>
        <w:t xml:space="preserve"> in the 1460s, on the left wall of the apse of the </w:t>
      </w:r>
      <w:r w:rsidRPr="00771E6E">
        <w:rPr>
          <w:i/>
          <w:color w:val="000000" w:themeColor="text1"/>
        </w:rPr>
        <w:t xml:space="preserve">Cappella </w:t>
      </w:r>
      <w:proofErr w:type="spellStart"/>
      <w:r w:rsidRPr="00771E6E">
        <w:rPr>
          <w:i/>
          <w:color w:val="000000" w:themeColor="text1"/>
        </w:rPr>
        <w:t>dei</w:t>
      </w:r>
      <w:proofErr w:type="spellEnd"/>
      <w:r w:rsidRPr="00771E6E">
        <w:rPr>
          <w:i/>
          <w:color w:val="000000" w:themeColor="text1"/>
        </w:rPr>
        <w:t xml:space="preserve"> Magi</w:t>
      </w:r>
      <w:r w:rsidRPr="00771E6E">
        <w:rPr>
          <w:color w:val="000000" w:themeColor="text1"/>
        </w:rPr>
        <w:t xml:space="preserve"> in the Medici Palace in Florence (today known as Palazzo Medici-</w:t>
      </w:r>
      <w:proofErr w:type="spellStart"/>
      <w:r w:rsidRPr="00771E6E">
        <w:rPr>
          <w:color w:val="000000" w:themeColor="text1"/>
        </w:rPr>
        <w:t>Riccardi</w:t>
      </w:r>
      <w:proofErr w:type="spellEnd"/>
      <w:r w:rsidRPr="00771E6E">
        <w:rPr>
          <w:color w:val="000000" w:themeColor="text1"/>
        </w:rPr>
        <w:t>) (</w:t>
      </w:r>
      <w:r w:rsidRPr="00771E6E">
        <w:t>fig. 4.16)</w:t>
      </w:r>
      <w:r w:rsidRPr="00771E6E">
        <w:rPr>
          <w:color w:val="000000" w:themeColor="text1"/>
        </w:rPr>
        <w:t>.</w:t>
      </w:r>
      <w:r w:rsidRPr="00771E6E">
        <w:rPr>
          <w:rStyle w:val="FootnoteReference"/>
        </w:rPr>
        <w:footnoteReference w:id="608"/>
      </w:r>
      <w:r w:rsidRPr="00771E6E">
        <w:rPr>
          <w:color w:val="000000" w:themeColor="text1"/>
        </w:rPr>
        <w:t xml:space="preserve"> Once again, it is possible to identify the </w:t>
      </w:r>
      <w:r w:rsidRPr="00771E6E">
        <w:rPr>
          <w:i/>
          <w:color w:val="000000" w:themeColor="text1"/>
        </w:rPr>
        <w:t xml:space="preserve">tactus </w:t>
      </w:r>
      <w:r w:rsidRPr="00771E6E">
        <w:rPr>
          <w:color w:val="000000" w:themeColor="text1"/>
        </w:rPr>
        <w:t xml:space="preserve">gesture performed by the hands of several of the musical angels. The singing angels are shown beating musical time either on their companion’s shoulders, or by tapping on their own hands. Furthermore, the artist also provides a clear indication of what these angels might be singing, as their halos are inscribed with the words “Gloria in excelsis Deo et in terra </w:t>
      </w:r>
      <w:proofErr w:type="spellStart"/>
      <w:r w:rsidRPr="00771E6E">
        <w:rPr>
          <w:color w:val="000000" w:themeColor="text1"/>
        </w:rPr>
        <w:t>pax</w:t>
      </w:r>
      <w:proofErr w:type="spellEnd"/>
      <w:r w:rsidRPr="00771E6E">
        <w:rPr>
          <w:color w:val="000000" w:themeColor="text1"/>
        </w:rPr>
        <w:t xml:space="preserve"> </w:t>
      </w:r>
      <w:proofErr w:type="spellStart"/>
      <w:r w:rsidRPr="00771E6E">
        <w:rPr>
          <w:color w:val="000000" w:themeColor="text1"/>
        </w:rPr>
        <w:t>hominibus</w:t>
      </w:r>
      <w:proofErr w:type="spellEnd"/>
      <w:r w:rsidRPr="00771E6E">
        <w:rPr>
          <w:color w:val="000000" w:themeColor="text1"/>
        </w:rPr>
        <w:t>”.</w:t>
      </w:r>
      <w:r w:rsidRPr="00771E6E">
        <w:rPr>
          <w:rStyle w:val="FootnoteReference"/>
        </w:rPr>
        <w:footnoteReference w:id="609"/>
      </w:r>
    </w:p>
    <w:p w14:paraId="6867716B" w14:textId="77777777" w:rsidR="00094F64" w:rsidRPr="00771E6E" w:rsidRDefault="00094F64" w:rsidP="00094F64">
      <w:pPr>
        <w:ind w:firstLine="720"/>
        <w:rPr>
          <w:color w:val="000000" w:themeColor="text1"/>
        </w:rPr>
      </w:pPr>
      <w:r w:rsidRPr="00771E6E">
        <w:rPr>
          <w:i/>
          <w:color w:val="000000" w:themeColor="text1"/>
        </w:rPr>
        <w:t>Tactus</w:t>
      </w:r>
      <w:r w:rsidRPr="00771E6E">
        <w:rPr>
          <w:color w:val="000000" w:themeColor="text1"/>
        </w:rPr>
        <w:t xml:space="preserve"> is also depicted in an early drawing by </w:t>
      </w:r>
      <w:proofErr w:type="spellStart"/>
      <w:r w:rsidRPr="00771E6E">
        <w:rPr>
          <w:color w:val="000000" w:themeColor="text1"/>
        </w:rPr>
        <w:t>Giovannino</w:t>
      </w:r>
      <w:proofErr w:type="spellEnd"/>
      <w:r w:rsidRPr="00771E6E">
        <w:rPr>
          <w:color w:val="000000" w:themeColor="text1"/>
        </w:rPr>
        <w:t xml:space="preserve"> de Grassi, from the Bergamo sketchbook from the end of the fourteenth century. This portrays a realistic performance with five singers performing from a scroll of music, two of which put their right hands on the right shoulder of the companion next to them (fig. 3.24).</w:t>
      </w:r>
      <w:r w:rsidRPr="00771E6E">
        <w:rPr>
          <w:rStyle w:val="FootnoteReference"/>
        </w:rPr>
        <w:footnoteReference w:id="610"/>
      </w:r>
      <w:r w:rsidRPr="00771E6E">
        <w:rPr>
          <w:color w:val="000000" w:themeColor="text1"/>
        </w:rPr>
        <w:t xml:space="preserve"> The same gesture appears in Fra Filippo Lippi’s </w:t>
      </w:r>
      <w:r w:rsidRPr="00771E6E">
        <w:rPr>
          <w:i/>
          <w:color w:val="000000" w:themeColor="text1"/>
        </w:rPr>
        <w:t>Coronation of the Virgin</w:t>
      </w:r>
      <w:r w:rsidRPr="00771E6E">
        <w:rPr>
          <w:color w:val="000000" w:themeColor="text1"/>
        </w:rPr>
        <w:t xml:space="preserve"> in the Uffizi gallery, Florence (1441-47), which shows a crowd of angels sitting to either side of the main scene, among which are some musical angels singing from a book on the right side (fig. 3.25). </w:t>
      </w:r>
    </w:p>
    <w:p w14:paraId="6376FA7F" w14:textId="77777777" w:rsidR="00094F64" w:rsidRPr="00771E6E" w:rsidRDefault="00094F64" w:rsidP="00094F64">
      <w:pPr>
        <w:ind w:firstLine="720"/>
      </w:pPr>
      <w:r w:rsidRPr="00771E6E">
        <w:rPr>
          <w:color w:val="000000" w:themeColor="text1"/>
        </w:rPr>
        <w:lastRenderedPageBreak/>
        <w:t xml:space="preserve">Examples of beating musical time can also be found in secular paintings, such as Giorgione’s </w:t>
      </w:r>
      <w:r w:rsidRPr="00771E6E">
        <w:rPr>
          <w:i/>
          <w:color w:val="000000" w:themeColor="text1"/>
        </w:rPr>
        <w:t>The</w:t>
      </w:r>
      <w:r w:rsidRPr="00771E6E">
        <w:rPr>
          <w:color w:val="000000" w:themeColor="text1"/>
        </w:rPr>
        <w:t xml:space="preserve"> </w:t>
      </w:r>
      <w:r w:rsidRPr="00771E6E">
        <w:rPr>
          <w:i/>
          <w:color w:val="000000" w:themeColor="text1"/>
        </w:rPr>
        <w:t>Three Ages of Man</w:t>
      </w:r>
      <w:r w:rsidRPr="00771E6E">
        <w:rPr>
          <w:color w:val="000000" w:themeColor="text1"/>
        </w:rPr>
        <w:t xml:space="preserve"> (fig. 3.26). </w:t>
      </w:r>
      <w:r w:rsidRPr="00771E6E">
        <w:rPr>
          <w:rStyle w:val="CommentReference"/>
          <w:sz w:val="24"/>
        </w:rPr>
        <w:t xml:space="preserve">The subject of Giorgione’s painting has been debated by critics, and its title has varied from </w:t>
      </w:r>
      <w:r w:rsidRPr="00771E6E">
        <w:rPr>
          <w:rStyle w:val="CommentReference"/>
          <w:i/>
          <w:sz w:val="24"/>
        </w:rPr>
        <w:t>The</w:t>
      </w:r>
      <w:r w:rsidRPr="00771E6E">
        <w:rPr>
          <w:rStyle w:val="CommentReference"/>
          <w:sz w:val="24"/>
        </w:rPr>
        <w:t xml:space="preserve"> </w:t>
      </w:r>
      <w:r w:rsidRPr="00771E6E">
        <w:rPr>
          <w:rStyle w:val="CommentReference"/>
          <w:i/>
          <w:sz w:val="24"/>
        </w:rPr>
        <w:t>Three Ages of Man</w:t>
      </w:r>
      <w:r w:rsidRPr="00771E6E">
        <w:rPr>
          <w:rStyle w:val="CommentReference"/>
          <w:sz w:val="24"/>
        </w:rPr>
        <w:t xml:space="preserve">, to </w:t>
      </w:r>
      <w:r w:rsidRPr="00771E6E">
        <w:rPr>
          <w:rStyle w:val="CommentReference"/>
          <w:i/>
          <w:sz w:val="24"/>
        </w:rPr>
        <w:t>The</w:t>
      </w:r>
      <w:r w:rsidRPr="00771E6E">
        <w:rPr>
          <w:rStyle w:val="CommentReference"/>
          <w:sz w:val="24"/>
        </w:rPr>
        <w:t xml:space="preserve"> </w:t>
      </w:r>
      <w:r w:rsidRPr="00771E6E">
        <w:rPr>
          <w:rStyle w:val="CommentReference"/>
          <w:i/>
          <w:sz w:val="24"/>
        </w:rPr>
        <w:t>Three Philosophers</w:t>
      </w:r>
      <w:r w:rsidRPr="00771E6E">
        <w:rPr>
          <w:rStyle w:val="CommentReference"/>
          <w:sz w:val="24"/>
        </w:rPr>
        <w:t xml:space="preserve">, </w:t>
      </w:r>
      <w:r w:rsidRPr="00771E6E">
        <w:rPr>
          <w:rStyle w:val="CommentReference"/>
          <w:i/>
          <w:sz w:val="24"/>
        </w:rPr>
        <w:t>The Singing Lesson</w:t>
      </w:r>
      <w:r w:rsidRPr="00771E6E">
        <w:rPr>
          <w:rStyle w:val="CommentReference"/>
          <w:sz w:val="24"/>
        </w:rPr>
        <w:t xml:space="preserve"> and </w:t>
      </w:r>
      <w:r w:rsidRPr="00771E6E">
        <w:rPr>
          <w:rStyle w:val="CommentReference"/>
          <w:i/>
          <w:sz w:val="24"/>
        </w:rPr>
        <w:t>The Education of the Young Marcus Aurelius</w:t>
      </w:r>
      <w:r w:rsidRPr="00771E6E">
        <w:rPr>
          <w:rStyle w:val="CommentReference"/>
          <w:sz w:val="24"/>
        </w:rPr>
        <w:t xml:space="preserve">. In this painting a child is portrayed in the </w:t>
      </w:r>
      <w:proofErr w:type="spellStart"/>
      <w:r w:rsidRPr="00771E6E">
        <w:rPr>
          <w:rStyle w:val="CommentReference"/>
          <w:sz w:val="24"/>
        </w:rPr>
        <w:t>centre</w:t>
      </w:r>
      <w:proofErr w:type="spellEnd"/>
      <w:r w:rsidRPr="00771E6E">
        <w:rPr>
          <w:rStyle w:val="CommentReference"/>
          <w:sz w:val="24"/>
        </w:rPr>
        <w:t xml:space="preserve"> of the composition, holding a sheet upon which musical notation can be seen, with a young man on his left and an older man on his right. In this painting, the child attentively follows the music, while the young man beside him beats the musical time either on his arm or in mid-air, perhaps uttering the notes for the child’s benefit. </w:t>
      </w:r>
      <w:r w:rsidRPr="00771E6E">
        <w:t xml:space="preserve">The elderly man here acts as a </w:t>
      </w:r>
      <w:proofErr w:type="spellStart"/>
      <w:r w:rsidRPr="00771E6E">
        <w:rPr>
          <w:i/>
        </w:rPr>
        <w:t>festaiuolo</w:t>
      </w:r>
      <w:proofErr w:type="spellEnd"/>
      <w:r w:rsidRPr="00771E6E">
        <w:t>, the same popular device used in Botticelli’s religious paintings noted above.</w:t>
      </w:r>
      <w:r w:rsidRPr="00771E6E">
        <w:rPr>
          <w:rStyle w:val="CommentReference"/>
          <w:sz w:val="24"/>
        </w:rPr>
        <w:t xml:space="preserve"> </w:t>
      </w:r>
      <w:proofErr w:type="spellStart"/>
      <w:r w:rsidRPr="00771E6E">
        <w:rPr>
          <w:rStyle w:val="CommentReference"/>
          <w:sz w:val="24"/>
        </w:rPr>
        <w:t>Jaynie</w:t>
      </w:r>
      <w:proofErr w:type="spellEnd"/>
      <w:r w:rsidRPr="00771E6E">
        <w:rPr>
          <w:rStyle w:val="CommentReference"/>
          <w:sz w:val="24"/>
        </w:rPr>
        <w:t xml:space="preserve"> Anderson convincingly supports the identification of the subject-matter with the musical education of the thirteen-year-old Marcus Aurelius, whose outstanding knowledge of ceremonial songs is described in ancient sources.</w:t>
      </w:r>
      <w:r w:rsidRPr="00771E6E">
        <w:rPr>
          <w:rStyle w:val="FootnoteReference"/>
        </w:rPr>
        <w:t xml:space="preserve"> </w:t>
      </w:r>
      <w:r w:rsidRPr="00771E6E">
        <w:rPr>
          <w:rStyle w:val="FootnoteReference"/>
        </w:rPr>
        <w:footnoteReference w:id="611"/>
      </w:r>
      <w:r w:rsidRPr="00771E6E">
        <w:rPr>
          <w:rStyle w:val="CommentReference"/>
          <w:sz w:val="24"/>
        </w:rPr>
        <w:t xml:space="preserve"> It is interesting to note that it is possible that the subject depicted may include a moral message directed to a specific audience. Anderson has linked this to the advice that Gabriele </w:t>
      </w:r>
      <w:proofErr w:type="spellStart"/>
      <w:r w:rsidRPr="00771E6E">
        <w:rPr>
          <w:rStyle w:val="CommentReference"/>
          <w:sz w:val="24"/>
        </w:rPr>
        <w:t>Vendramin</w:t>
      </w:r>
      <w:proofErr w:type="spellEnd"/>
      <w:r w:rsidRPr="00771E6E">
        <w:rPr>
          <w:rStyle w:val="CommentReference"/>
          <w:sz w:val="24"/>
        </w:rPr>
        <w:t xml:space="preserve"> recorded in his will in 1548 regarding the moral education of his beloved nephews, who would inherit his estate, despite the fact that the painting was commissioned some decades earlier.</w:t>
      </w:r>
      <w:r w:rsidRPr="00771E6E">
        <w:rPr>
          <w:rStyle w:val="FootnoteReference"/>
        </w:rPr>
        <w:footnoteReference w:id="612"/>
      </w:r>
      <w:r w:rsidRPr="00771E6E">
        <w:rPr>
          <w:rStyle w:val="CommentReference"/>
          <w:sz w:val="24"/>
        </w:rPr>
        <w:t xml:space="preserve">  It would seem that this painting bears the same moralistic purpose, inviting </w:t>
      </w:r>
      <w:proofErr w:type="spellStart"/>
      <w:r w:rsidRPr="00771E6E">
        <w:rPr>
          <w:rStyle w:val="CommentReference"/>
          <w:sz w:val="24"/>
        </w:rPr>
        <w:t>Vendramin’s</w:t>
      </w:r>
      <w:proofErr w:type="spellEnd"/>
      <w:r w:rsidRPr="00771E6E">
        <w:rPr>
          <w:rStyle w:val="CommentReference"/>
          <w:sz w:val="24"/>
        </w:rPr>
        <w:t xml:space="preserve"> nephews to undertake a similar virtuous path to that of the future emperor Marcus Aurelius, thus shaping this work as a </w:t>
      </w:r>
      <w:r w:rsidRPr="00771E6E">
        <w:rPr>
          <w:rStyle w:val="CommentReference"/>
          <w:i/>
          <w:sz w:val="24"/>
        </w:rPr>
        <w:t xml:space="preserve">speculum </w:t>
      </w:r>
      <w:proofErr w:type="spellStart"/>
      <w:r w:rsidRPr="00771E6E">
        <w:rPr>
          <w:rStyle w:val="CommentReference"/>
          <w:i/>
          <w:sz w:val="24"/>
        </w:rPr>
        <w:t>principum</w:t>
      </w:r>
      <w:proofErr w:type="spellEnd"/>
      <w:r w:rsidRPr="00771E6E">
        <w:rPr>
          <w:rStyle w:val="CommentReference"/>
          <w:sz w:val="24"/>
        </w:rPr>
        <w:t>.</w:t>
      </w:r>
      <w:r w:rsidRPr="00771E6E">
        <w:rPr>
          <w:rStyle w:val="FootnoteReference"/>
        </w:rPr>
        <w:footnoteReference w:id="613"/>
      </w:r>
      <w:r w:rsidRPr="00771E6E">
        <w:rPr>
          <w:rStyle w:val="CommentReference"/>
          <w:sz w:val="24"/>
        </w:rPr>
        <w:t xml:space="preserve"> If this is the case, the depiction of </w:t>
      </w:r>
      <w:r w:rsidRPr="00771E6E">
        <w:rPr>
          <w:rStyle w:val="CommentReference"/>
          <w:i/>
          <w:sz w:val="24"/>
        </w:rPr>
        <w:t>tactus</w:t>
      </w:r>
      <w:r w:rsidRPr="00771E6E">
        <w:rPr>
          <w:rStyle w:val="CommentReference"/>
          <w:sz w:val="24"/>
        </w:rPr>
        <w:t xml:space="preserve"> would be only one part of a bigger scheme promoting musical education for children, in which music is a metaphor for universal harmony.</w:t>
      </w:r>
      <w:r w:rsidRPr="00771E6E">
        <w:rPr>
          <w:rStyle w:val="FootnoteReference"/>
        </w:rPr>
        <w:footnoteReference w:id="614"/>
      </w:r>
      <w:r w:rsidRPr="00771E6E">
        <w:rPr>
          <w:rStyle w:val="CommentReference"/>
          <w:sz w:val="24"/>
        </w:rPr>
        <w:t xml:space="preserve"> </w:t>
      </w:r>
      <w:r w:rsidRPr="00771E6E">
        <w:t>However, it is possible that that this painting is instead a “family portrait” showing a father instructing his son in some elements of music, in the presence and under the supervision of the child’s grandfather, or a music teacher imparting lessons to a child in the presence of his father.</w:t>
      </w:r>
    </w:p>
    <w:p w14:paraId="6674D82A" w14:textId="77777777" w:rsidR="00094F64" w:rsidRPr="00771E6E" w:rsidRDefault="00094F64" w:rsidP="00094F64">
      <w:pPr>
        <w:ind w:firstLine="720"/>
      </w:pPr>
      <w:r w:rsidRPr="00771E6E">
        <w:t xml:space="preserve">A similar </w:t>
      </w:r>
      <w:r w:rsidRPr="00771E6E">
        <w:rPr>
          <w:i/>
        </w:rPr>
        <w:t xml:space="preserve">tactus </w:t>
      </w:r>
      <w:r w:rsidRPr="00771E6E">
        <w:t xml:space="preserve">gesture is found in </w:t>
      </w:r>
      <w:r w:rsidRPr="00771E6E">
        <w:rPr>
          <w:i/>
        </w:rPr>
        <w:t>The</w:t>
      </w:r>
      <w:r w:rsidRPr="00771E6E">
        <w:t xml:space="preserve"> </w:t>
      </w:r>
      <w:r w:rsidRPr="00771E6E">
        <w:rPr>
          <w:i/>
        </w:rPr>
        <w:t>Music Lesson</w:t>
      </w:r>
      <w:r w:rsidRPr="00771E6E">
        <w:t xml:space="preserve"> or </w:t>
      </w:r>
      <w:r w:rsidRPr="00771E6E">
        <w:rPr>
          <w:i/>
        </w:rPr>
        <w:t>The</w:t>
      </w:r>
      <w:r w:rsidRPr="00771E6E">
        <w:t xml:space="preserve"> </w:t>
      </w:r>
      <w:r w:rsidRPr="00771E6E">
        <w:rPr>
          <w:i/>
        </w:rPr>
        <w:t>Concert</w:t>
      </w:r>
      <w:r w:rsidRPr="00771E6E">
        <w:t xml:space="preserve"> from around 1535,</w:t>
      </w:r>
      <w:r w:rsidRPr="00771E6E">
        <w:rPr>
          <w:i/>
        </w:rPr>
        <w:t xml:space="preserve"> </w:t>
      </w:r>
      <w:r w:rsidRPr="00771E6E">
        <w:t xml:space="preserve">kept at the National Gallery, London (fig. 3.27). In this, five figures gather in a loosely defined interior space to make music. Although this painting has often been attributed to Titian or Titian’s workshop, the attribution of this painting is still debated, and </w:t>
      </w:r>
      <w:r w:rsidRPr="00771E6E">
        <w:lastRenderedPageBreak/>
        <w:t>Nicholas Penny believes this association to be unlikely.</w:t>
      </w:r>
      <w:r w:rsidRPr="00771E6E">
        <w:rPr>
          <w:rStyle w:val="FootnoteReference"/>
        </w:rPr>
        <w:footnoteReference w:id="615"/>
      </w:r>
      <w:r w:rsidRPr="00771E6E">
        <w:t xml:space="preserve"> In this painting a child holds open a music book and sings accompanied by the music of a </w:t>
      </w:r>
      <w:r w:rsidRPr="00771E6E">
        <w:rPr>
          <w:i/>
        </w:rPr>
        <w:t xml:space="preserve">viola da </w:t>
      </w:r>
      <w:proofErr w:type="spellStart"/>
      <w:r w:rsidRPr="00771E6E">
        <w:rPr>
          <w:i/>
        </w:rPr>
        <w:t>gamba</w:t>
      </w:r>
      <w:proofErr w:type="spellEnd"/>
      <w:r w:rsidRPr="00771E6E">
        <w:t xml:space="preserve"> and a recorder, played by two young men, while a third man stands behind him and beats musical time on the same music book. A woman on the far left of the composition looks out towards the viewer, effectively acting as a </w:t>
      </w:r>
      <w:proofErr w:type="spellStart"/>
      <w:r w:rsidRPr="00771E6E">
        <w:rPr>
          <w:i/>
        </w:rPr>
        <w:t>festaiuolo</w:t>
      </w:r>
      <w:proofErr w:type="spellEnd"/>
      <w:r w:rsidRPr="00771E6E">
        <w:t xml:space="preserve">, engaging the beholders’ gaze and allowing them to be part of this moment. Here, again, a child is being instructed in music through the use of </w:t>
      </w:r>
      <w:r w:rsidRPr="00771E6E">
        <w:rPr>
          <w:i/>
        </w:rPr>
        <w:t>tactus</w:t>
      </w:r>
      <w:r w:rsidRPr="00771E6E">
        <w:t>.</w:t>
      </w:r>
    </w:p>
    <w:p w14:paraId="2B95B108" w14:textId="77777777" w:rsidR="00094F64" w:rsidRPr="00771E6E" w:rsidRDefault="00094F64" w:rsidP="00094F64">
      <w:pPr>
        <w:ind w:firstLine="720"/>
        <w:rPr>
          <w:color w:val="000000" w:themeColor="text1"/>
        </w:rPr>
      </w:pPr>
      <w:r w:rsidRPr="00771E6E">
        <w:rPr>
          <w:color w:val="000000" w:themeColor="text1"/>
        </w:rPr>
        <w:t xml:space="preserve">In both these paintings a man is teaching music to a child by beating musical time with one of his fingers, demonstrating the wide use of </w:t>
      </w:r>
      <w:r w:rsidRPr="00771E6E">
        <w:rPr>
          <w:i/>
          <w:color w:val="000000" w:themeColor="text1"/>
        </w:rPr>
        <w:t>tactus</w:t>
      </w:r>
      <w:r w:rsidRPr="00771E6E">
        <w:rPr>
          <w:color w:val="000000" w:themeColor="text1"/>
        </w:rPr>
        <w:t xml:space="preserve"> in music education, as advised by </w:t>
      </w:r>
      <w:proofErr w:type="spellStart"/>
      <w:r w:rsidRPr="00771E6E">
        <w:rPr>
          <w:color w:val="000000" w:themeColor="text1"/>
        </w:rPr>
        <w:t>Anselmi</w:t>
      </w:r>
      <w:proofErr w:type="spellEnd"/>
      <w:r w:rsidRPr="00771E6E">
        <w:rPr>
          <w:color w:val="000000" w:themeColor="text1"/>
        </w:rPr>
        <w:t xml:space="preserve"> and Ramos de Pareja.</w:t>
      </w:r>
    </w:p>
    <w:p w14:paraId="28B5375B" w14:textId="77777777" w:rsidR="00094F64" w:rsidRPr="00771E6E" w:rsidRDefault="00094F64" w:rsidP="00094F64">
      <w:pPr>
        <w:ind w:firstLine="720"/>
        <w:rPr>
          <w:color w:val="000000" w:themeColor="text1"/>
        </w:rPr>
      </w:pPr>
      <w:r w:rsidRPr="00771E6E">
        <w:rPr>
          <w:color w:val="000000" w:themeColor="text1"/>
        </w:rPr>
        <w:t xml:space="preserve">All the works of art discussed above provide a sample of what can be found among Renaissance paintings. However, this is certainly not an exhaustive list of all the occurrences of singers (angels or otherwise) beating musical time. In fact, the </w:t>
      </w:r>
      <w:r w:rsidRPr="00771E6E">
        <w:rPr>
          <w:i/>
          <w:color w:val="000000" w:themeColor="text1"/>
        </w:rPr>
        <w:t>tactus</w:t>
      </w:r>
      <w:r w:rsidRPr="00771E6E">
        <w:rPr>
          <w:color w:val="000000" w:themeColor="text1"/>
        </w:rPr>
        <w:t xml:space="preserve"> gesture on the shoulder or arm of a fellow singer is such a common device and so easy to find depicted that it almost hides in plain sight. Nevertheless, if viewers are looking to find more examples, they will be surprised to notice its presence in the vast majority of paintings with groups of angels or human beings singing in close proximity. By borrowing methods familiar to elite children from their music lessons, Botticelli’s angels engage once more with these young viewers through their established role as guides and teachers.</w:t>
      </w:r>
    </w:p>
    <w:p w14:paraId="4B19616B" w14:textId="77777777" w:rsidR="00094F64" w:rsidRPr="00771E6E" w:rsidRDefault="00094F64" w:rsidP="00094F64">
      <w:pPr>
        <w:ind w:firstLine="720"/>
        <w:rPr>
          <w:color w:val="000000" w:themeColor="text1"/>
        </w:rPr>
      </w:pPr>
      <w:r w:rsidRPr="00771E6E">
        <w:rPr>
          <w:color w:val="000000" w:themeColor="text1"/>
        </w:rPr>
        <w:t xml:space="preserve">Botticelli depicted </w:t>
      </w:r>
      <w:r w:rsidRPr="00771E6E">
        <w:rPr>
          <w:i/>
          <w:color w:val="000000" w:themeColor="text1"/>
        </w:rPr>
        <w:t>tactus</w:t>
      </w:r>
      <w:r w:rsidRPr="00771E6E">
        <w:rPr>
          <w:color w:val="000000" w:themeColor="text1"/>
        </w:rPr>
        <w:t xml:space="preserve"> several times when representing musical angels. </w:t>
      </w:r>
      <w:r w:rsidRPr="00771E6E">
        <w:rPr>
          <w:color w:val="000000" w:themeColor="text1"/>
          <w:shd w:val="clear" w:color="auto" w:fill="FFFFFF"/>
        </w:rPr>
        <w:t xml:space="preserve">The same is found, for example, also in a drawing of </w:t>
      </w:r>
      <w:r w:rsidRPr="00771E6E">
        <w:rPr>
          <w:i/>
          <w:color w:val="000000" w:themeColor="text1"/>
          <w:shd w:val="clear" w:color="auto" w:fill="FFFFFF"/>
        </w:rPr>
        <w:t>Three Angels</w:t>
      </w:r>
      <w:r w:rsidRPr="00771E6E">
        <w:rPr>
          <w:color w:val="000000" w:themeColor="text1"/>
          <w:shd w:val="clear" w:color="auto" w:fill="FFFFFF"/>
        </w:rPr>
        <w:t xml:space="preserve"> (fig. 3.28), in which fingers are beating musical time not only on shoulders, but also directly on the music book.</w:t>
      </w:r>
      <w:r w:rsidRPr="00771E6E">
        <w:rPr>
          <w:color w:val="000000" w:themeColor="text1"/>
        </w:rPr>
        <w:t xml:space="preserve"> </w:t>
      </w:r>
    </w:p>
    <w:p w14:paraId="27BB2B07" w14:textId="77777777" w:rsidR="00094F64" w:rsidRPr="00771E6E" w:rsidRDefault="00094F64" w:rsidP="00094F64">
      <w:pPr>
        <w:ind w:firstLine="720"/>
        <w:rPr>
          <w:color w:val="000000" w:themeColor="text1"/>
        </w:rPr>
      </w:pPr>
      <w:r w:rsidRPr="00771E6E">
        <w:rPr>
          <w:color w:val="000000" w:themeColor="text1"/>
        </w:rPr>
        <w:t xml:space="preserve">In light of this, it might be possible to </w:t>
      </w:r>
      <w:proofErr w:type="spellStart"/>
      <w:r w:rsidRPr="00771E6E">
        <w:rPr>
          <w:color w:val="000000" w:themeColor="text1"/>
        </w:rPr>
        <w:t>recognise</w:t>
      </w:r>
      <w:proofErr w:type="spellEnd"/>
      <w:r w:rsidRPr="00771E6E">
        <w:rPr>
          <w:color w:val="000000" w:themeColor="text1"/>
        </w:rPr>
        <w:t xml:space="preserve"> </w:t>
      </w:r>
      <w:r w:rsidRPr="00771E6E">
        <w:rPr>
          <w:i/>
          <w:color w:val="000000" w:themeColor="text1"/>
        </w:rPr>
        <w:t xml:space="preserve">tactus </w:t>
      </w:r>
      <w:r w:rsidRPr="00771E6E">
        <w:rPr>
          <w:color w:val="000000" w:themeColor="text1"/>
        </w:rPr>
        <w:t xml:space="preserve">in another painting with the </w:t>
      </w:r>
      <w:r w:rsidRPr="00771E6E">
        <w:rPr>
          <w:i/>
          <w:color w:val="000000" w:themeColor="text1"/>
        </w:rPr>
        <w:t>Virgin and Child with two Angels</w:t>
      </w:r>
      <w:r w:rsidRPr="00771E6E">
        <w:rPr>
          <w:color w:val="000000" w:themeColor="text1"/>
        </w:rPr>
        <w:t xml:space="preserve">, that Botticelli produced around 1490, now kept in Vienna (fig. 3.29). This </w:t>
      </w:r>
      <w:r w:rsidRPr="00771E6E">
        <w:rPr>
          <w:i/>
          <w:color w:val="000000" w:themeColor="text1"/>
        </w:rPr>
        <w:t xml:space="preserve">tondo </w:t>
      </w:r>
      <w:r w:rsidRPr="00771E6E">
        <w:rPr>
          <w:color w:val="000000" w:themeColor="text1"/>
        </w:rPr>
        <w:t xml:space="preserve">was formerly believed to be a product of the workshop. However, Ruben </w:t>
      </w:r>
      <w:proofErr w:type="spellStart"/>
      <w:r w:rsidRPr="00771E6E">
        <w:rPr>
          <w:color w:val="000000" w:themeColor="text1"/>
        </w:rPr>
        <w:t>Rebmann</w:t>
      </w:r>
      <w:proofErr w:type="spellEnd"/>
      <w:r w:rsidRPr="00771E6E">
        <w:rPr>
          <w:color w:val="000000" w:themeColor="text1"/>
        </w:rPr>
        <w:t xml:space="preserve"> believes it to be </w:t>
      </w:r>
      <w:r w:rsidRPr="00771E6E">
        <w:t xml:space="preserve">painted </w:t>
      </w:r>
      <w:r w:rsidRPr="00771E6E">
        <w:rPr>
          <w:color w:val="000000" w:themeColor="text1"/>
        </w:rPr>
        <w:t>by the master himself, based on a lost original.</w:t>
      </w:r>
      <w:r w:rsidRPr="00771E6E">
        <w:rPr>
          <w:rStyle w:val="FootnoteReference"/>
        </w:rPr>
        <w:footnoteReference w:id="616"/>
      </w:r>
      <w:r w:rsidRPr="00771E6E">
        <w:rPr>
          <w:color w:val="000000" w:themeColor="text1"/>
        </w:rPr>
        <w:t xml:space="preserve"> Scholars have focused mainly on its attribution without attempting to interpret the scene depicted. In this </w:t>
      </w:r>
      <w:r w:rsidRPr="00771E6E">
        <w:rPr>
          <w:i/>
          <w:color w:val="000000" w:themeColor="text1"/>
        </w:rPr>
        <w:t>tondo</w:t>
      </w:r>
      <w:r w:rsidRPr="00771E6E">
        <w:rPr>
          <w:color w:val="000000" w:themeColor="text1"/>
        </w:rPr>
        <w:t xml:space="preserve">, the Virgin and Child are sitting inside a room in front of a window, and are flanked by two angels, one of which is carrying roses, while the other </w:t>
      </w:r>
      <w:r w:rsidRPr="00771E6E">
        <w:rPr>
          <w:color w:val="000000" w:themeColor="text1"/>
        </w:rPr>
        <w:lastRenderedPageBreak/>
        <w:t>places his right hand on his companion’s shoulder, and raises the index finger of his left hand in a gesture that is not easily explicable, but which I will attempt to decrypt.</w:t>
      </w:r>
    </w:p>
    <w:p w14:paraId="526E6743" w14:textId="77777777" w:rsidR="00094F64" w:rsidRPr="00771E6E" w:rsidRDefault="00094F64" w:rsidP="00094F64">
      <w:pPr>
        <w:ind w:firstLine="720"/>
        <w:rPr>
          <w:color w:val="000000" w:themeColor="text1"/>
          <w:shd w:val="clear" w:color="auto" w:fill="FFFFFF"/>
        </w:rPr>
      </w:pPr>
      <w:r w:rsidRPr="00771E6E">
        <w:rPr>
          <w:color w:val="000000" w:themeColor="text1"/>
        </w:rPr>
        <w:t xml:space="preserve">At first glance, Botticelli’s angels in this </w:t>
      </w:r>
      <w:r w:rsidRPr="00771E6E">
        <w:rPr>
          <w:i/>
          <w:color w:val="000000" w:themeColor="text1"/>
        </w:rPr>
        <w:t>tondo</w:t>
      </w:r>
      <w:r w:rsidRPr="00771E6E">
        <w:rPr>
          <w:color w:val="000000" w:themeColor="text1"/>
        </w:rPr>
        <w:t xml:space="preserve"> do not seem to have any musical characteristics. However, if considered more attentively, one can notice that the angel’s act of placing his right hand on the right shoulder of his companion is remarkably similar to the </w:t>
      </w:r>
      <w:r w:rsidRPr="00771E6E">
        <w:rPr>
          <w:i/>
          <w:color w:val="000000" w:themeColor="text1"/>
        </w:rPr>
        <w:t xml:space="preserve">tactus </w:t>
      </w:r>
      <w:r w:rsidRPr="00771E6E">
        <w:rPr>
          <w:color w:val="000000" w:themeColor="text1"/>
        </w:rPr>
        <w:t xml:space="preserve">gesture made by musical angels in the examples discussed previously. </w:t>
      </w:r>
      <w:r w:rsidRPr="00771E6E">
        <w:rPr>
          <w:color w:val="000000" w:themeColor="text1"/>
          <w:shd w:val="clear" w:color="auto" w:fill="FFFFFF"/>
        </w:rPr>
        <w:t xml:space="preserve">Interestingly, the angel on the left is very similar to the angel in the same position in the drawing with </w:t>
      </w:r>
      <w:r w:rsidRPr="00771E6E">
        <w:rPr>
          <w:i/>
          <w:color w:val="000000" w:themeColor="text1"/>
          <w:shd w:val="clear" w:color="auto" w:fill="FFFFFF"/>
        </w:rPr>
        <w:t>Three Angels</w:t>
      </w:r>
      <w:r w:rsidRPr="00771E6E">
        <w:rPr>
          <w:color w:val="000000" w:themeColor="text1"/>
          <w:shd w:val="clear" w:color="auto" w:fill="FFFFFF"/>
        </w:rPr>
        <w:t xml:space="preserve">, as they both have a hand beating </w:t>
      </w:r>
      <w:r w:rsidRPr="00771E6E">
        <w:rPr>
          <w:i/>
          <w:color w:val="000000" w:themeColor="text1"/>
          <w:shd w:val="clear" w:color="auto" w:fill="FFFFFF"/>
        </w:rPr>
        <w:t>tactus</w:t>
      </w:r>
      <w:r w:rsidRPr="00771E6E">
        <w:rPr>
          <w:color w:val="000000" w:themeColor="text1"/>
          <w:shd w:val="clear" w:color="auto" w:fill="FFFFFF"/>
        </w:rPr>
        <w:t xml:space="preserve"> on their right shoulder, and are stretching out an arm to hold something. The angel in the drawing, however, is flying with two companions and reaches for a music book that they all hold, which makes them evidently </w:t>
      </w:r>
      <w:r w:rsidRPr="00771E6E">
        <w:rPr>
          <w:i/>
          <w:color w:val="000000" w:themeColor="text1"/>
          <w:shd w:val="clear" w:color="auto" w:fill="FFFFFF"/>
        </w:rPr>
        <w:t>musical</w:t>
      </w:r>
      <w:r w:rsidRPr="00771E6E">
        <w:rPr>
          <w:color w:val="000000" w:themeColor="text1"/>
          <w:shd w:val="clear" w:color="auto" w:fill="FFFFFF"/>
        </w:rPr>
        <w:t xml:space="preserve"> angels. Although the angel in the Vienna painting is holding pink roses, instead of a book, there is also another similarity between these two artworks that is worth noting. On closer inspection, it is possible to see that the mouths of both the angels in the Vienna painting are in fact slightly open, wide enough for producing sound and singing, in the same way as the angels’ mouths in the drawing. The roses, again, could have contributed to create a musical atmosphere as discussed with regards to the </w:t>
      </w:r>
      <w:proofErr w:type="spellStart"/>
      <w:r w:rsidRPr="00771E6E">
        <w:rPr>
          <w:i/>
          <w:color w:val="000000" w:themeColor="text1"/>
          <w:shd w:val="clear" w:color="auto" w:fill="FFFFFF"/>
        </w:rPr>
        <w:t>Raczynski</w:t>
      </w:r>
      <w:proofErr w:type="spellEnd"/>
      <w:r w:rsidRPr="00771E6E">
        <w:rPr>
          <w:i/>
          <w:color w:val="000000" w:themeColor="text1"/>
          <w:shd w:val="clear" w:color="auto" w:fill="FFFFFF"/>
        </w:rPr>
        <w:t xml:space="preserve"> Tondo</w:t>
      </w:r>
      <w:r w:rsidRPr="00771E6E">
        <w:rPr>
          <w:color w:val="000000" w:themeColor="text1"/>
          <w:shd w:val="clear" w:color="auto" w:fill="FFFFFF"/>
        </w:rPr>
        <w:t>.</w:t>
      </w:r>
    </w:p>
    <w:p w14:paraId="707C4643" w14:textId="77777777" w:rsidR="00094F64" w:rsidRPr="00771E6E" w:rsidRDefault="00094F64" w:rsidP="00094F64">
      <w:pPr>
        <w:ind w:firstLine="720"/>
        <w:rPr>
          <w:color w:val="000000" w:themeColor="text1"/>
        </w:rPr>
      </w:pPr>
      <w:r w:rsidRPr="00771E6E">
        <w:rPr>
          <w:color w:val="000000" w:themeColor="text1"/>
          <w:shd w:val="clear" w:color="auto" w:fill="FFFFFF"/>
        </w:rPr>
        <w:t xml:space="preserve">If the </w:t>
      </w:r>
      <w:r w:rsidRPr="00771E6E">
        <w:rPr>
          <w:i/>
          <w:color w:val="000000" w:themeColor="text1"/>
          <w:shd w:val="clear" w:color="auto" w:fill="FFFFFF"/>
        </w:rPr>
        <w:t xml:space="preserve">tactus </w:t>
      </w:r>
      <w:r w:rsidRPr="00771E6E">
        <w:rPr>
          <w:color w:val="000000" w:themeColor="text1"/>
          <w:shd w:val="clear" w:color="auto" w:fill="FFFFFF"/>
        </w:rPr>
        <w:t xml:space="preserve">gesture and the open lips seem to indicate that we are actually in the presence of musical angels, the gesture that the angel on the right is performing with his left hand </w:t>
      </w:r>
      <w:r w:rsidRPr="00771E6E">
        <w:rPr>
          <w:color w:val="000000" w:themeColor="text1"/>
        </w:rPr>
        <w:t xml:space="preserve">is rather unusual. Generally speaking, angels in Florentine art of the fifteenth century usually engage with specific activities that keep their hands occupied. Among these, they can be seen carrying flowers (such as roses, lilies and daisies), holding the Virgin’s mantle or the curtains that frame the scene, or they can even be seen actively participating in the scene by helping the Virgin Mary to carry the young Christ. When they are not engaging in these activities, angels are usually shown in prayer, with joined hands, or with their hands crossed upon their chests. To explain the gesture performed by the angel in the Vienna painting, it is important to remember that </w:t>
      </w:r>
      <w:r w:rsidRPr="00771E6E">
        <w:rPr>
          <w:i/>
          <w:color w:val="000000" w:themeColor="text1"/>
          <w:shd w:val="clear" w:color="auto" w:fill="FFFFFF"/>
        </w:rPr>
        <w:t xml:space="preserve">tactus </w:t>
      </w:r>
      <w:r w:rsidRPr="00771E6E">
        <w:rPr>
          <w:color w:val="000000" w:themeColor="text1"/>
          <w:shd w:val="clear" w:color="auto" w:fill="FFFFFF"/>
        </w:rPr>
        <w:t xml:space="preserve">in the fifteenth century was mainly communicated through touch, in a non-visual way. According to musical treatises, “visual” </w:t>
      </w:r>
      <w:r w:rsidRPr="00771E6E">
        <w:rPr>
          <w:i/>
          <w:color w:val="000000" w:themeColor="text1"/>
          <w:shd w:val="clear" w:color="auto" w:fill="FFFFFF"/>
        </w:rPr>
        <w:t>tactus</w:t>
      </w:r>
      <w:r w:rsidRPr="00771E6E">
        <w:rPr>
          <w:color w:val="000000" w:themeColor="text1"/>
          <w:shd w:val="clear" w:color="auto" w:fill="FFFFFF"/>
        </w:rPr>
        <w:t>, beating musical time with a visible motion of the hand in the air, downwards and upwards, developed in the sixteenth century, or at least not before the very end of the fifteenth century.</w:t>
      </w:r>
      <w:r w:rsidRPr="00771E6E">
        <w:rPr>
          <w:rStyle w:val="FootnoteReference"/>
        </w:rPr>
        <w:footnoteReference w:id="617"/>
      </w:r>
      <w:r w:rsidRPr="00771E6E">
        <w:rPr>
          <w:color w:val="000000" w:themeColor="text1"/>
        </w:rPr>
        <w:t xml:space="preserve"> Alexander </w:t>
      </w:r>
      <w:proofErr w:type="spellStart"/>
      <w:r w:rsidRPr="00771E6E">
        <w:rPr>
          <w:color w:val="000000" w:themeColor="text1"/>
        </w:rPr>
        <w:t>Blachly</w:t>
      </w:r>
      <w:proofErr w:type="spellEnd"/>
      <w:r w:rsidRPr="00771E6E">
        <w:rPr>
          <w:color w:val="000000" w:themeColor="text1"/>
        </w:rPr>
        <w:t xml:space="preserve"> argues that at the </w:t>
      </w:r>
      <w:proofErr w:type="spellStart"/>
      <w:r w:rsidRPr="00771E6E">
        <w:rPr>
          <w:color w:val="000000" w:themeColor="text1"/>
        </w:rPr>
        <w:t>centre</w:t>
      </w:r>
      <w:proofErr w:type="spellEnd"/>
      <w:r w:rsidRPr="00771E6E">
        <w:rPr>
          <w:color w:val="000000" w:themeColor="text1"/>
        </w:rPr>
        <w:t xml:space="preserve"> of this change </w:t>
      </w:r>
      <w:r w:rsidRPr="00771E6E">
        <w:rPr>
          <w:color w:val="000000" w:themeColor="text1"/>
        </w:rPr>
        <w:lastRenderedPageBreak/>
        <w:t xml:space="preserve">was the description of a two-motion </w:t>
      </w:r>
      <w:r w:rsidRPr="00771E6E">
        <w:rPr>
          <w:i/>
          <w:color w:val="000000" w:themeColor="text1"/>
        </w:rPr>
        <w:t xml:space="preserve">tactus </w:t>
      </w:r>
      <w:r w:rsidRPr="00771E6E">
        <w:rPr>
          <w:color w:val="000000" w:themeColor="text1"/>
        </w:rPr>
        <w:t xml:space="preserve">by </w:t>
      </w:r>
      <w:proofErr w:type="spellStart"/>
      <w:r w:rsidRPr="00771E6E">
        <w:rPr>
          <w:color w:val="000000" w:themeColor="text1"/>
        </w:rPr>
        <w:t>Franchinus</w:t>
      </w:r>
      <w:proofErr w:type="spellEnd"/>
      <w:r w:rsidRPr="00771E6E">
        <w:rPr>
          <w:color w:val="000000" w:themeColor="text1"/>
        </w:rPr>
        <w:t xml:space="preserve"> </w:t>
      </w:r>
      <w:proofErr w:type="spellStart"/>
      <w:r w:rsidRPr="00771E6E">
        <w:rPr>
          <w:color w:val="000000" w:themeColor="text1"/>
        </w:rPr>
        <w:t>Gaffurius</w:t>
      </w:r>
      <w:proofErr w:type="spellEnd"/>
      <w:r w:rsidRPr="00771E6E">
        <w:rPr>
          <w:color w:val="000000" w:themeColor="text1"/>
        </w:rPr>
        <w:t xml:space="preserve"> in his </w:t>
      </w:r>
      <w:proofErr w:type="spellStart"/>
      <w:r w:rsidRPr="00771E6E">
        <w:rPr>
          <w:i/>
          <w:color w:val="000000" w:themeColor="text1"/>
        </w:rPr>
        <w:t>Practica</w:t>
      </w:r>
      <w:proofErr w:type="spellEnd"/>
      <w:r w:rsidRPr="00771E6E">
        <w:rPr>
          <w:i/>
          <w:color w:val="000000" w:themeColor="text1"/>
        </w:rPr>
        <w:t xml:space="preserve"> </w:t>
      </w:r>
      <w:proofErr w:type="spellStart"/>
      <w:r w:rsidRPr="00771E6E">
        <w:rPr>
          <w:i/>
          <w:color w:val="000000" w:themeColor="text1"/>
        </w:rPr>
        <w:t>musicae</w:t>
      </w:r>
      <w:proofErr w:type="spellEnd"/>
      <w:r w:rsidRPr="00771E6E">
        <w:rPr>
          <w:i/>
          <w:color w:val="000000" w:themeColor="text1"/>
        </w:rPr>
        <w:t xml:space="preserve"> </w:t>
      </w:r>
      <w:r w:rsidRPr="00771E6E">
        <w:rPr>
          <w:color w:val="000000" w:themeColor="text1"/>
        </w:rPr>
        <w:t>of 1496. This treatise was widely influential during the sixteenth century,</w:t>
      </w:r>
      <w:r w:rsidRPr="00771E6E">
        <w:rPr>
          <w:rStyle w:val="FootnoteReference"/>
        </w:rPr>
        <w:footnoteReference w:id="618"/>
      </w:r>
      <w:r w:rsidRPr="00771E6E">
        <w:rPr>
          <w:color w:val="000000" w:themeColor="text1"/>
        </w:rPr>
        <w:t xml:space="preserve"> and was likely based on an ancient visual motion of the hand first described by Saint Augustine in the fifth century that was not in use in the century preceding the publication of </w:t>
      </w:r>
      <w:proofErr w:type="spellStart"/>
      <w:r w:rsidRPr="00771E6E">
        <w:rPr>
          <w:color w:val="000000" w:themeColor="text1"/>
        </w:rPr>
        <w:t>Gaffurius</w:t>
      </w:r>
      <w:proofErr w:type="spellEnd"/>
      <w:r w:rsidRPr="00771E6E">
        <w:rPr>
          <w:color w:val="000000" w:themeColor="text1"/>
        </w:rPr>
        <w:t>’ book.</w:t>
      </w:r>
      <w:r w:rsidRPr="00771E6E">
        <w:rPr>
          <w:rStyle w:val="FootnoteReference"/>
        </w:rPr>
        <w:footnoteReference w:id="619"/>
      </w:r>
      <w:r w:rsidRPr="00771E6E">
        <w:rPr>
          <w:color w:val="000000" w:themeColor="text1"/>
        </w:rPr>
        <w:t xml:space="preserve"> </w:t>
      </w:r>
      <w:r w:rsidRPr="00771E6E">
        <w:rPr>
          <w:color w:val="000000" w:themeColor="text1"/>
          <w:shd w:val="clear" w:color="auto" w:fill="FFFFFF"/>
        </w:rPr>
        <w:t xml:space="preserve">Considering this, it is difficult to link the raised index finger of Botticelli’s angel with the </w:t>
      </w:r>
      <w:proofErr w:type="spellStart"/>
      <w:r w:rsidRPr="00771E6E">
        <w:rPr>
          <w:color w:val="000000" w:themeColor="text1"/>
          <w:shd w:val="clear" w:color="auto" w:fill="FFFFFF"/>
        </w:rPr>
        <w:t>practise</w:t>
      </w:r>
      <w:proofErr w:type="spellEnd"/>
      <w:r w:rsidRPr="00771E6E">
        <w:rPr>
          <w:color w:val="000000" w:themeColor="text1"/>
          <w:shd w:val="clear" w:color="auto" w:fill="FFFFFF"/>
        </w:rPr>
        <w:t xml:space="preserve"> of visual </w:t>
      </w:r>
      <w:r w:rsidRPr="00771E6E">
        <w:rPr>
          <w:i/>
          <w:color w:val="000000" w:themeColor="text1"/>
          <w:shd w:val="clear" w:color="auto" w:fill="FFFFFF"/>
        </w:rPr>
        <w:t>tactus</w:t>
      </w:r>
      <w:r w:rsidRPr="00771E6E">
        <w:rPr>
          <w:color w:val="000000" w:themeColor="text1"/>
          <w:shd w:val="clear" w:color="auto" w:fill="FFFFFF"/>
        </w:rPr>
        <w:t xml:space="preserve">. Although it is impossible to define whether this finger is showing </w:t>
      </w:r>
      <w:r w:rsidRPr="00771E6E">
        <w:rPr>
          <w:color w:val="000000" w:themeColor="text1"/>
        </w:rPr>
        <w:t xml:space="preserve">an upwards or downwards movement, or whether it indicates something entirely different, this can still be compared to a similar gesture performed by one of the musical angels in Filippino Lippi’s </w:t>
      </w:r>
      <w:r w:rsidRPr="00771E6E">
        <w:rPr>
          <w:i/>
          <w:color w:val="000000" w:themeColor="text1"/>
        </w:rPr>
        <w:t>Tondo Corsini</w:t>
      </w:r>
      <w:r w:rsidRPr="00771E6E">
        <w:rPr>
          <w:color w:val="000000" w:themeColor="text1"/>
        </w:rPr>
        <w:t xml:space="preserve"> discussed below, painted by Botticelli’s pupil in the preceding decade. Despite the fact that in the latter the indication of </w:t>
      </w:r>
      <w:r w:rsidRPr="00771E6E">
        <w:rPr>
          <w:i/>
          <w:color w:val="000000" w:themeColor="text1"/>
        </w:rPr>
        <w:t>tactus</w:t>
      </w:r>
      <w:r w:rsidRPr="00771E6E">
        <w:rPr>
          <w:color w:val="000000" w:themeColor="text1"/>
        </w:rPr>
        <w:t xml:space="preserve"> is much clearer, the two paintings can be associated as they both show performance </w:t>
      </w:r>
      <w:r w:rsidRPr="00771E6E">
        <w:rPr>
          <w:i/>
          <w:color w:val="000000" w:themeColor="text1"/>
        </w:rPr>
        <w:t>tactus</w:t>
      </w:r>
      <w:r w:rsidRPr="00771E6E">
        <w:rPr>
          <w:color w:val="000000" w:themeColor="text1"/>
        </w:rPr>
        <w:t xml:space="preserve">, tapping musical time on the shoulder. </w:t>
      </w:r>
    </w:p>
    <w:p w14:paraId="6AA058C5" w14:textId="77777777" w:rsidR="00094F64" w:rsidRPr="00771E6E" w:rsidRDefault="00094F64" w:rsidP="00094F64">
      <w:pPr>
        <w:ind w:firstLine="720"/>
        <w:rPr>
          <w:color w:val="000000" w:themeColor="text1"/>
        </w:rPr>
      </w:pPr>
      <w:r w:rsidRPr="00771E6E">
        <w:rPr>
          <w:color w:val="000000" w:themeColor="text1"/>
        </w:rPr>
        <w:t xml:space="preserve">This analysis still leaves some unanswered questions, which are difficult to conclusively resolve. It may be possible that the finger in the air in Botticelli’s </w:t>
      </w:r>
      <w:r w:rsidRPr="00771E6E">
        <w:rPr>
          <w:i/>
          <w:color w:val="000000" w:themeColor="text1"/>
        </w:rPr>
        <w:t>tondo</w:t>
      </w:r>
      <w:r w:rsidRPr="00771E6E">
        <w:rPr>
          <w:color w:val="000000" w:themeColor="text1"/>
        </w:rPr>
        <w:t xml:space="preserve"> is an early representation of the visual </w:t>
      </w:r>
      <w:r w:rsidRPr="00771E6E">
        <w:rPr>
          <w:i/>
          <w:color w:val="000000" w:themeColor="text1"/>
        </w:rPr>
        <w:t>tactus</w:t>
      </w:r>
      <w:r w:rsidRPr="00771E6E">
        <w:rPr>
          <w:color w:val="000000" w:themeColor="text1"/>
        </w:rPr>
        <w:t xml:space="preserve"> that was codified by </w:t>
      </w:r>
      <w:proofErr w:type="spellStart"/>
      <w:r w:rsidRPr="00771E6E">
        <w:rPr>
          <w:color w:val="000000" w:themeColor="text1"/>
        </w:rPr>
        <w:t>Gaffurius</w:t>
      </w:r>
      <w:proofErr w:type="spellEnd"/>
      <w:r w:rsidRPr="00771E6E">
        <w:rPr>
          <w:color w:val="000000" w:themeColor="text1"/>
        </w:rPr>
        <w:t xml:space="preserve"> a few years later; or that Botticelli, possibly not being very familiar with musical practices, wanted to suggest that the hand with the raised index finger was going to tap on something. This case is not isolated, and in fact the hand of the man engaging with tactus in Giorgione’s </w:t>
      </w:r>
      <w:r w:rsidRPr="00771E6E">
        <w:rPr>
          <w:i/>
          <w:color w:val="000000" w:themeColor="text1"/>
        </w:rPr>
        <w:t xml:space="preserve">Education of the Young Marcus Aurelius </w:t>
      </w:r>
      <w:r w:rsidRPr="00771E6E">
        <w:rPr>
          <w:color w:val="000000" w:themeColor="text1"/>
        </w:rPr>
        <w:t xml:space="preserve">is also hovering in mid-air (fig. 3.26), as is the hand of one of the angels depicted in Francesco </w:t>
      </w:r>
      <w:proofErr w:type="spellStart"/>
      <w:r w:rsidRPr="00771E6E">
        <w:rPr>
          <w:color w:val="000000" w:themeColor="text1"/>
        </w:rPr>
        <w:t>d’Antonio’s</w:t>
      </w:r>
      <w:proofErr w:type="spellEnd"/>
      <w:r w:rsidRPr="00771E6E">
        <w:rPr>
          <w:color w:val="000000" w:themeColor="text1"/>
        </w:rPr>
        <w:t xml:space="preserve"> organ shutters from </w:t>
      </w:r>
      <w:proofErr w:type="spellStart"/>
      <w:r w:rsidRPr="00771E6E">
        <w:rPr>
          <w:color w:val="000000" w:themeColor="text1"/>
        </w:rPr>
        <w:t>Orsanmichele</w:t>
      </w:r>
      <w:proofErr w:type="spellEnd"/>
      <w:r w:rsidRPr="00771E6E">
        <w:rPr>
          <w:color w:val="000000" w:themeColor="text1"/>
        </w:rPr>
        <w:t xml:space="preserve"> (1429; fig. 3.30).</w:t>
      </w:r>
    </w:p>
    <w:p w14:paraId="247A7514" w14:textId="77777777" w:rsidR="00094F64" w:rsidRPr="00771E6E" w:rsidRDefault="00094F64" w:rsidP="00094F64">
      <w:pPr>
        <w:ind w:firstLine="720"/>
        <w:rPr>
          <w:color w:val="000000" w:themeColor="text1"/>
        </w:rPr>
      </w:pPr>
      <w:r w:rsidRPr="00771E6E">
        <w:rPr>
          <w:color w:val="000000" w:themeColor="text1"/>
        </w:rPr>
        <w:lastRenderedPageBreak/>
        <w:t xml:space="preserve">It is not known who the owner of Botticelli’s painting was. However, a speculative suggestion can be made in that </w:t>
      </w:r>
      <w:r w:rsidRPr="00771E6E">
        <w:rPr>
          <w:i/>
          <w:color w:val="000000" w:themeColor="text1"/>
        </w:rPr>
        <w:t>tondi</w:t>
      </w:r>
      <w:r w:rsidRPr="00771E6E">
        <w:rPr>
          <w:color w:val="000000" w:themeColor="text1"/>
        </w:rPr>
        <w:t xml:space="preserve"> were usually owned by members of the upper class, who were likely to have received some musical training as part of their education. As </w:t>
      </w:r>
      <w:r w:rsidRPr="00771E6E">
        <w:rPr>
          <w:i/>
          <w:color w:val="000000" w:themeColor="text1"/>
        </w:rPr>
        <w:t xml:space="preserve">tactus </w:t>
      </w:r>
      <w:r w:rsidRPr="00771E6E">
        <w:rPr>
          <w:color w:val="000000" w:themeColor="text1"/>
        </w:rPr>
        <w:t>was a practice used to teach music to students, it might be possible that a raised index finger could suggest a musical reference as much as a hand on a shoulder to a mind accustomed to this specific musical gesture.</w:t>
      </w:r>
    </w:p>
    <w:p w14:paraId="08EA4F3E" w14:textId="77777777" w:rsidR="00094F64" w:rsidRPr="00771E6E" w:rsidRDefault="00094F64" w:rsidP="00094F64">
      <w:pPr>
        <w:ind w:firstLine="720"/>
        <w:rPr>
          <w:color w:val="000000" w:themeColor="text1"/>
        </w:rPr>
      </w:pPr>
      <w:r w:rsidRPr="00771E6E">
        <w:rPr>
          <w:color w:val="000000" w:themeColor="text1"/>
        </w:rPr>
        <w:t xml:space="preserve">Although it is not possible to argue that the angel’s finger in Botticelli’s painting is connected to visual </w:t>
      </w:r>
      <w:r w:rsidRPr="00771E6E">
        <w:rPr>
          <w:i/>
          <w:color w:val="000000" w:themeColor="text1"/>
        </w:rPr>
        <w:t>tactus</w:t>
      </w:r>
      <w:r w:rsidRPr="00771E6E">
        <w:rPr>
          <w:color w:val="000000" w:themeColor="text1"/>
        </w:rPr>
        <w:t xml:space="preserve">, we can </w:t>
      </w:r>
      <w:proofErr w:type="spellStart"/>
      <w:r w:rsidRPr="00771E6E">
        <w:rPr>
          <w:color w:val="000000" w:themeColor="text1"/>
        </w:rPr>
        <w:t>recognise</w:t>
      </w:r>
      <w:proofErr w:type="spellEnd"/>
      <w:r w:rsidRPr="00771E6E">
        <w:rPr>
          <w:color w:val="000000" w:themeColor="text1"/>
        </w:rPr>
        <w:t xml:space="preserve"> the hand beating time on the shoulder of his companion (tapped </w:t>
      </w:r>
      <w:r w:rsidRPr="00771E6E">
        <w:rPr>
          <w:i/>
          <w:color w:val="000000" w:themeColor="text1"/>
        </w:rPr>
        <w:t>tactus</w:t>
      </w:r>
      <w:r w:rsidRPr="00771E6E">
        <w:rPr>
          <w:color w:val="000000" w:themeColor="text1"/>
        </w:rPr>
        <w:t>) and the suggestion of singing given by the open mouths. This leads to the interpretation of the angels not simply as angels adoring the Infant Christ, but as angels whose adoration takes a specifically musical form.</w:t>
      </w:r>
      <w:r w:rsidRPr="00771E6E">
        <w:rPr>
          <w:rStyle w:val="FootnoteReference"/>
        </w:rPr>
        <w:footnoteReference w:id="620"/>
      </w:r>
      <w:r w:rsidRPr="00771E6E">
        <w:rPr>
          <w:color w:val="000000" w:themeColor="text1"/>
        </w:rPr>
        <w:t xml:space="preserve"> </w:t>
      </w:r>
    </w:p>
    <w:p w14:paraId="1FEEC23C" w14:textId="77777777" w:rsidR="00094F64" w:rsidRPr="00771E6E" w:rsidRDefault="00094F64" w:rsidP="00094F64">
      <w:pPr>
        <w:ind w:firstLine="720"/>
        <w:rPr>
          <w:color w:val="000000" w:themeColor="text1"/>
        </w:rPr>
      </w:pPr>
      <w:r w:rsidRPr="00771E6E">
        <w:rPr>
          <w:color w:val="000000" w:themeColor="text1"/>
        </w:rPr>
        <w:t xml:space="preserve">A replica of this </w:t>
      </w:r>
      <w:r w:rsidRPr="00771E6E">
        <w:rPr>
          <w:i/>
          <w:color w:val="000000" w:themeColor="text1"/>
        </w:rPr>
        <w:t>tondo</w:t>
      </w:r>
      <w:r w:rsidRPr="00771E6E">
        <w:rPr>
          <w:color w:val="000000" w:themeColor="text1"/>
        </w:rPr>
        <w:t xml:space="preserve"> can be seen in the </w:t>
      </w:r>
      <w:proofErr w:type="spellStart"/>
      <w:r w:rsidRPr="00771E6E">
        <w:rPr>
          <w:color w:val="000000" w:themeColor="text1"/>
        </w:rPr>
        <w:t>Wawel</w:t>
      </w:r>
      <w:proofErr w:type="spellEnd"/>
      <w:r w:rsidRPr="00771E6E">
        <w:rPr>
          <w:color w:val="000000" w:themeColor="text1"/>
        </w:rPr>
        <w:t xml:space="preserve"> Museum, Kraków (fig. 3.31).</w:t>
      </w:r>
      <w:r w:rsidRPr="00771E6E">
        <w:rPr>
          <w:rStyle w:val="FootnoteReference"/>
        </w:rPr>
        <w:footnoteReference w:id="621"/>
      </w:r>
      <w:r w:rsidRPr="00771E6E">
        <w:rPr>
          <w:color w:val="000000" w:themeColor="text1"/>
        </w:rPr>
        <w:t xml:space="preserve"> Here, while the angel’s hand no longer has a raised index finger, his mouth is more clearly open, and his other hand is more obviously beating </w:t>
      </w:r>
      <w:r w:rsidRPr="00771E6E">
        <w:rPr>
          <w:i/>
          <w:color w:val="000000" w:themeColor="text1"/>
        </w:rPr>
        <w:t>tactus</w:t>
      </w:r>
      <w:r w:rsidRPr="00771E6E">
        <w:rPr>
          <w:color w:val="000000" w:themeColor="text1"/>
        </w:rPr>
        <w:t xml:space="preserve"> on his companion’s shoulder. Another version produced by Botticelli’s workshop in around 1500 is now in the </w:t>
      </w:r>
      <w:proofErr w:type="spellStart"/>
      <w:r w:rsidRPr="00771E6E">
        <w:rPr>
          <w:color w:val="000000" w:themeColor="text1"/>
        </w:rPr>
        <w:t>Musée</w:t>
      </w:r>
      <w:proofErr w:type="spellEnd"/>
      <w:r w:rsidRPr="00771E6E">
        <w:rPr>
          <w:color w:val="000000" w:themeColor="text1"/>
        </w:rPr>
        <w:t xml:space="preserve"> du Petit-Palais, Avignon (fig. 3.32), although this is a very different copy, as only one angel appears, with no reference to </w:t>
      </w:r>
      <w:r w:rsidRPr="00771E6E">
        <w:rPr>
          <w:i/>
          <w:color w:val="000000" w:themeColor="text1"/>
        </w:rPr>
        <w:t>tactus</w:t>
      </w:r>
      <w:r w:rsidRPr="00771E6E">
        <w:rPr>
          <w:color w:val="000000" w:themeColor="text1"/>
        </w:rPr>
        <w:t>.</w:t>
      </w:r>
      <w:r w:rsidRPr="00771E6E">
        <w:rPr>
          <w:rStyle w:val="FootnoteReference"/>
        </w:rPr>
        <w:footnoteReference w:id="622"/>
      </w:r>
    </w:p>
    <w:p w14:paraId="259E40EE" w14:textId="77777777" w:rsidR="00094F64" w:rsidRPr="00771E6E" w:rsidRDefault="00094F64" w:rsidP="00094F64">
      <w:pPr>
        <w:ind w:firstLine="720"/>
        <w:rPr>
          <w:color w:val="000000" w:themeColor="text1"/>
        </w:rPr>
      </w:pPr>
      <w:r w:rsidRPr="00771E6E">
        <w:rPr>
          <w:color w:val="000000" w:themeColor="text1"/>
        </w:rPr>
        <w:t xml:space="preserve">Singing angels, tactus, music books and Marian symbols are not the only musical elements that one can find in </w:t>
      </w:r>
      <w:r w:rsidRPr="00771E6E">
        <w:rPr>
          <w:i/>
          <w:color w:val="000000" w:themeColor="text1"/>
        </w:rPr>
        <w:t>tondi</w:t>
      </w:r>
      <w:r w:rsidRPr="00771E6E">
        <w:rPr>
          <w:color w:val="000000" w:themeColor="text1"/>
        </w:rPr>
        <w:t xml:space="preserve"> produced by Botticelli and his workshop. In fact, the words of one particular song often appear. The </w:t>
      </w:r>
      <w:r w:rsidRPr="00771E6E">
        <w:rPr>
          <w:i/>
          <w:color w:val="000000" w:themeColor="text1"/>
        </w:rPr>
        <w:t>Magnificat Tondo</w:t>
      </w:r>
      <w:r w:rsidRPr="00771E6E">
        <w:rPr>
          <w:color w:val="000000" w:themeColor="text1"/>
        </w:rPr>
        <w:t xml:space="preserve"> (ca. 1480-81) in the Uffizi depicts the Virgin Mary as the Queen of Heaven, being crowned by two angels while holding her son. The Virgin is shown writing the words of the </w:t>
      </w:r>
      <w:r w:rsidRPr="00771E6E">
        <w:rPr>
          <w:i/>
          <w:color w:val="000000" w:themeColor="text1"/>
        </w:rPr>
        <w:t>Magnificat</w:t>
      </w:r>
      <w:r w:rsidRPr="00771E6E">
        <w:rPr>
          <w:color w:val="000000" w:themeColor="text1"/>
        </w:rPr>
        <w:t xml:space="preserve">, which she said during her Visitation to her cousin Elizabeth, as recounted in Luke 1:46–55 (fig. 3.33). Three angels hold a book open while the Virgin grasps a quill with her right hand and appears to be about to continue writing. The infant Christ is looking upwards towards his mother and, with one of his hands, seems to be encouraging her to write, while in the other he holds a pomegranate. The large-scale figures are grouped under what seems to be the arch of a window that opens on to a green landscape with a winding path and some hills in the distance, which harmoniously follow the shape of the </w:t>
      </w:r>
      <w:r w:rsidRPr="00771E6E">
        <w:rPr>
          <w:i/>
          <w:color w:val="000000" w:themeColor="text1"/>
        </w:rPr>
        <w:t>tondo</w:t>
      </w:r>
      <w:r w:rsidRPr="00771E6E">
        <w:rPr>
          <w:color w:val="000000" w:themeColor="text1"/>
        </w:rPr>
        <w:t>.</w:t>
      </w:r>
      <w:r w:rsidRPr="00771E6E">
        <w:rPr>
          <w:rStyle w:val="FootnoteReference"/>
        </w:rPr>
        <w:footnoteReference w:id="623"/>
      </w:r>
    </w:p>
    <w:p w14:paraId="432DA8BA" w14:textId="77777777" w:rsidR="00094F64" w:rsidRPr="00771E6E" w:rsidRDefault="00094F64" w:rsidP="00094F64">
      <w:pPr>
        <w:ind w:firstLine="720"/>
        <w:rPr>
          <w:color w:val="000000" w:themeColor="text1"/>
        </w:rPr>
      </w:pPr>
      <w:r w:rsidRPr="00771E6E">
        <w:rPr>
          <w:color w:val="000000" w:themeColor="text1"/>
        </w:rPr>
        <w:lastRenderedPageBreak/>
        <w:t>Ronald Lightbown has suggested that, as the size of the infant Christ is disproportionately increased to signify his divinity, Botticelli painted the wingless angels as young boys rather than babies, in order to maintain a sense of scale.</w:t>
      </w:r>
      <w:r w:rsidRPr="00771E6E">
        <w:rPr>
          <w:rStyle w:val="FootnoteReference"/>
        </w:rPr>
        <w:footnoteReference w:id="624"/>
      </w:r>
      <w:r w:rsidRPr="00771E6E">
        <w:rPr>
          <w:color w:val="000000" w:themeColor="text1"/>
        </w:rPr>
        <w:t xml:space="preserve"> However, as seen in the </w:t>
      </w:r>
      <w:r w:rsidRPr="00771E6E">
        <w:rPr>
          <w:i/>
          <w:color w:val="000000" w:themeColor="text1"/>
        </w:rPr>
        <w:t>tondi</w:t>
      </w:r>
      <w:r w:rsidRPr="00771E6E">
        <w:rPr>
          <w:color w:val="000000" w:themeColor="text1"/>
        </w:rPr>
        <w:t xml:space="preserve"> discussed above, most of the angels painted by Botticelli in his devotional paintings with the Virgin and Child are of the same age as these. In addition, Lightbown has suggested as a possible provenance of this </w:t>
      </w:r>
      <w:r w:rsidRPr="00771E6E">
        <w:rPr>
          <w:i/>
          <w:color w:val="000000" w:themeColor="text1"/>
        </w:rPr>
        <w:t>tondo</w:t>
      </w:r>
      <w:r w:rsidRPr="00771E6E">
        <w:rPr>
          <w:color w:val="000000" w:themeColor="text1"/>
        </w:rPr>
        <w:t xml:space="preserve"> a Florentine monastery. He bases his argument on the fact that at the time when the </w:t>
      </w:r>
      <w:r w:rsidRPr="00771E6E">
        <w:rPr>
          <w:i/>
          <w:color w:val="000000" w:themeColor="text1"/>
        </w:rPr>
        <w:t>tondo</w:t>
      </w:r>
      <w:r w:rsidRPr="00771E6E">
        <w:rPr>
          <w:color w:val="000000" w:themeColor="text1"/>
        </w:rPr>
        <w:t xml:space="preserve"> was acquired by the then Director of the Uffizi Gallery, </w:t>
      </w:r>
      <w:proofErr w:type="spellStart"/>
      <w:r w:rsidRPr="00771E6E">
        <w:rPr>
          <w:color w:val="000000" w:themeColor="text1"/>
        </w:rPr>
        <w:t>Bencivenni-Pelli</w:t>
      </w:r>
      <w:proofErr w:type="spellEnd"/>
      <w:r w:rsidRPr="00771E6E">
        <w:rPr>
          <w:color w:val="000000" w:themeColor="text1"/>
        </w:rPr>
        <w:t xml:space="preserve">, from the dealer </w:t>
      </w:r>
      <w:proofErr w:type="spellStart"/>
      <w:r w:rsidRPr="00771E6E">
        <w:rPr>
          <w:color w:val="000000" w:themeColor="text1"/>
        </w:rPr>
        <w:t>Ottavio</w:t>
      </w:r>
      <w:proofErr w:type="spellEnd"/>
      <w:r w:rsidRPr="00771E6E">
        <w:rPr>
          <w:color w:val="000000" w:themeColor="text1"/>
        </w:rPr>
        <w:t xml:space="preserve"> </w:t>
      </w:r>
      <w:proofErr w:type="spellStart"/>
      <w:r w:rsidRPr="00771E6E">
        <w:rPr>
          <w:color w:val="000000" w:themeColor="text1"/>
        </w:rPr>
        <w:t>Magherini</w:t>
      </w:r>
      <w:proofErr w:type="spellEnd"/>
      <w:r w:rsidRPr="00771E6E">
        <w:rPr>
          <w:color w:val="000000" w:themeColor="text1"/>
        </w:rPr>
        <w:t>, a number of works of art from suppressed monasteries were available on the market.</w:t>
      </w:r>
      <w:r w:rsidRPr="00771E6E">
        <w:rPr>
          <w:rStyle w:val="FootnoteReference"/>
        </w:rPr>
        <w:footnoteReference w:id="625"/>
      </w:r>
    </w:p>
    <w:p w14:paraId="49AEBF3C" w14:textId="77777777" w:rsidR="00094F64" w:rsidRPr="00771E6E" w:rsidRDefault="00094F64" w:rsidP="00094F64">
      <w:pPr>
        <w:ind w:firstLine="720"/>
        <w:rPr>
          <w:color w:val="000000" w:themeColor="text1"/>
        </w:rPr>
      </w:pPr>
      <w:r w:rsidRPr="00771E6E">
        <w:rPr>
          <w:color w:val="000000" w:themeColor="text1"/>
        </w:rPr>
        <w:t xml:space="preserve">With regards to the figure of the Virgin, Susan </w:t>
      </w:r>
      <w:proofErr w:type="spellStart"/>
      <w:r w:rsidRPr="00771E6E">
        <w:rPr>
          <w:color w:val="000000" w:themeColor="text1"/>
        </w:rPr>
        <w:t>Schibanoff</w:t>
      </w:r>
      <w:proofErr w:type="spellEnd"/>
      <w:r w:rsidRPr="00771E6E">
        <w:rPr>
          <w:color w:val="000000" w:themeColor="text1"/>
        </w:rPr>
        <w:t xml:space="preserve"> has argued that Botticelli painted an “impossible” figure in the act of writing the </w:t>
      </w:r>
      <w:r w:rsidRPr="00771E6E">
        <w:rPr>
          <w:i/>
          <w:color w:val="000000" w:themeColor="text1"/>
        </w:rPr>
        <w:t>Magnificat</w:t>
      </w:r>
      <w:r w:rsidRPr="00771E6E">
        <w:rPr>
          <w:color w:val="000000" w:themeColor="text1"/>
        </w:rPr>
        <w:t>, as female writers were at the time rare, with the writing skills of a woman being described as miraculous by some contemporary authors.</w:t>
      </w:r>
      <w:r w:rsidRPr="00771E6E">
        <w:rPr>
          <w:rStyle w:val="FootnoteReference"/>
        </w:rPr>
        <w:footnoteReference w:id="626"/>
      </w:r>
      <w:r w:rsidRPr="00771E6E">
        <w:rPr>
          <w:color w:val="000000" w:themeColor="text1"/>
        </w:rPr>
        <w:t xml:space="preserve"> The Virgin indeed seems to be aided by the Christ child, who touches and guides her wrist. However, the emphasis in this painting is placed more on what is written rather than on the act of writing. Viewers (at least those who could read) would have </w:t>
      </w:r>
      <w:proofErr w:type="spellStart"/>
      <w:r w:rsidRPr="00771E6E">
        <w:rPr>
          <w:color w:val="000000" w:themeColor="text1"/>
        </w:rPr>
        <w:t>recognised</w:t>
      </w:r>
      <w:proofErr w:type="spellEnd"/>
      <w:r w:rsidRPr="00771E6E">
        <w:rPr>
          <w:color w:val="000000" w:themeColor="text1"/>
        </w:rPr>
        <w:t xml:space="preserve"> the words of the </w:t>
      </w:r>
      <w:r w:rsidRPr="00771E6E">
        <w:rPr>
          <w:i/>
          <w:color w:val="000000" w:themeColor="text1"/>
        </w:rPr>
        <w:t>Magnificat</w:t>
      </w:r>
      <w:r w:rsidRPr="00771E6E">
        <w:rPr>
          <w:color w:val="000000" w:themeColor="text1"/>
        </w:rPr>
        <w:t xml:space="preserve"> on the right-hand page of the book that the Virgin is writing, while the words of the </w:t>
      </w:r>
      <w:r w:rsidRPr="00771E6E">
        <w:rPr>
          <w:i/>
          <w:color w:val="000000" w:themeColor="text1"/>
        </w:rPr>
        <w:t>Benedictus</w:t>
      </w:r>
      <w:r w:rsidRPr="00771E6E">
        <w:rPr>
          <w:color w:val="000000" w:themeColor="text1"/>
        </w:rPr>
        <w:t xml:space="preserve"> are written on the left-hand page. While the </w:t>
      </w:r>
      <w:r w:rsidRPr="00771E6E">
        <w:rPr>
          <w:i/>
          <w:color w:val="000000" w:themeColor="text1"/>
        </w:rPr>
        <w:t xml:space="preserve">Benedictus </w:t>
      </w:r>
      <w:r w:rsidRPr="00771E6E">
        <w:rPr>
          <w:color w:val="000000" w:themeColor="text1"/>
        </w:rPr>
        <w:t xml:space="preserve">could be seen as an indication that the patron of this </w:t>
      </w:r>
      <w:r w:rsidRPr="00771E6E">
        <w:rPr>
          <w:i/>
          <w:color w:val="000000" w:themeColor="text1"/>
        </w:rPr>
        <w:t>tondo</w:t>
      </w:r>
      <w:r w:rsidRPr="00771E6E">
        <w:rPr>
          <w:color w:val="000000" w:themeColor="text1"/>
        </w:rPr>
        <w:t xml:space="preserve"> would be a Florentine, as it was sung by Zacharias in celebration of the birth of his son Saint John the Baptist, the patron saint of Florence, the presence of the </w:t>
      </w:r>
      <w:r w:rsidRPr="00771E6E">
        <w:rPr>
          <w:i/>
          <w:color w:val="000000" w:themeColor="text1"/>
        </w:rPr>
        <w:t xml:space="preserve">Magnificat </w:t>
      </w:r>
      <w:r w:rsidRPr="00771E6E">
        <w:rPr>
          <w:color w:val="000000" w:themeColor="text1"/>
        </w:rPr>
        <w:t xml:space="preserve">reinforces the description of this painting as a “musical </w:t>
      </w:r>
      <w:r w:rsidRPr="00771E6E">
        <w:rPr>
          <w:i/>
          <w:color w:val="000000" w:themeColor="text1"/>
        </w:rPr>
        <w:t>tondo</w:t>
      </w:r>
      <w:r w:rsidRPr="00771E6E">
        <w:rPr>
          <w:color w:val="000000" w:themeColor="text1"/>
        </w:rPr>
        <w:t>”.</w:t>
      </w:r>
      <w:r w:rsidRPr="00771E6E">
        <w:rPr>
          <w:rStyle w:val="FootnoteReference"/>
        </w:rPr>
        <w:footnoteReference w:id="627"/>
      </w:r>
      <w:r w:rsidRPr="00771E6E">
        <w:rPr>
          <w:color w:val="000000" w:themeColor="text1"/>
        </w:rPr>
        <w:t xml:space="preserve"> </w:t>
      </w:r>
    </w:p>
    <w:p w14:paraId="4FEB4E91" w14:textId="77777777" w:rsidR="00094F64" w:rsidRPr="00771E6E" w:rsidRDefault="00094F64" w:rsidP="00094F64">
      <w:pPr>
        <w:ind w:firstLine="720"/>
        <w:rPr>
          <w:color w:val="000000" w:themeColor="text1"/>
        </w:rPr>
      </w:pPr>
      <w:r w:rsidRPr="00771E6E">
        <w:rPr>
          <w:color w:val="000000" w:themeColor="text1"/>
        </w:rPr>
        <w:t xml:space="preserve">In the Gospel of Luke, the Virgin enunciates the words of a hymn on a visit to her cousin Elizabeth, which became known as the </w:t>
      </w:r>
      <w:r w:rsidRPr="00771E6E">
        <w:rPr>
          <w:i/>
          <w:color w:val="000000" w:themeColor="text1"/>
        </w:rPr>
        <w:t>Magnificat</w:t>
      </w:r>
      <w:r w:rsidRPr="00771E6E">
        <w:rPr>
          <w:color w:val="000000" w:themeColor="text1"/>
        </w:rPr>
        <w:t xml:space="preserve"> from its incipit, “</w:t>
      </w:r>
      <w:r w:rsidRPr="00771E6E">
        <w:t xml:space="preserve">Magnificat anima </w:t>
      </w:r>
      <w:proofErr w:type="spellStart"/>
      <w:r w:rsidRPr="00771E6E">
        <w:t>mea</w:t>
      </w:r>
      <w:proofErr w:type="spellEnd"/>
      <w:r w:rsidRPr="00771E6E">
        <w:t xml:space="preserve"> </w:t>
      </w:r>
      <w:proofErr w:type="spellStart"/>
      <w:r w:rsidRPr="00771E6E">
        <w:t>Dominum</w:t>
      </w:r>
      <w:proofErr w:type="spellEnd"/>
      <w:r w:rsidRPr="00771E6E">
        <w:t>”</w:t>
      </w:r>
      <w:r w:rsidRPr="00771E6E">
        <w:rPr>
          <w:color w:val="000000" w:themeColor="text1"/>
        </w:rPr>
        <w:t>:</w:t>
      </w:r>
    </w:p>
    <w:p w14:paraId="1131EE7D" w14:textId="77777777" w:rsidR="00094F64" w:rsidRPr="00771E6E" w:rsidRDefault="00094F64" w:rsidP="00094F64">
      <w:pPr>
        <w:ind w:firstLine="720"/>
        <w:rPr>
          <w:color w:val="000000" w:themeColor="text1"/>
        </w:rPr>
      </w:pPr>
    </w:p>
    <w:p w14:paraId="4396F4C5" w14:textId="77777777" w:rsidR="00094F64" w:rsidRPr="00771E6E" w:rsidRDefault="00094F64" w:rsidP="00094F64">
      <w:pPr>
        <w:pStyle w:val="IntenseQuote"/>
      </w:pPr>
      <w:r w:rsidRPr="00771E6E">
        <w:t xml:space="preserve">My soul magnifies the Lord, and my spirit rejoices in God my </w:t>
      </w:r>
      <w:proofErr w:type="spellStart"/>
      <w:r w:rsidRPr="00771E6E">
        <w:t>Saviour</w:t>
      </w:r>
      <w:proofErr w:type="spellEnd"/>
      <w:r w:rsidRPr="00771E6E">
        <w:t>, for he has looked on the humble estate of his servant. For behold, from now on all generations will call me blessed; for he who is mighty has done great things for me, and holy is his name. And his mercy is for those who fear him from generation to generation.</w:t>
      </w:r>
    </w:p>
    <w:p w14:paraId="11390EB9" w14:textId="77777777" w:rsidR="00094F64" w:rsidRPr="00771E6E" w:rsidRDefault="00094F64" w:rsidP="00094F64">
      <w:pPr>
        <w:pStyle w:val="IntenseQuote"/>
      </w:pPr>
      <w:r w:rsidRPr="00771E6E">
        <w:t xml:space="preserve">He has shown strength with his arm; he has scattered the proud in the thoughts of their hearts; he has brought down the mighty from their thrones and exalted those of humble estate; he has filled the hungry with good things, and the rich he has sent </w:t>
      </w:r>
      <w:r w:rsidRPr="00771E6E">
        <w:lastRenderedPageBreak/>
        <w:t>away empty. He has helped his servant Israel, in remembrance of his mercy, as he spoke to our fathers, to Abraham and to his offspring forever.</w:t>
      </w:r>
      <w:r w:rsidRPr="00771E6E">
        <w:rPr>
          <w:rStyle w:val="FootnoteReference"/>
        </w:rPr>
        <w:footnoteReference w:id="628"/>
      </w:r>
    </w:p>
    <w:p w14:paraId="54F68AED" w14:textId="77777777" w:rsidR="00094F64" w:rsidRPr="00771E6E" w:rsidRDefault="00094F64" w:rsidP="00094F64">
      <w:pPr>
        <w:ind w:firstLine="720"/>
        <w:rPr>
          <w:color w:val="000000" w:themeColor="text1"/>
        </w:rPr>
      </w:pPr>
    </w:p>
    <w:p w14:paraId="113C7706" w14:textId="77777777" w:rsidR="00094F64" w:rsidRPr="00771E6E" w:rsidRDefault="00094F64" w:rsidP="00094F64">
      <w:pPr>
        <w:rPr>
          <w:color w:val="000000" w:themeColor="text1"/>
        </w:rPr>
      </w:pPr>
      <w:r w:rsidRPr="00771E6E">
        <w:rPr>
          <w:color w:val="000000" w:themeColor="text1"/>
        </w:rPr>
        <w:t xml:space="preserve">During the fifteenth century, the </w:t>
      </w:r>
      <w:r w:rsidRPr="00771E6E">
        <w:rPr>
          <w:i/>
          <w:color w:val="000000" w:themeColor="text1"/>
        </w:rPr>
        <w:t>Magnificat</w:t>
      </w:r>
      <w:r w:rsidRPr="00771E6E">
        <w:rPr>
          <w:color w:val="000000" w:themeColor="text1"/>
        </w:rPr>
        <w:t xml:space="preserve"> was understood as a song and sung daily in church at the end of the Vespers service. The </w:t>
      </w:r>
      <w:r w:rsidRPr="00771E6E">
        <w:rPr>
          <w:i/>
          <w:color w:val="000000" w:themeColor="text1"/>
        </w:rPr>
        <w:t>Magnificat</w:t>
      </w:r>
      <w:r w:rsidRPr="00771E6E">
        <w:rPr>
          <w:color w:val="000000" w:themeColor="text1"/>
        </w:rPr>
        <w:t xml:space="preserve"> canticle was clearly well-known in Italy throughout the fifteenth-century, as demonstrated by the exceptionally large number of both plainchant and polyphonic settings that have survived in manuscripts throughout Italy – either in its entirety or in sections.</w:t>
      </w:r>
      <w:r w:rsidRPr="00771E6E">
        <w:rPr>
          <w:rStyle w:val="FootnoteReference"/>
        </w:rPr>
        <w:footnoteReference w:id="629"/>
      </w:r>
      <w:r w:rsidRPr="00771E6E">
        <w:rPr>
          <w:color w:val="000000" w:themeColor="text1"/>
        </w:rPr>
        <w:t xml:space="preserve"> Of particular interest with regards to Florence are nine polyphonic settings that are recorded in the manuscript known as Mod B. As previously discussed, this manuscript was presumably compiled by Benoît when he was a singer in the Cathedral; although the last two </w:t>
      </w:r>
      <w:r w:rsidRPr="00771E6E">
        <w:rPr>
          <w:i/>
          <w:color w:val="000000" w:themeColor="text1"/>
        </w:rPr>
        <w:t>Magnificat</w:t>
      </w:r>
      <w:r w:rsidRPr="00771E6E">
        <w:rPr>
          <w:color w:val="000000" w:themeColor="text1"/>
        </w:rPr>
        <w:t xml:space="preserve"> appear to have been added to the manuscript after Benoît had finished his work on it.</w:t>
      </w:r>
      <w:r w:rsidRPr="00771E6E">
        <w:rPr>
          <w:rStyle w:val="FootnoteReference"/>
        </w:rPr>
        <w:footnoteReference w:id="630"/>
      </w:r>
      <w:r w:rsidRPr="00771E6E">
        <w:rPr>
          <w:color w:val="000000" w:themeColor="text1"/>
        </w:rPr>
        <w:t xml:space="preserve"> Around the same time that Botticelli’s </w:t>
      </w:r>
      <w:r w:rsidRPr="00771E6E">
        <w:rPr>
          <w:i/>
          <w:color w:val="000000" w:themeColor="text1"/>
        </w:rPr>
        <w:t>Magnificat Tondo</w:t>
      </w:r>
      <w:r w:rsidRPr="00771E6E">
        <w:rPr>
          <w:color w:val="000000" w:themeColor="text1"/>
        </w:rPr>
        <w:t xml:space="preserve"> was painted, Tinctoris, in his </w:t>
      </w:r>
      <w:r w:rsidRPr="00771E6E">
        <w:rPr>
          <w:i/>
          <w:color w:val="000000" w:themeColor="text1"/>
        </w:rPr>
        <w:t xml:space="preserve">De </w:t>
      </w:r>
      <w:proofErr w:type="spellStart"/>
      <w:r w:rsidRPr="00771E6E">
        <w:rPr>
          <w:i/>
          <w:color w:val="000000" w:themeColor="text1"/>
        </w:rPr>
        <w:t>Inventione</w:t>
      </w:r>
      <w:proofErr w:type="spellEnd"/>
      <w:r w:rsidRPr="00771E6E">
        <w:rPr>
          <w:i/>
          <w:color w:val="000000" w:themeColor="text1"/>
        </w:rPr>
        <w:t xml:space="preserve"> et </w:t>
      </w:r>
      <w:proofErr w:type="spellStart"/>
      <w:r w:rsidRPr="00771E6E">
        <w:rPr>
          <w:i/>
          <w:color w:val="000000" w:themeColor="text1"/>
        </w:rPr>
        <w:t>Usu</w:t>
      </w:r>
      <w:proofErr w:type="spellEnd"/>
      <w:r w:rsidRPr="00771E6E">
        <w:rPr>
          <w:i/>
          <w:color w:val="000000" w:themeColor="text1"/>
        </w:rPr>
        <w:t xml:space="preserve"> </w:t>
      </w:r>
      <w:proofErr w:type="spellStart"/>
      <w:r w:rsidRPr="00771E6E">
        <w:rPr>
          <w:i/>
          <w:color w:val="000000" w:themeColor="text1"/>
        </w:rPr>
        <w:t>Musice</w:t>
      </w:r>
      <w:proofErr w:type="spellEnd"/>
      <w:r w:rsidRPr="00771E6E">
        <w:rPr>
          <w:color w:val="000000" w:themeColor="text1"/>
        </w:rPr>
        <w:t xml:space="preserve">, asserted that, among other hymns, the composition of the </w:t>
      </w:r>
      <w:r w:rsidRPr="00771E6E">
        <w:rPr>
          <w:i/>
          <w:color w:val="000000" w:themeColor="text1"/>
        </w:rPr>
        <w:t>Magnificat</w:t>
      </w:r>
      <w:r w:rsidRPr="00771E6E">
        <w:rPr>
          <w:color w:val="000000" w:themeColor="text1"/>
        </w:rPr>
        <w:t xml:space="preserve"> was guided by divine inspiration, and stresses its musical character: </w:t>
      </w:r>
    </w:p>
    <w:p w14:paraId="57AEDB3F" w14:textId="77777777" w:rsidR="00094F64" w:rsidRPr="00771E6E" w:rsidRDefault="00094F64" w:rsidP="00094F64">
      <w:pPr>
        <w:rPr>
          <w:color w:val="000000" w:themeColor="text1"/>
        </w:rPr>
      </w:pPr>
    </w:p>
    <w:p w14:paraId="6A1DF752" w14:textId="77777777" w:rsidR="00094F64" w:rsidRPr="00771E6E" w:rsidRDefault="00094F64" w:rsidP="00094F64">
      <w:pPr>
        <w:pStyle w:val="IntenseQuote"/>
      </w:pPr>
      <w:r w:rsidRPr="00771E6E">
        <w:t xml:space="preserve">Before he [Christ] was born she most delightfully sang that outstanding canticle </w:t>
      </w:r>
      <w:r w:rsidRPr="00771E6E">
        <w:rPr>
          <w:i/>
        </w:rPr>
        <w:t>Magnificat</w:t>
      </w:r>
      <w:r w:rsidRPr="00771E6E">
        <w:t xml:space="preserve">, composed by her … in newness of spirit. For Augustine says this in his sermon on Christmas, ‘Hear how our woman timbrel player will have sung; </w:t>
      </w:r>
      <w:proofErr w:type="gramStart"/>
      <w:r w:rsidRPr="00771E6E">
        <w:t>indeed</w:t>
      </w:r>
      <w:proofErr w:type="gramEnd"/>
      <w:r w:rsidRPr="00771E6E">
        <w:t xml:space="preserve"> she says, “My soul doth magnify the Lord.”’</w:t>
      </w:r>
      <w:r w:rsidRPr="00771E6E">
        <w:rPr>
          <w:rStyle w:val="FootnoteReference"/>
        </w:rPr>
        <w:footnoteReference w:id="631"/>
      </w:r>
    </w:p>
    <w:p w14:paraId="1AA5F329" w14:textId="77777777" w:rsidR="00094F64" w:rsidRPr="00771E6E" w:rsidRDefault="00094F64" w:rsidP="00094F64">
      <w:pPr>
        <w:rPr>
          <w:color w:val="000000" w:themeColor="text1"/>
        </w:rPr>
      </w:pPr>
    </w:p>
    <w:p w14:paraId="6B6E34B9" w14:textId="77777777" w:rsidR="00094F64" w:rsidRPr="00771E6E" w:rsidRDefault="00094F64" w:rsidP="00094F64">
      <w:pPr>
        <w:rPr>
          <w:color w:val="000000" w:themeColor="text1"/>
        </w:rPr>
      </w:pPr>
      <w:r w:rsidRPr="00771E6E">
        <w:rPr>
          <w:color w:val="000000" w:themeColor="text1"/>
        </w:rPr>
        <w:t>The Virgin, here portrayed in three-quarter length, has her mouth slightly open, as if she is softly singing her song of thanksgiving. Besides attributing musical competency to the Virgin Mary, Tinctoris not only suggests that the Virgin uses this to calm her son, but also that Christ learned music as soon as he was conceived:</w:t>
      </w:r>
    </w:p>
    <w:p w14:paraId="7DE98C52" w14:textId="77777777" w:rsidR="00094F64" w:rsidRPr="00771E6E" w:rsidRDefault="00094F64" w:rsidP="00094F64">
      <w:pPr>
        <w:rPr>
          <w:color w:val="000000" w:themeColor="text1"/>
        </w:rPr>
      </w:pPr>
    </w:p>
    <w:p w14:paraId="03B93462" w14:textId="77777777" w:rsidR="00094F64" w:rsidRPr="00771E6E" w:rsidRDefault="00094F64" w:rsidP="00094F64">
      <w:pPr>
        <w:pStyle w:val="IntenseQuote"/>
        <w:rPr>
          <w:noProof/>
        </w:rPr>
      </w:pPr>
      <w:r w:rsidRPr="00771E6E">
        <w:rPr>
          <w:noProof/>
        </w:rPr>
        <w:lastRenderedPageBreak/>
        <w:t xml:space="preserve">Nor must it be passed over in silence that the dear, undefiled </w:t>
      </w:r>
      <w:r w:rsidR="00D06F9F" w:rsidRPr="00771E6E">
        <w:rPr>
          <w:noProof/>
        </w:rPr>
        <w:t>V</w:t>
      </w:r>
      <w:r w:rsidRPr="00771E6E">
        <w:rPr>
          <w:noProof/>
        </w:rPr>
        <w:t>irgin Mary herself … among other gifts of grace, had music imparted to her by divine providence; she undoubtedly both restrained her humanly crying dearest baby Jesus from his wailing and stirred him up to joy with mellifluous songs. To whom indeed, Jesus our sole saviour, upon whom … rested the spirit of wisdom, and of understanding, and of knowledge, music (just as also the other kinds of knowledge) was imparted from the instant of his conception.</w:t>
      </w:r>
      <w:r w:rsidRPr="00771E6E">
        <w:rPr>
          <w:rStyle w:val="FootnoteReference"/>
        </w:rPr>
        <w:footnoteReference w:id="632"/>
      </w:r>
    </w:p>
    <w:p w14:paraId="731B3A30" w14:textId="77777777" w:rsidR="00094F64" w:rsidRPr="00771E6E" w:rsidRDefault="00094F64" w:rsidP="00094F64">
      <w:pPr>
        <w:rPr>
          <w:color w:val="FF0000"/>
        </w:rPr>
      </w:pPr>
      <w:r w:rsidRPr="00771E6E">
        <w:t xml:space="preserve">The tremendous popularity of the </w:t>
      </w:r>
      <w:r w:rsidRPr="00771E6E">
        <w:rPr>
          <w:i/>
        </w:rPr>
        <w:t xml:space="preserve">Magnificat </w:t>
      </w:r>
      <w:r w:rsidRPr="00771E6E">
        <w:t xml:space="preserve">canticle can be linked to the incredible fame that Botticelli’s </w:t>
      </w:r>
      <w:r w:rsidRPr="00771E6E">
        <w:rPr>
          <w:i/>
        </w:rPr>
        <w:t>tondo</w:t>
      </w:r>
      <w:r w:rsidRPr="00771E6E">
        <w:t xml:space="preserve"> enjoyed at the time of its creation, as is demonstrated by the replicas of it that still survive, all with minimal variation in the number of angels present in the scene or in the </w:t>
      </w:r>
      <w:proofErr w:type="spellStart"/>
      <w:r w:rsidRPr="00771E6E">
        <w:t>colour</w:t>
      </w:r>
      <w:proofErr w:type="spellEnd"/>
      <w:r w:rsidRPr="00771E6E">
        <w:t xml:space="preserve"> of their robes.</w:t>
      </w:r>
      <w:r w:rsidRPr="00771E6E">
        <w:rPr>
          <w:rStyle w:val="FootnoteReference"/>
        </w:rPr>
        <w:footnoteReference w:id="633"/>
      </w:r>
      <w:r w:rsidRPr="00771E6E">
        <w:rPr>
          <w:color w:val="FF0000"/>
        </w:rPr>
        <w:t xml:space="preserve"> </w:t>
      </w:r>
    </w:p>
    <w:p w14:paraId="7694322E" w14:textId="77777777" w:rsidR="00094F64" w:rsidRPr="00771E6E" w:rsidRDefault="00094F64" w:rsidP="00094F64">
      <w:pPr>
        <w:ind w:firstLine="720"/>
      </w:pPr>
      <w:r w:rsidRPr="00771E6E">
        <w:t xml:space="preserve">Roberta Olson has also noted a further musical element in Botticelli’s </w:t>
      </w:r>
      <w:r w:rsidRPr="00771E6E">
        <w:rPr>
          <w:i/>
        </w:rPr>
        <w:t>Magnificat Tondo</w:t>
      </w:r>
      <w:r w:rsidRPr="00771E6E">
        <w:t>, as</w:t>
      </w:r>
      <w:r w:rsidRPr="00771E6E">
        <w:rPr>
          <w:i/>
        </w:rPr>
        <w:t xml:space="preserve"> </w:t>
      </w:r>
      <w:r w:rsidRPr="00771E6E">
        <w:t xml:space="preserve">the crown made of stars above the Virgin’s head may refer to her epithet as </w:t>
      </w:r>
      <w:r w:rsidRPr="00771E6E">
        <w:rPr>
          <w:i/>
        </w:rPr>
        <w:t xml:space="preserve">Regina </w:t>
      </w:r>
      <w:proofErr w:type="spellStart"/>
      <w:r w:rsidRPr="00771E6E">
        <w:rPr>
          <w:i/>
        </w:rPr>
        <w:t>caeli</w:t>
      </w:r>
      <w:proofErr w:type="spellEnd"/>
      <w:r w:rsidRPr="00771E6E">
        <w:t xml:space="preserve"> (Queen of Heaven), and therefore be reminiscent of the Marian antiphon with the same title, which was sung between Easter and the Friday after the end of Lent.</w:t>
      </w:r>
      <w:r w:rsidRPr="00771E6E">
        <w:rPr>
          <w:rStyle w:val="FootnoteReference"/>
        </w:rPr>
        <w:footnoteReference w:id="634"/>
      </w:r>
      <w:r w:rsidRPr="00771E6E">
        <w:rPr>
          <w:i/>
        </w:rPr>
        <w:t xml:space="preserve"> </w:t>
      </w:r>
      <w:r w:rsidRPr="00771E6E">
        <w:t>This text also circulated in Italy in several polyphonic settings, as demonstrated by a number of surviving manuscripts.</w:t>
      </w:r>
    </w:p>
    <w:p w14:paraId="2E55FA89" w14:textId="77777777" w:rsidR="00094F64" w:rsidRPr="00771E6E" w:rsidRDefault="00094F64" w:rsidP="00094F64">
      <w:pPr>
        <w:ind w:firstLine="720"/>
        <w:rPr>
          <w:iCs/>
        </w:rPr>
      </w:pPr>
      <w:r w:rsidRPr="00771E6E">
        <w:t xml:space="preserve">William S. A. Dale has suggested that the figures in the </w:t>
      </w:r>
      <w:r w:rsidRPr="00771E6E">
        <w:rPr>
          <w:i/>
        </w:rPr>
        <w:t>Magnificat Tondo</w:t>
      </w:r>
      <w:r w:rsidRPr="00771E6E">
        <w:t xml:space="preserve"> and the concentric bands which form the ceiling may be references to the way they would be seen through their reflection on a convex mirror.</w:t>
      </w:r>
      <w:r w:rsidRPr="00771E6E">
        <w:rPr>
          <w:rStyle w:val="FootnoteReference"/>
        </w:rPr>
        <w:footnoteReference w:id="635"/>
      </w:r>
      <w:r w:rsidRPr="00771E6E">
        <w:t xml:space="preserve"> This would reaffirm the status of the Virgin Mary as a </w:t>
      </w:r>
      <w:r w:rsidRPr="00771E6E">
        <w:rPr>
          <w:i/>
        </w:rPr>
        <w:t>speculum sine macula</w:t>
      </w:r>
      <w:r w:rsidRPr="00771E6E">
        <w:rPr>
          <w:iCs/>
        </w:rPr>
        <w:t xml:space="preserve"> </w:t>
      </w:r>
      <w:r w:rsidRPr="00771E6E">
        <w:t xml:space="preserve">(mirror without sin), </w:t>
      </w:r>
      <w:r w:rsidRPr="00771E6E">
        <w:rPr>
          <w:iCs/>
        </w:rPr>
        <w:t xml:space="preserve">and imply that the viewer should seek to mirror her musical devotion as </w:t>
      </w:r>
      <w:proofErr w:type="spellStart"/>
      <w:r w:rsidRPr="00771E6E">
        <w:rPr>
          <w:iCs/>
        </w:rPr>
        <w:t>emblematised</w:t>
      </w:r>
      <w:proofErr w:type="spellEnd"/>
      <w:r w:rsidRPr="00771E6E">
        <w:rPr>
          <w:iCs/>
        </w:rPr>
        <w:t xml:space="preserve"> by the </w:t>
      </w:r>
      <w:r w:rsidRPr="00771E6E">
        <w:rPr>
          <w:i/>
        </w:rPr>
        <w:t>Magnificat</w:t>
      </w:r>
      <w:r w:rsidRPr="00771E6E">
        <w:rPr>
          <w:iCs/>
        </w:rPr>
        <w:t xml:space="preserve"> – the text of which could be found in every book of hours</w:t>
      </w:r>
      <w:r w:rsidRPr="00771E6E">
        <w:t>.</w:t>
      </w:r>
    </w:p>
    <w:p w14:paraId="33791BEF" w14:textId="77777777" w:rsidR="00094F64" w:rsidRPr="00771E6E" w:rsidRDefault="00094F64" w:rsidP="00094F64">
      <w:r w:rsidRPr="00771E6E">
        <w:tab/>
      </w:r>
      <w:r w:rsidRPr="00771E6E">
        <w:rPr>
          <w:i/>
        </w:rPr>
        <w:t>Tondi</w:t>
      </w:r>
      <w:r w:rsidRPr="00771E6E">
        <w:t xml:space="preserve"> that included the </w:t>
      </w:r>
      <w:r w:rsidRPr="00771E6E">
        <w:rPr>
          <w:i/>
        </w:rPr>
        <w:t>Magnificat</w:t>
      </w:r>
      <w:r w:rsidRPr="00771E6E">
        <w:t xml:space="preserve"> chant must have been widely sought after, as at least two additional compositions survive, also produced by Botticelli’s workshop. A book with the </w:t>
      </w:r>
      <w:r w:rsidRPr="00771E6E">
        <w:rPr>
          <w:i/>
        </w:rPr>
        <w:t>Magnificat</w:t>
      </w:r>
      <w:r w:rsidRPr="00771E6E">
        <w:t xml:space="preserve"> is again held by an angel in a </w:t>
      </w:r>
      <w:r w:rsidRPr="00771E6E">
        <w:rPr>
          <w:i/>
        </w:rPr>
        <w:t>tondo</w:t>
      </w:r>
      <w:r w:rsidRPr="00771E6E">
        <w:t xml:space="preserve"> with the Virgin and Child, of which several versions survive (fig. 3.34).</w:t>
      </w:r>
      <w:r w:rsidRPr="00771E6E">
        <w:rPr>
          <w:rStyle w:val="FootnoteReference"/>
        </w:rPr>
        <w:footnoteReference w:id="636"/>
      </w:r>
      <w:r w:rsidRPr="00771E6E">
        <w:t xml:space="preserve"> In this, the Virgin Mary is sitting on a parapet and embraces her son, while an angel and Saint John the Baptist stand behind it. The angel </w:t>
      </w:r>
      <w:r w:rsidRPr="00771E6E">
        <w:lastRenderedPageBreak/>
        <w:t xml:space="preserve">holds the book towards the viewer. Each verse starts with a red capital letter, and can be clearly read, thus, </w:t>
      </w:r>
      <w:r w:rsidRPr="00771E6E">
        <w:rPr>
          <w:color w:val="000000" w:themeColor="text1"/>
        </w:rPr>
        <w:t>turning the viewer into an active participant of the depicted scene.</w:t>
      </w:r>
    </w:p>
    <w:p w14:paraId="48316236" w14:textId="77777777" w:rsidR="00094F64" w:rsidRPr="00771E6E" w:rsidRDefault="00094F64" w:rsidP="00094F64">
      <w:pPr>
        <w:ind w:firstLine="720"/>
      </w:pPr>
      <w:r w:rsidRPr="00771E6E">
        <w:t xml:space="preserve">In addition to this, in the smaller tondo with the </w:t>
      </w:r>
      <w:r w:rsidRPr="00771E6E">
        <w:rPr>
          <w:i/>
        </w:rPr>
        <w:t>Madonna of the Pavilion</w:t>
      </w:r>
      <w:r w:rsidRPr="00771E6E">
        <w:t xml:space="preserve"> (ca. 1490), kept in the Pinacoteca Ambrosiana in Milan, a red capital letter M can be clearly seen on the right page of the open book at the </w:t>
      </w:r>
      <w:proofErr w:type="spellStart"/>
      <w:r w:rsidRPr="00771E6E">
        <w:t>centre</w:t>
      </w:r>
      <w:proofErr w:type="spellEnd"/>
      <w:r w:rsidRPr="00771E6E">
        <w:t xml:space="preserve"> of the composition (fig. 3.35). Although this is the only readable letter, it can be inferred that this is an indication that we are, in fact, in the presence of a </w:t>
      </w:r>
      <w:r w:rsidRPr="00771E6E">
        <w:rPr>
          <w:i/>
        </w:rPr>
        <w:t>Magnificat</w:t>
      </w:r>
      <w:r w:rsidRPr="00771E6E">
        <w:t>.</w:t>
      </w:r>
      <w:r w:rsidRPr="00771E6E">
        <w:rPr>
          <w:rStyle w:val="FootnoteReference"/>
        </w:rPr>
        <w:footnoteReference w:id="637"/>
      </w:r>
      <w:r w:rsidRPr="00771E6E">
        <w:t xml:space="preserve"> Further evidence for this is provided by another </w:t>
      </w:r>
      <w:r w:rsidRPr="00771E6E">
        <w:rPr>
          <w:i/>
        </w:rPr>
        <w:t>tondo</w:t>
      </w:r>
      <w:r w:rsidRPr="00771E6E">
        <w:t>, in which the letter M also appears on a book, but where a different version also exists in which the word “Magnificat” is legible in full.</w:t>
      </w:r>
      <w:r w:rsidRPr="00771E6E">
        <w:rPr>
          <w:rStyle w:val="FootnoteReference"/>
        </w:rPr>
        <w:footnoteReference w:id="638"/>
      </w:r>
      <w:r w:rsidRPr="00771E6E">
        <w:t xml:space="preserve"> This </w:t>
      </w:r>
      <w:r w:rsidRPr="00771E6E">
        <w:rPr>
          <w:i/>
        </w:rPr>
        <w:t>tondo</w:t>
      </w:r>
      <w:r w:rsidRPr="00771E6E">
        <w:t xml:space="preserve"> can possibly be identified as the “very beautiful” (</w:t>
      </w:r>
      <w:r w:rsidRPr="00771E6E">
        <w:rPr>
          <w:i/>
        </w:rPr>
        <w:t>molto bello</w:t>
      </w:r>
      <w:r w:rsidRPr="00771E6E">
        <w:t>) and “small” (</w:t>
      </w:r>
      <w:proofErr w:type="spellStart"/>
      <w:r w:rsidRPr="00771E6E">
        <w:rPr>
          <w:i/>
        </w:rPr>
        <w:t>picciol</w:t>
      </w:r>
      <w:proofErr w:type="spellEnd"/>
      <w:r w:rsidRPr="00771E6E">
        <w:t xml:space="preserve">) tondo, described by Vasari in the Prior’s chamber of the </w:t>
      </w:r>
      <w:proofErr w:type="spellStart"/>
      <w:r w:rsidRPr="00771E6E">
        <w:t>Camaldolese</w:t>
      </w:r>
      <w:proofErr w:type="spellEnd"/>
      <w:r w:rsidRPr="00771E6E">
        <w:t xml:space="preserve"> monastery of Santa Maria </w:t>
      </w:r>
      <w:proofErr w:type="spellStart"/>
      <w:r w:rsidRPr="00771E6E">
        <w:t>degli</w:t>
      </w:r>
      <w:proofErr w:type="spellEnd"/>
      <w:r w:rsidRPr="00771E6E">
        <w:t xml:space="preserve"> </w:t>
      </w:r>
      <w:proofErr w:type="spellStart"/>
      <w:r w:rsidRPr="00771E6E">
        <w:t>Angeli</w:t>
      </w:r>
      <w:proofErr w:type="spellEnd"/>
      <w:r w:rsidRPr="00771E6E">
        <w:t xml:space="preserve"> in Florence.</w:t>
      </w:r>
      <w:r w:rsidRPr="00771E6E">
        <w:rPr>
          <w:rStyle w:val="FootnoteReference"/>
        </w:rPr>
        <w:footnoteReference w:id="639"/>
      </w:r>
      <w:r w:rsidRPr="00771E6E">
        <w:t xml:space="preserve"> </w:t>
      </w:r>
    </w:p>
    <w:p w14:paraId="299188E9" w14:textId="77777777" w:rsidR="00094F64" w:rsidRPr="00771E6E" w:rsidRDefault="00094F64" w:rsidP="00094F64">
      <w:pPr>
        <w:ind w:firstLine="720"/>
        <w:rPr>
          <w:color w:val="000000" w:themeColor="text1"/>
        </w:rPr>
      </w:pPr>
      <w:r w:rsidRPr="00771E6E">
        <w:t xml:space="preserve">Although the </w:t>
      </w:r>
      <w:r w:rsidRPr="00771E6E">
        <w:rPr>
          <w:i/>
        </w:rPr>
        <w:t>Magnificat Tondi</w:t>
      </w:r>
      <w:r w:rsidRPr="00771E6E">
        <w:t xml:space="preserve"> do not include singing angels, the angels do in fact take part in and engage with the Virgin Mary’s musical activity; as such, they may be described as musical angels. In these depictions, the Virgin frequently wears a golden star on her robe, which can also be seen as another musical reference, as discussed previously in the </w:t>
      </w:r>
      <w:proofErr w:type="spellStart"/>
      <w:r w:rsidRPr="00771E6E">
        <w:rPr>
          <w:i/>
        </w:rPr>
        <w:t>Raczynski</w:t>
      </w:r>
      <w:proofErr w:type="spellEnd"/>
      <w:r w:rsidRPr="00771E6E">
        <w:rPr>
          <w:i/>
        </w:rPr>
        <w:t xml:space="preserve"> Tondo</w:t>
      </w:r>
      <w:r w:rsidRPr="00771E6E">
        <w:t xml:space="preserve">. While these </w:t>
      </w:r>
      <w:r w:rsidRPr="00771E6E">
        <w:rPr>
          <w:i/>
        </w:rPr>
        <w:t>tondi</w:t>
      </w:r>
      <w:r w:rsidRPr="00771E6E">
        <w:t xml:space="preserve"> were probably more exemplary for a woman and mother than for young viewers, it is still true that the latter would have been able to </w:t>
      </w:r>
      <w:proofErr w:type="spellStart"/>
      <w:r w:rsidRPr="00771E6E">
        <w:t>recognise</w:t>
      </w:r>
      <w:proofErr w:type="spellEnd"/>
      <w:r w:rsidRPr="00771E6E">
        <w:t xml:space="preserve"> themselves in the angels depicted. </w:t>
      </w:r>
      <w:r w:rsidRPr="00771E6E">
        <w:rPr>
          <w:color w:val="000000" w:themeColor="text1"/>
        </w:rPr>
        <w:t xml:space="preserve">Often wingless, </w:t>
      </w:r>
      <w:proofErr w:type="spellStart"/>
      <w:r w:rsidRPr="00771E6E">
        <w:rPr>
          <w:color w:val="000000" w:themeColor="text1"/>
        </w:rPr>
        <w:t>haloless</w:t>
      </w:r>
      <w:proofErr w:type="spellEnd"/>
      <w:r w:rsidRPr="00771E6E">
        <w:rPr>
          <w:color w:val="000000" w:themeColor="text1"/>
        </w:rPr>
        <w:t xml:space="preserve"> and dressed in contemporary attire, the musical angels in the </w:t>
      </w:r>
      <w:r w:rsidRPr="00771E6E">
        <w:rPr>
          <w:i/>
          <w:color w:val="000000" w:themeColor="text1"/>
        </w:rPr>
        <w:t>tondi</w:t>
      </w:r>
      <w:r w:rsidRPr="00771E6E">
        <w:rPr>
          <w:color w:val="000000" w:themeColor="text1"/>
        </w:rPr>
        <w:t xml:space="preserve"> produced by Botticelli and his workshop can be interpreted as an </w:t>
      </w:r>
      <w:proofErr w:type="spellStart"/>
      <w:r w:rsidRPr="00771E6E">
        <w:rPr>
          <w:color w:val="000000" w:themeColor="text1"/>
        </w:rPr>
        <w:t>idealised</w:t>
      </w:r>
      <w:proofErr w:type="spellEnd"/>
      <w:r w:rsidRPr="00771E6E">
        <w:rPr>
          <w:color w:val="000000" w:themeColor="text1"/>
        </w:rPr>
        <w:t xml:space="preserve"> portrait of Florentine boys belonging to wealthy families.</w:t>
      </w:r>
      <w:r w:rsidRPr="00771E6E">
        <w:rPr>
          <w:rStyle w:val="FootnoteReference"/>
        </w:rPr>
        <w:footnoteReference w:id="640"/>
      </w:r>
      <w:r w:rsidRPr="00771E6E">
        <w:rPr>
          <w:color w:val="000000" w:themeColor="text1"/>
        </w:rPr>
        <w:t xml:space="preserve"> This would have certainly facilitated their identification with these </w:t>
      </w:r>
      <w:proofErr w:type="spellStart"/>
      <w:r w:rsidRPr="00771E6E">
        <w:rPr>
          <w:color w:val="000000" w:themeColor="text1"/>
        </w:rPr>
        <w:t>humanised</w:t>
      </w:r>
      <w:proofErr w:type="spellEnd"/>
      <w:r w:rsidRPr="00771E6E">
        <w:rPr>
          <w:color w:val="000000" w:themeColor="text1"/>
        </w:rPr>
        <w:t xml:space="preserve"> angelic figures.</w:t>
      </w:r>
    </w:p>
    <w:p w14:paraId="4F3E1D92" w14:textId="77777777" w:rsidR="00094F64" w:rsidRPr="00771E6E" w:rsidRDefault="00094F64" w:rsidP="00094F64">
      <w:pPr>
        <w:ind w:firstLine="720"/>
        <w:rPr>
          <w:color w:val="000000" w:themeColor="text1"/>
        </w:rPr>
      </w:pPr>
    </w:p>
    <w:p w14:paraId="1D015C75" w14:textId="7900337D" w:rsidR="00094F64" w:rsidRPr="00771E6E" w:rsidRDefault="00094F64" w:rsidP="00182EED"/>
    <w:p w14:paraId="17C43EB8" w14:textId="273A5004" w:rsidR="00182EED" w:rsidRPr="00771E6E" w:rsidRDefault="00182EED" w:rsidP="00182EED"/>
    <w:p w14:paraId="031C6CE5" w14:textId="77777777" w:rsidR="00182EED" w:rsidRPr="00771E6E" w:rsidRDefault="00182EED" w:rsidP="00182EED"/>
    <w:bookmarkStart w:id="67" w:name="_Toc810134"/>
    <w:bookmarkStart w:id="68" w:name="_Toc4323761"/>
    <w:bookmarkStart w:id="69" w:name="_Toc20167613"/>
    <w:p w14:paraId="5844B5FD" w14:textId="77777777" w:rsidR="00094F64" w:rsidRPr="00771E6E" w:rsidRDefault="00094F64" w:rsidP="00094F64">
      <w:pPr>
        <w:pStyle w:val="Heading3"/>
      </w:pPr>
      <w:r w:rsidRPr="00771E6E">
        <w:rPr>
          <w:noProof/>
          <w:lang w:eastAsia="zh-CN"/>
        </w:rPr>
        <w:lastRenderedPageBreak/>
        <mc:AlternateContent>
          <mc:Choice Requires="aink">
            <w:drawing>
              <wp:anchor distT="0" distB="0" distL="114300" distR="114300" simplePos="0" relativeHeight="251662336" behindDoc="0" locked="0" layoutInCell="1" allowOverlap="1" wp14:anchorId="1BCE3D63" wp14:editId="5215CA1E">
                <wp:simplePos x="0" y="0"/>
                <wp:positionH relativeFrom="column">
                  <wp:posOffset>4089860</wp:posOffset>
                </wp:positionH>
                <wp:positionV relativeFrom="paragraph">
                  <wp:posOffset>181384</wp:posOffset>
                </wp:positionV>
                <wp:extent cx="2520" cy="360"/>
                <wp:effectExtent l="0" t="0" r="0" b="0"/>
                <wp:wrapNone/>
                <wp:docPr id="2"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2520" cy="360"/>
                      </w14:xfrm>
                    </w14:contentPart>
                  </a:graphicData>
                </a:graphic>
              </wp:anchor>
            </w:drawing>
          </mc:Choice>
          <mc:Fallback>
            <w:drawing>
              <wp:anchor distT="0" distB="0" distL="114300" distR="114300" simplePos="0" relativeHeight="251662336" behindDoc="0" locked="0" layoutInCell="1" allowOverlap="1" wp14:anchorId="6C186B42" wp14:editId="7FD7AD12">
                <wp:simplePos x="0" y="0"/>
                <wp:positionH relativeFrom="column">
                  <wp:posOffset>4089860</wp:posOffset>
                </wp:positionH>
                <wp:positionV relativeFrom="paragraph">
                  <wp:posOffset>181384</wp:posOffset>
                </wp:positionV>
                <wp:extent cx="2520" cy="360"/>
                <wp:effectExtent l="0" t="0" r="0" b="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17"/>
                        <a:stretch>
                          <a:fillRect/>
                        </a:stretch>
                      </pic:blipFill>
                      <pic:spPr>
                        <a:xfrm>
                          <a:off x="0" y="0"/>
                          <a:ext cx="11160" cy="54000"/>
                        </a:xfrm>
                        <a:prstGeom prst="rect">
                          <a:avLst/>
                        </a:prstGeom>
                      </pic:spPr>
                    </pic:pic>
                  </a:graphicData>
                </a:graphic>
              </wp:anchor>
            </w:drawing>
          </mc:Fallback>
        </mc:AlternateContent>
      </w:r>
      <w:r w:rsidRPr="00771E6E">
        <w:rPr>
          <w:noProof/>
          <w:lang w:eastAsia="zh-CN"/>
        </w:rPr>
        <mc:AlternateContent>
          <mc:Choice Requires="aink">
            <w:drawing>
              <wp:anchor distT="0" distB="0" distL="114300" distR="114300" simplePos="0" relativeHeight="251661312" behindDoc="0" locked="0" layoutInCell="1" allowOverlap="1" wp14:anchorId="28F7C1DB" wp14:editId="43D4CA0C">
                <wp:simplePos x="0" y="0"/>
                <wp:positionH relativeFrom="column">
                  <wp:posOffset>2780900</wp:posOffset>
                </wp:positionH>
                <wp:positionV relativeFrom="paragraph">
                  <wp:posOffset>-122456</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1017938A" wp14:editId="7383BC51">
                <wp:simplePos x="0" y="0"/>
                <wp:positionH relativeFrom="column">
                  <wp:posOffset>2780900</wp:posOffset>
                </wp:positionH>
                <wp:positionV relativeFrom="paragraph">
                  <wp:posOffset>-122456</wp:posOffset>
                </wp:positionV>
                <wp:extent cx="360" cy="360"/>
                <wp:effectExtent l="0" t="0" r="0" b="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17"/>
                        <a:stretch>
                          <a:fillRect/>
                        </a:stretch>
                      </pic:blipFill>
                      <pic:spPr>
                        <a:xfrm>
                          <a:off x="0" y="0"/>
                          <a:ext cx="9000" cy="54000"/>
                        </a:xfrm>
                        <a:prstGeom prst="rect">
                          <a:avLst/>
                        </a:prstGeom>
                      </pic:spPr>
                    </pic:pic>
                  </a:graphicData>
                </a:graphic>
              </wp:anchor>
            </w:drawing>
          </mc:Fallback>
        </mc:AlternateContent>
      </w:r>
      <w:r w:rsidRPr="00771E6E">
        <w:t>3.2.2 Tondi with Musical Notation</w:t>
      </w:r>
      <w:bookmarkEnd w:id="67"/>
      <w:bookmarkEnd w:id="68"/>
      <w:bookmarkEnd w:id="69"/>
    </w:p>
    <w:p w14:paraId="5F06A1AC" w14:textId="77777777" w:rsidR="00094F64" w:rsidRPr="00771E6E" w:rsidRDefault="00094F64" w:rsidP="00094F64">
      <w:pPr>
        <w:ind w:left="709" w:firstLine="720"/>
        <w:jc w:val="both"/>
        <w:rPr>
          <w:b/>
          <w:i/>
          <w:color w:val="000000" w:themeColor="text1"/>
        </w:rPr>
      </w:pPr>
    </w:p>
    <w:p w14:paraId="1C751981" w14:textId="77777777" w:rsidR="00094F64" w:rsidRPr="00771E6E" w:rsidRDefault="00094F64" w:rsidP="00094F64">
      <w:pPr>
        <w:ind w:firstLine="720"/>
        <w:rPr>
          <w:color w:val="000000" w:themeColor="text1"/>
        </w:rPr>
      </w:pPr>
      <w:r w:rsidRPr="00771E6E">
        <w:rPr>
          <w:color w:val="000000" w:themeColor="text1"/>
        </w:rPr>
        <w:t xml:space="preserve">By showing angels singing from choir books and beating musical time, or by inscribing the words of hymns, as in the case of the </w:t>
      </w:r>
      <w:r w:rsidRPr="00771E6E">
        <w:rPr>
          <w:i/>
          <w:color w:val="000000" w:themeColor="text1"/>
        </w:rPr>
        <w:t>Magnificat</w:t>
      </w:r>
      <w:r w:rsidRPr="00771E6E">
        <w:rPr>
          <w:color w:val="000000" w:themeColor="text1"/>
        </w:rPr>
        <w:t xml:space="preserve">, </w:t>
      </w:r>
      <w:r w:rsidRPr="00771E6E">
        <w:rPr>
          <w:i/>
          <w:color w:val="000000" w:themeColor="text1"/>
        </w:rPr>
        <w:t>tondi</w:t>
      </w:r>
      <w:r w:rsidRPr="00771E6E">
        <w:rPr>
          <w:color w:val="000000" w:themeColor="text1"/>
        </w:rPr>
        <w:t xml:space="preserve"> were thus being employed to communicate a message to fifteenth-century Florentine viewers, in particular advocating musical activity as a component of devotional practice. In this context, an excellent visual signifier of music is, of course, musical notation. Musical notes, either functionally accurate or approximated, appear written on scrolls or music books in a number of </w:t>
      </w:r>
      <w:r w:rsidRPr="00771E6E">
        <w:rPr>
          <w:i/>
          <w:color w:val="000000" w:themeColor="text1"/>
        </w:rPr>
        <w:t>tondi</w:t>
      </w:r>
      <w:r w:rsidRPr="00771E6E">
        <w:rPr>
          <w:color w:val="000000" w:themeColor="text1"/>
        </w:rPr>
        <w:t xml:space="preserve">. This section will </w:t>
      </w:r>
      <w:proofErr w:type="spellStart"/>
      <w:r w:rsidRPr="00771E6E">
        <w:rPr>
          <w:color w:val="000000" w:themeColor="text1"/>
        </w:rPr>
        <w:t>analyse</w:t>
      </w:r>
      <w:proofErr w:type="spellEnd"/>
      <w:r w:rsidRPr="00771E6E">
        <w:rPr>
          <w:color w:val="000000" w:themeColor="text1"/>
        </w:rPr>
        <w:t xml:space="preserve"> these, as well as investigate how they may have been intended to communicate with their audiences.</w:t>
      </w:r>
    </w:p>
    <w:p w14:paraId="5360316B" w14:textId="77777777" w:rsidR="00094F64" w:rsidRPr="00771E6E" w:rsidRDefault="00094F64" w:rsidP="00094F64">
      <w:pPr>
        <w:ind w:firstLine="720"/>
        <w:rPr>
          <w:color w:val="000000" w:themeColor="text1"/>
        </w:rPr>
      </w:pPr>
      <w:r w:rsidRPr="00771E6E">
        <w:rPr>
          <w:color w:val="000000" w:themeColor="text1"/>
        </w:rPr>
        <w:t xml:space="preserve"> The angels in Filippino Lippi’s </w:t>
      </w:r>
      <w:r w:rsidRPr="00771E6E">
        <w:rPr>
          <w:i/>
          <w:color w:val="000000" w:themeColor="text1"/>
        </w:rPr>
        <w:t>Tondo Corsini</w:t>
      </w:r>
      <w:r w:rsidRPr="00771E6E">
        <w:rPr>
          <w:color w:val="000000" w:themeColor="text1"/>
        </w:rPr>
        <w:t xml:space="preserve"> (ca. 1482-1483) kept at the </w:t>
      </w:r>
      <w:proofErr w:type="spellStart"/>
      <w:r w:rsidRPr="00771E6E">
        <w:rPr>
          <w:color w:val="000000" w:themeColor="text1"/>
        </w:rPr>
        <w:t>Cassa</w:t>
      </w:r>
      <w:proofErr w:type="spellEnd"/>
      <w:r w:rsidRPr="00771E6E">
        <w:rPr>
          <w:color w:val="000000" w:themeColor="text1"/>
        </w:rPr>
        <w:t xml:space="preserve"> di </w:t>
      </w:r>
      <w:proofErr w:type="spellStart"/>
      <w:r w:rsidRPr="00771E6E">
        <w:rPr>
          <w:color w:val="000000" w:themeColor="text1"/>
        </w:rPr>
        <w:t>Risparmio</w:t>
      </w:r>
      <w:proofErr w:type="spellEnd"/>
      <w:r w:rsidRPr="00771E6E">
        <w:rPr>
          <w:color w:val="000000" w:themeColor="text1"/>
        </w:rPr>
        <w:t xml:space="preserve"> in Florence are depicted in the act of singing from a notated scroll (fig. 3.36). This is the biggest known</w:t>
      </w:r>
      <w:r w:rsidRPr="00771E6E">
        <w:rPr>
          <w:i/>
          <w:color w:val="000000" w:themeColor="text1"/>
        </w:rPr>
        <w:t xml:space="preserve"> tondo</w:t>
      </w:r>
      <w:r w:rsidRPr="00771E6E">
        <w:rPr>
          <w:color w:val="000000" w:themeColor="text1"/>
        </w:rPr>
        <w:t xml:space="preserve">, measuring 173 cm in diameter, and, as such, it might have been one of the “large” </w:t>
      </w:r>
      <w:r w:rsidRPr="00771E6E">
        <w:rPr>
          <w:i/>
          <w:color w:val="000000" w:themeColor="text1"/>
        </w:rPr>
        <w:t>tondi</w:t>
      </w:r>
      <w:r w:rsidRPr="00771E6E">
        <w:rPr>
          <w:color w:val="000000" w:themeColor="text1"/>
        </w:rPr>
        <w:t xml:space="preserve"> mentioned in the inventories of the Villa Medici in Careggi, acquired by the Corsini family in the seventeenth century.</w:t>
      </w:r>
      <w:r w:rsidRPr="00771E6E">
        <w:rPr>
          <w:rStyle w:val="FootnoteReference"/>
        </w:rPr>
        <w:footnoteReference w:id="641"/>
      </w:r>
      <w:r w:rsidRPr="00771E6E">
        <w:rPr>
          <w:color w:val="000000" w:themeColor="text1"/>
        </w:rPr>
        <w:t xml:space="preserve"> Jonathan K. Nelson believes it possible that a large </w:t>
      </w:r>
      <w:r w:rsidRPr="00771E6E">
        <w:rPr>
          <w:i/>
          <w:color w:val="000000" w:themeColor="text1"/>
        </w:rPr>
        <w:t>tondo</w:t>
      </w:r>
      <w:r w:rsidRPr="00771E6E">
        <w:rPr>
          <w:color w:val="000000" w:themeColor="text1"/>
        </w:rPr>
        <w:t xml:space="preserve"> of excellent quality such as this would have been produced under the patronage of the Medici.</w:t>
      </w:r>
      <w:r w:rsidRPr="00771E6E">
        <w:rPr>
          <w:rStyle w:val="FootnoteReference"/>
        </w:rPr>
        <w:footnoteReference w:id="642"/>
      </w:r>
      <w:r w:rsidRPr="00771E6E">
        <w:rPr>
          <w:color w:val="000000" w:themeColor="text1"/>
        </w:rPr>
        <w:t xml:space="preserve"> A domestic provenance certainly seems likely, although Nelson does also suggest the possibility that it could have been made for the seat of one of the Florentine guilds.</w:t>
      </w:r>
      <w:r w:rsidRPr="00771E6E">
        <w:rPr>
          <w:rStyle w:val="FootnoteReference"/>
        </w:rPr>
        <w:footnoteReference w:id="643"/>
      </w:r>
    </w:p>
    <w:p w14:paraId="2C54C19F" w14:textId="77777777" w:rsidR="00094F64" w:rsidRPr="00771E6E" w:rsidRDefault="00094F64" w:rsidP="00094F64">
      <w:pPr>
        <w:ind w:firstLine="720"/>
        <w:rPr>
          <w:color w:val="000000" w:themeColor="text1"/>
        </w:rPr>
      </w:pPr>
      <w:r w:rsidRPr="00771E6E">
        <w:rPr>
          <w:color w:val="000000" w:themeColor="text1"/>
        </w:rPr>
        <w:t xml:space="preserve">In this </w:t>
      </w:r>
      <w:r w:rsidRPr="00771E6E">
        <w:rPr>
          <w:i/>
          <w:color w:val="000000" w:themeColor="text1"/>
        </w:rPr>
        <w:t>tondo</w:t>
      </w:r>
      <w:r w:rsidRPr="00771E6E">
        <w:rPr>
          <w:color w:val="000000" w:themeColor="text1"/>
        </w:rPr>
        <w:t xml:space="preserve">, the Virgin is portrayed full-length in a well-defined architectural space, while the infant Christ slips from her arms to play with the pink rose petals carried by one of the angels on the left. The main figures stand in front of a decorated niche, while a small figure of Saint John the Baptist appears in a portico in the background, in front of a </w:t>
      </w:r>
      <w:proofErr w:type="spellStart"/>
      <w:r w:rsidRPr="00771E6E">
        <w:rPr>
          <w:color w:val="000000" w:themeColor="text1"/>
        </w:rPr>
        <w:t>Leonardesque</w:t>
      </w:r>
      <w:proofErr w:type="spellEnd"/>
      <w:r w:rsidRPr="00771E6E">
        <w:rPr>
          <w:color w:val="000000" w:themeColor="text1"/>
        </w:rPr>
        <w:t xml:space="preserve"> seascape.</w:t>
      </w:r>
      <w:r w:rsidRPr="00771E6E">
        <w:rPr>
          <w:rStyle w:val="FootnoteReference"/>
        </w:rPr>
        <w:footnoteReference w:id="644"/>
      </w:r>
      <w:r w:rsidRPr="00771E6E">
        <w:rPr>
          <w:b/>
          <w:color w:val="000000" w:themeColor="text1"/>
        </w:rPr>
        <w:t xml:space="preserve"> </w:t>
      </w:r>
      <w:r w:rsidRPr="00771E6E">
        <w:rPr>
          <w:color w:val="000000" w:themeColor="text1"/>
        </w:rPr>
        <w:t xml:space="preserve">Because of the importance given to the roses in the painting, and since rosary beads can be seen hanging from the two </w:t>
      </w:r>
      <w:r w:rsidRPr="00771E6E">
        <w:rPr>
          <w:i/>
          <w:color w:val="000000" w:themeColor="text1"/>
        </w:rPr>
        <w:t>candelabra</w:t>
      </w:r>
      <w:r w:rsidRPr="00771E6E">
        <w:rPr>
          <w:color w:val="000000" w:themeColor="text1"/>
        </w:rPr>
        <w:t xml:space="preserve"> carved on the pilasters of the architecture, Roberta Olson has highlighted the fact that this </w:t>
      </w:r>
      <w:r w:rsidRPr="00771E6E">
        <w:rPr>
          <w:i/>
          <w:color w:val="000000" w:themeColor="text1"/>
        </w:rPr>
        <w:t>tondo</w:t>
      </w:r>
      <w:r w:rsidRPr="00771E6E">
        <w:rPr>
          <w:color w:val="000000" w:themeColor="text1"/>
        </w:rPr>
        <w:t xml:space="preserve"> could be related to the devotional practice of rosary recitation.</w:t>
      </w:r>
      <w:r w:rsidRPr="00771E6E">
        <w:rPr>
          <w:rStyle w:val="FootnoteReference"/>
        </w:rPr>
        <w:footnoteReference w:id="645"/>
      </w:r>
      <w:r w:rsidRPr="00771E6E">
        <w:rPr>
          <w:color w:val="000000" w:themeColor="text1"/>
        </w:rPr>
        <w:t xml:space="preserve"> To support her argument, Olson reports that the confraternity of the rosary was already active at San Marco in Florence by </w:t>
      </w:r>
      <w:r w:rsidRPr="00771E6E">
        <w:rPr>
          <w:color w:val="000000" w:themeColor="text1"/>
        </w:rPr>
        <w:lastRenderedPageBreak/>
        <w:t xml:space="preserve">1481-1483, at exactly the same time as when this </w:t>
      </w:r>
      <w:r w:rsidRPr="00771E6E">
        <w:rPr>
          <w:i/>
          <w:color w:val="000000" w:themeColor="text1"/>
        </w:rPr>
        <w:t>tondo</w:t>
      </w:r>
      <w:r w:rsidRPr="00771E6E">
        <w:rPr>
          <w:color w:val="000000" w:themeColor="text1"/>
        </w:rPr>
        <w:t xml:space="preserve"> was painted.</w:t>
      </w:r>
      <w:r w:rsidRPr="00771E6E">
        <w:rPr>
          <w:rStyle w:val="FootnoteReference"/>
        </w:rPr>
        <w:footnoteReference w:id="646"/>
      </w:r>
      <w:r w:rsidRPr="00771E6E">
        <w:rPr>
          <w:color w:val="000000" w:themeColor="text1"/>
        </w:rPr>
        <w:t xml:space="preserve"> However, the roses could also simply refer to the Virgin Mary, and as such provide a further musical element as discussed previously with reference to Botticelli’s </w:t>
      </w:r>
      <w:r w:rsidRPr="00771E6E">
        <w:rPr>
          <w:i/>
          <w:color w:val="000000" w:themeColor="text1"/>
        </w:rPr>
        <w:t>Madonna of the Pomegranate</w:t>
      </w:r>
      <w:r w:rsidRPr="00771E6E">
        <w:rPr>
          <w:color w:val="000000" w:themeColor="text1"/>
        </w:rPr>
        <w:t>.</w:t>
      </w:r>
      <w:r w:rsidRPr="00771E6E">
        <w:rPr>
          <w:rStyle w:val="FootnoteReference"/>
        </w:rPr>
        <w:footnoteReference w:id="647"/>
      </w:r>
      <w:r w:rsidRPr="00771E6E">
        <w:rPr>
          <w:color w:val="000000" w:themeColor="text1"/>
        </w:rPr>
        <w:t xml:space="preserve"> In addition, the seascape in the background can also be interpreted as a reference to the Virgin Mary as a “Star of the Sea”. This hypothesis is supported by the golden star on the Virgin’s dress, which once more, contributes to the musical resonances of the painting, in much the same way as in Botticelli’s </w:t>
      </w:r>
      <w:proofErr w:type="spellStart"/>
      <w:r w:rsidRPr="00771E6E">
        <w:rPr>
          <w:i/>
          <w:color w:val="000000" w:themeColor="text1"/>
        </w:rPr>
        <w:t>Raczynski</w:t>
      </w:r>
      <w:proofErr w:type="spellEnd"/>
      <w:r w:rsidRPr="00771E6E">
        <w:rPr>
          <w:i/>
          <w:color w:val="000000" w:themeColor="text1"/>
        </w:rPr>
        <w:t xml:space="preserve"> Tondo</w:t>
      </w:r>
      <w:r w:rsidRPr="00771E6E">
        <w:rPr>
          <w:color w:val="000000" w:themeColor="text1"/>
        </w:rPr>
        <w:t>.</w:t>
      </w:r>
      <w:r w:rsidRPr="00771E6E">
        <w:rPr>
          <w:rStyle w:val="FootnoteReference"/>
        </w:rPr>
        <w:footnoteReference w:id="648"/>
      </w:r>
      <w:r w:rsidRPr="00771E6E">
        <w:rPr>
          <w:color w:val="000000" w:themeColor="text1"/>
        </w:rPr>
        <w:t xml:space="preserve"> </w:t>
      </w:r>
    </w:p>
    <w:p w14:paraId="4A94ABE1" w14:textId="77777777" w:rsidR="00094F64" w:rsidRPr="00771E6E" w:rsidRDefault="00094F64" w:rsidP="00094F64">
      <w:pPr>
        <w:ind w:firstLine="720"/>
        <w:rPr>
          <w:color w:val="000000" w:themeColor="text1"/>
        </w:rPr>
      </w:pPr>
      <w:r w:rsidRPr="00771E6E">
        <w:rPr>
          <w:color w:val="000000" w:themeColor="text1"/>
        </w:rPr>
        <w:t xml:space="preserve">The three musical angels depicted on the right side are singing from a scroll, upon which music notation can be seen. The music, which does not show any written words, is a functional composition for three voices, in a style typical of simple contemporary secular and sacred polyphony, such as the </w:t>
      </w:r>
      <w:r w:rsidRPr="00771E6E">
        <w:rPr>
          <w:i/>
          <w:color w:val="000000" w:themeColor="text1"/>
        </w:rPr>
        <w:t>lauda</w:t>
      </w:r>
      <w:r w:rsidRPr="00771E6E">
        <w:rPr>
          <w:color w:val="000000" w:themeColor="text1"/>
        </w:rPr>
        <w:t>. Timothy McGee, who has transcribed it in detail, suggests that this may be the earliest painting to show a piece of secular polyphonic music.</w:t>
      </w:r>
      <w:r w:rsidRPr="00771E6E">
        <w:rPr>
          <w:rStyle w:val="FootnoteReference"/>
        </w:rPr>
        <w:footnoteReference w:id="649"/>
      </w:r>
      <w:r w:rsidRPr="00771E6E">
        <w:rPr>
          <w:color w:val="000000" w:themeColor="text1"/>
        </w:rPr>
        <w:t xml:space="preserve"> The music that appears on the scroll has not been matched with any surviving contemporary composition. Nonetheless, Bonnie Blackburn has noted a resemblance to a secular song which was very popular in Florence at this time, </w:t>
      </w:r>
      <w:r w:rsidRPr="00771E6E">
        <w:rPr>
          <w:i/>
          <w:color w:val="000000" w:themeColor="text1"/>
        </w:rPr>
        <w:t xml:space="preserve">Fortuna </w:t>
      </w:r>
      <w:proofErr w:type="spellStart"/>
      <w:r w:rsidRPr="00771E6E">
        <w:rPr>
          <w:i/>
          <w:color w:val="000000" w:themeColor="text1"/>
        </w:rPr>
        <w:t>desperata</w:t>
      </w:r>
      <w:proofErr w:type="spellEnd"/>
      <w:r w:rsidRPr="00771E6E">
        <w:rPr>
          <w:color w:val="000000" w:themeColor="text1"/>
        </w:rPr>
        <w:t xml:space="preserve"> (Hopeless Fortune), composed around 1476-78 by the Florentine Ser Felice di Giovanni.</w:t>
      </w:r>
      <w:r w:rsidRPr="00771E6E">
        <w:rPr>
          <w:rStyle w:val="FootnoteReference"/>
        </w:rPr>
        <w:footnoteReference w:id="650"/>
      </w:r>
    </w:p>
    <w:p w14:paraId="4492BCA4" w14:textId="77777777" w:rsidR="00094F64" w:rsidRPr="00771E6E" w:rsidRDefault="00094F64" w:rsidP="00094F64">
      <w:pPr>
        <w:ind w:firstLine="720"/>
        <w:rPr>
          <w:color w:val="000000" w:themeColor="text1"/>
        </w:rPr>
      </w:pPr>
      <w:r w:rsidRPr="00771E6E">
        <w:rPr>
          <w:color w:val="000000" w:themeColor="text1"/>
        </w:rPr>
        <w:t xml:space="preserve">At first, the choice of a piece of music entitled </w:t>
      </w:r>
      <w:r w:rsidRPr="00771E6E">
        <w:rPr>
          <w:i/>
          <w:color w:val="000000" w:themeColor="text1"/>
        </w:rPr>
        <w:t>Hopeless Fortune</w:t>
      </w:r>
      <w:r w:rsidRPr="00771E6E">
        <w:rPr>
          <w:color w:val="000000" w:themeColor="text1"/>
        </w:rPr>
        <w:t xml:space="preserve"> might seem inappropriate for a religious painting. However, during the Renaissance it was common practice to base devotional hymns and </w:t>
      </w:r>
      <w:r w:rsidRPr="00771E6E">
        <w:rPr>
          <w:i/>
          <w:color w:val="000000" w:themeColor="text1"/>
        </w:rPr>
        <w:t>laude</w:t>
      </w:r>
      <w:r w:rsidRPr="00771E6E">
        <w:rPr>
          <w:color w:val="000000" w:themeColor="text1"/>
        </w:rPr>
        <w:t xml:space="preserve"> on secular melodies by fitting new words to an existing tune. Therefore, it seems highly likely that the song depicted here might well be a sacred version of this composition, possibly dedicated to the Virgin, as suggested by Nelson.</w:t>
      </w:r>
      <w:r w:rsidRPr="00771E6E">
        <w:rPr>
          <w:rStyle w:val="FootnoteReference"/>
        </w:rPr>
        <w:footnoteReference w:id="651"/>
      </w:r>
      <w:r w:rsidRPr="00771E6E">
        <w:rPr>
          <w:color w:val="000000" w:themeColor="text1"/>
        </w:rPr>
        <w:t xml:space="preserve"> The </w:t>
      </w:r>
      <w:proofErr w:type="spellStart"/>
      <w:r w:rsidRPr="00771E6E">
        <w:rPr>
          <w:i/>
          <w:color w:val="000000" w:themeColor="text1"/>
        </w:rPr>
        <w:t>cantasi</w:t>
      </w:r>
      <w:proofErr w:type="spellEnd"/>
      <w:r w:rsidRPr="00771E6E">
        <w:rPr>
          <w:i/>
          <w:color w:val="000000" w:themeColor="text1"/>
        </w:rPr>
        <w:t xml:space="preserve"> come</w:t>
      </w:r>
      <w:r w:rsidRPr="00771E6E">
        <w:rPr>
          <w:color w:val="000000" w:themeColor="text1"/>
        </w:rPr>
        <w:t xml:space="preserve"> tradition, which takes its name from the rubric written next to the titles of </w:t>
      </w:r>
      <w:r w:rsidRPr="00771E6E">
        <w:rPr>
          <w:i/>
          <w:color w:val="000000" w:themeColor="text1"/>
        </w:rPr>
        <w:t>laude</w:t>
      </w:r>
      <w:r w:rsidRPr="00771E6E">
        <w:rPr>
          <w:color w:val="000000" w:themeColor="text1"/>
        </w:rPr>
        <w:t xml:space="preserve"> in surviving documents paired with the incipit of the </w:t>
      </w:r>
      <w:r w:rsidRPr="00771E6E">
        <w:rPr>
          <w:iCs/>
          <w:color w:val="000000" w:themeColor="text1"/>
        </w:rPr>
        <w:t>song</w:t>
      </w:r>
      <w:r w:rsidRPr="00771E6E">
        <w:rPr>
          <w:color w:val="000000" w:themeColor="text1"/>
        </w:rPr>
        <w:t xml:space="preserve"> whose tune was to be used (</w:t>
      </w:r>
      <w:proofErr w:type="spellStart"/>
      <w:r w:rsidRPr="00771E6E">
        <w:rPr>
          <w:i/>
          <w:color w:val="000000" w:themeColor="text1"/>
        </w:rPr>
        <w:t>cantasi</w:t>
      </w:r>
      <w:proofErr w:type="spellEnd"/>
      <w:r w:rsidRPr="00771E6E">
        <w:rPr>
          <w:i/>
          <w:color w:val="000000" w:themeColor="text1"/>
        </w:rPr>
        <w:t xml:space="preserve"> come</w:t>
      </w:r>
      <w:r w:rsidRPr="00771E6E">
        <w:rPr>
          <w:color w:val="000000" w:themeColor="text1"/>
        </w:rPr>
        <w:t xml:space="preserve"> meaning “to be sung as”), was especially widespread in Florence from the late fourteenth to the first half of the sixteenth century.</w:t>
      </w:r>
      <w:r w:rsidRPr="00771E6E">
        <w:rPr>
          <w:rStyle w:val="FootnoteReference"/>
        </w:rPr>
        <w:footnoteReference w:id="652"/>
      </w:r>
      <w:r w:rsidRPr="00771E6E">
        <w:rPr>
          <w:color w:val="000000" w:themeColor="text1"/>
        </w:rPr>
        <w:t xml:space="preserve"> For example, in one of Lorenzo </w:t>
      </w:r>
      <w:proofErr w:type="spellStart"/>
      <w:r w:rsidRPr="00771E6E">
        <w:rPr>
          <w:color w:val="000000" w:themeColor="text1"/>
        </w:rPr>
        <w:t>il</w:t>
      </w:r>
      <w:proofErr w:type="spellEnd"/>
      <w:r w:rsidRPr="00771E6E">
        <w:rPr>
          <w:color w:val="000000" w:themeColor="text1"/>
        </w:rPr>
        <w:t xml:space="preserve"> Magnifico’s </w:t>
      </w:r>
      <w:r w:rsidRPr="00771E6E">
        <w:rPr>
          <w:i/>
          <w:color w:val="000000" w:themeColor="text1"/>
        </w:rPr>
        <w:t>laude</w:t>
      </w:r>
      <w:r w:rsidRPr="00771E6E">
        <w:rPr>
          <w:color w:val="000000" w:themeColor="text1"/>
        </w:rPr>
        <w:t>, which reads “</w:t>
      </w:r>
      <w:proofErr w:type="spellStart"/>
      <w:r w:rsidRPr="00771E6E">
        <w:rPr>
          <w:color w:val="000000" w:themeColor="text1"/>
        </w:rPr>
        <w:t>Quanto</w:t>
      </w:r>
      <w:proofErr w:type="spellEnd"/>
      <w:r w:rsidRPr="00771E6E">
        <w:rPr>
          <w:color w:val="000000" w:themeColor="text1"/>
        </w:rPr>
        <w:t xml:space="preserve"> è </w:t>
      </w:r>
      <w:proofErr w:type="spellStart"/>
      <w:r w:rsidRPr="00771E6E">
        <w:rPr>
          <w:color w:val="000000" w:themeColor="text1"/>
        </w:rPr>
        <w:t>grande</w:t>
      </w:r>
      <w:proofErr w:type="spellEnd"/>
      <w:r w:rsidRPr="00771E6E">
        <w:rPr>
          <w:color w:val="000000" w:themeColor="text1"/>
        </w:rPr>
        <w:t xml:space="preserve"> la </w:t>
      </w:r>
      <w:proofErr w:type="spellStart"/>
      <w:r w:rsidRPr="00771E6E">
        <w:rPr>
          <w:color w:val="000000" w:themeColor="text1"/>
        </w:rPr>
        <w:t>bellezza</w:t>
      </w:r>
      <w:proofErr w:type="spellEnd"/>
      <w:r w:rsidRPr="00771E6E">
        <w:rPr>
          <w:color w:val="000000" w:themeColor="text1"/>
        </w:rPr>
        <w:t xml:space="preserve">/ di </w:t>
      </w:r>
      <w:proofErr w:type="spellStart"/>
      <w:r w:rsidRPr="00771E6E">
        <w:rPr>
          <w:color w:val="000000" w:themeColor="text1"/>
        </w:rPr>
        <w:t>te</w:t>
      </w:r>
      <w:proofErr w:type="spellEnd"/>
      <w:r w:rsidRPr="00771E6E">
        <w:rPr>
          <w:color w:val="000000" w:themeColor="text1"/>
        </w:rPr>
        <w:t xml:space="preserve">, </w:t>
      </w:r>
      <w:proofErr w:type="spellStart"/>
      <w:r w:rsidRPr="00771E6E">
        <w:rPr>
          <w:color w:val="000000" w:themeColor="text1"/>
        </w:rPr>
        <w:lastRenderedPageBreak/>
        <w:t>Vergin</w:t>
      </w:r>
      <w:proofErr w:type="spellEnd"/>
      <w:r w:rsidRPr="00771E6E">
        <w:rPr>
          <w:color w:val="000000" w:themeColor="text1"/>
        </w:rPr>
        <w:t xml:space="preserve"> </w:t>
      </w:r>
      <w:proofErr w:type="spellStart"/>
      <w:r w:rsidRPr="00771E6E">
        <w:rPr>
          <w:color w:val="000000" w:themeColor="text1"/>
        </w:rPr>
        <w:t>santa</w:t>
      </w:r>
      <w:proofErr w:type="spellEnd"/>
      <w:r w:rsidRPr="00771E6E">
        <w:rPr>
          <w:color w:val="000000" w:themeColor="text1"/>
        </w:rPr>
        <w:t xml:space="preserve"> e pia!/ </w:t>
      </w:r>
      <w:proofErr w:type="spellStart"/>
      <w:r w:rsidRPr="00771E6E">
        <w:rPr>
          <w:color w:val="000000" w:themeColor="text1"/>
        </w:rPr>
        <w:t>Ciascun</w:t>
      </w:r>
      <w:proofErr w:type="spellEnd"/>
      <w:r w:rsidRPr="00771E6E">
        <w:rPr>
          <w:color w:val="000000" w:themeColor="text1"/>
        </w:rPr>
        <w:t xml:space="preserve"> </w:t>
      </w:r>
      <w:proofErr w:type="spellStart"/>
      <w:r w:rsidRPr="00771E6E">
        <w:rPr>
          <w:color w:val="000000" w:themeColor="text1"/>
        </w:rPr>
        <w:t>laudi</w:t>
      </w:r>
      <w:proofErr w:type="spellEnd"/>
      <w:r w:rsidRPr="00771E6E">
        <w:rPr>
          <w:color w:val="000000" w:themeColor="text1"/>
        </w:rPr>
        <w:t xml:space="preserve"> </w:t>
      </w:r>
      <w:proofErr w:type="spellStart"/>
      <w:r w:rsidRPr="00771E6E">
        <w:rPr>
          <w:color w:val="000000" w:themeColor="text1"/>
        </w:rPr>
        <w:t>te</w:t>
      </w:r>
      <w:proofErr w:type="spellEnd"/>
      <w:r w:rsidRPr="00771E6E">
        <w:rPr>
          <w:color w:val="000000" w:themeColor="text1"/>
        </w:rPr>
        <w:t xml:space="preserve">, Maria,/ </w:t>
      </w:r>
      <w:proofErr w:type="spellStart"/>
      <w:r w:rsidRPr="00771E6E">
        <w:rPr>
          <w:color w:val="000000" w:themeColor="text1"/>
        </w:rPr>
        <w:t>ciascun</w:t>
      </w:r>
      <w:proofErr w:type="spellEnd"/>
      <w:r w:rsidRPr="00771E6E">
        <w:rPr>
          <w:color w:val="000000" w:themeColor="text1"/>
        </w:rPr>
        <w:t xml:space="preserve"> </w:t>
      </w:r>
      <w:proofErr w:type="spellStart"/>
      <w:r w:rsidRPr="00771E6E">
        <w:rPr>
          <w:color w:val="000000" w:themeColor="text1"/>
        </w:rPr>
        <w:t>canti</w:t>
      </w:r>
      <w:proofErr w:type="spellEnd"/>
      <w:r w:rsidRPr="00771E6E">
        <w:rPr>
          <w:color w:val="000000" w:themeColor="text1"/>
        </w:rPr>
        <w:t xml:space="preserve"> in gran </w:t>
      </w:r>
      <w:proofErr w:type="spellStart"/>
      <w:r w:rsidRPr="00771E6E">
        <w:rPr>
          <w:color w:val="000000" w:themeColor="text1"/>
        </w:rPr>
        <w:t>dolcezza</w:t>
      </w:r>
      <w:proofErr w:type="spellEnd"/>
      <w:r w:rsidRPr="00771E6E">
        <w:rPr>
          <w:color w:val="000000" w:themeColor="text1"/>
        </w:rPr>
        <w:t xml:space="preserve">” (How great is the beauty of you, holy and pious Virgin! Everyone should praise you, Mary; everyone should sing with great sweetness), the rhythm and tune to which it was to be sung is the same as his carnival song </w:t>
      </w:r>
      <w:r w:rsidRPr="00771E6E">
        <w:rPr>
          <w:i/>
          <w:color w:val="000000" w:themeColor="text1"/>
        </w:rPr>
        <w:t>Triumph of Bacchus and Ariadne</w:t>
      </w:r>
      <w:r w:rsidRPr="00771E6E">
        <w:rPr>
          <w:color w:val="000000" w:themeColor="text1"/>
        </w:rPr>
        <w:t>, which reads “</w:t>
      </w:r>
      <w:proofErr w:type="spellStart"/>
      <w:r w:rsidRPr="00771E6E">
        <w:rPr>
          <w:color w:val="000000" w:themeColor="text1"/>
        </w:rPr>
        <w:t>Quant’è</w:t>
      </w:r>
      <w:proofErr w:type="spellEnd"/>
      <w:r w:rsidRPr="00771E6E">
        <w:rPr>
          <w:color w:val="000000" w:themeColor="text1"/>
        </w:rPr>
        <w:t xml:space="preserve"> </w:t>
      </w:r>
      <w:proofErr w:type="spellStart"/>
      <w:r w:rsidRPr="00771E6E">
        <w:rPr>
          <w:color w:val="000000" w:themeColor="text1"/>
        </w:rPr>
        <w:t>bella</w:t>
      </w:r>
      <w:proofErr w:type="spellEnd"/>
      <w:r w:rsidRPr="00771E6E">
        <w:rPr>
          <w:color w:val="000000" w:themeColor="text1"/>
        </w:rPr>
        <w:t xml:space="preserve"> </w:t>
      </w:r>
      <w:proofErr w:type="spellStart"/>
      <w:r w:rsidRPr="00771E6E">
        <w:rPr>
          <w:color w:val="000000" w:themeColor="text1"/>
        </w:rPr>
        <w:t>giovinezza</w:t>
      </w:r>
      <w:proofErr w:type="spellEnd"/>
      <w:r w:rsidRPr="00771E6E">
        <w:rPr>
          <w:color w:val="000000" w:themeColor="text1"/>
        </w:rPr>
        <w:t xml:space="preserve">,/ </w:t>
      </w:r>
      <w:proofErr w:type="spellStart"/>
      <w:r w:rsidRPr="00771E6E">
        <w:rPr>
          <w:color w:val="000000" w:themeColor="text1"/>
        </w:rPr>
        <w:t>che</w:t>
      </w:r>
      <w:proofErr w:type="spellEnd"/>
      <w:r w:rsidRPr="00771E6E">
        <w:rPr>
          <w:color w:val="000000" w:themeColor="text1"/>
        </w:rPr>
        <w:t xml:space="preserve"> </w:t>
      </w:r>
      <w:proofErr w:type="spellStart"/>
      <w:r w:rsidRPr="00771E6E">
        <w:rPr>
          <w:color w:val="000000" w:themeColor="text1"/>
        </w:rPr>
        <w:t>si</w:t>
      </w:r>
      <w:proofErr w:type="spellEnd"/>
      <w:r w:rsidRPr="00771E6E">
        <w:rPr>
          <w:color w:val="000000" w:themeColor="text1"/>
        </w:rPr>
        <w:t xml:space="preserve"> </w:t>
      </w:r>
      <w:proofErr w:type="spellStart"/>
      <w:r w:rsidRPr="00771E6E">
        <w:rPr>
          <w:color w:val="000000" w:themeColor="text1"/>
        </w:rPr>
        <w:t>fugge</w:t>
      </w:r>
      <w:proofErr w:type="spellEnd"/>
      <w:r w:rsidRPr="00771E6E">
        <w:rPr>
          <w:color w:val="000000" w:themeColor="text1"/>
        </w:rPr>
        <w:t xml:space="preserve"> </w:t>
      </w:r>
      <w:proofErr w:type="spellStart"/>
      <w:r w:rsidRPr="00771E6E">
        <w:rPr>
          <w:color w:val="000000" w:themeColor="text1"/>
        </w:rPr>
        <w:t>tuttavia</w:t>
      </w:r>
      <w:proofErr w:type="spellEnd"/>
      <w:r w:rsidRPr="00771E6E">
        <w:rPr>
          <w:color w:val="000000" w:themeColor="text1"/>
        </w:rPr>
        <w:t xml:space="preserve">!/ chi </w:t>
      </w:r>
      <w:proofErr w:type="spellStart"/>
      <w:r w:rsidRPr="00771E6E">
        <w:rPr>
          <w:color w:val="000000" w:themeColor="text1"/>
        </w:rPr>
        <w:t>vuol</w:t>
      </w:r>
      <w:proofErr w:type="spellEnd"/>
      <w:r w:rsidRPr="00771E6E">
        <w:rPr>
          <w:color w:val="000000" w:themeColor="text1"/>
        </w:rPr>
        <w:t xml:space="preserve"> </w:t>
      </w:r>
      <w:proofErr w:type="spellStart"/>
      <w:r w:rsidRPr="00771E6E">
        <w:rPr>
          <w:color w:val="000000" w:themeColor="text1"/>
        </w:rPr>
        <w:t>esser</w:t>
      </w:r>
      <w:proofErr w:type="spellEnd"/>
      <w:r w:rsidRPr="00771E6E">
        <w:rPr>
          <w:color w:val="000000" w:themeColor="text1"/>
        </w:rPr>
        <w:t xml:space="preserve"> </w:t>
      </w:r>
      <w:proofErr w:type="spellStart"/>
      <w:r w:rsidRPr="00771E6E">
        <w:rPr>
          <w:color w:val="000000" w:themeColor="text1"/>
        </w:rPr>
        <w:t>lieto</w:t>
      </w:r>
      <w:proofErr w:type="spellEnd"/>
      <w:r w:rsidRPr="00771E6E">
        <w:rPr>
          <w:color w:val="000000" w:themeColor="text1"/>
        </w:rPr>
        <w:t xml:space="preserve">, </w:t>
      </w:r>
      <w:proofErr w:type="spellStart"/>
      <w:r w:rsidRPr="00771E6E">
        <w:rPr>
          <w:color w:val="000000" w:themeColor="text1"/>
        </w:rPr>
        <w:t>sia</w:t>
      </w:r>
      <w:proofErr w:type="spellEnd"/>
      <w:r w:rsidRPr="00771E6E">
        <w:rPr>
          <w:color w:val="000000" w:themeColor="text1"/>
        </w:rPr>
        <w:t xml:space="preserve">:/ di </w:t>
      </w:r>
      <w:proofErr w:type="spellStart"/>
      <w:r w:rsidRPr="00771E6E">
        <w:rPr>
          <w:color w:val="000000" w:themeColor="text1"/>
        </w:rPr>
        <w:t>doman</w:t>
      </w:r>
      <w:proofErr w:type="spellEnd"/>
      <w:r w:rsidRPr="00771E6E">
        <w:rPr>
          <w:color w:val="000000" w:themeColor="text1"/>
        </w:rPr>
        <w:t xml:space="preserve"> non </w:t>
      </w:r>
      <w:proofErr w:type="spellStart"/>
      <w:r w:rsidRPr="00771E6E">
        <w:rPr>
          <w:color w:val="000000" w:themeColor="text1"/>
        </w:rPr>
        <w:t>c’è</w:t>
      </w:r>
      <w:proofErr w:type="spellEnd"/>
      <w:r w:rsidRPr="00771E6E">
        <w:rPr>
          <w:color w:val="000000" w:themeColor="text1"/>
        </w:rPr>
        <w:t xml:space="preserve"> </w:t>
      </w:r>
      <w:proofErr w:type="spellStart"/>
      <w:r w:rsidRPr="00771E6E">
        <w:rPr>
          <w:color w:val="000000" w:themeColor="text1"/>
        </w:rPr>
        <w:t>certezza</w:t>
      </w:r>
      <w:proofErr w:type="spellEnd"/>
      <w:r w:rsidRPr="00771E6E">
        <w:rPr>
          <w:color w:val="000000" w:themeColor="text1"/>
        </w:rPr>
        <w:t>” (How beautiful youth is, which however flees away! Who wants to be happy, should be: Nothing is certain about tomorrow).</w:t>
      </w:r>
      <w:r w:rsidRPr="00771E6E">
        <w:rPr>
          <w:rStyle w:val="FootnoteReference"/>
        </w:rPr>
        <w:footnoteReference w:id="653"/>
      </w:r>
    </w:p>
    <w:p w14:paraId="4C5BBA9E" w14:textId="77777777" w:rsidR="00094F64" w:rsidRPr="00771E6E" w:rsidRDefault="00094F64" w:rsidP="00094F64">
      <w:pPr>
        <w:ind w:firstLine="720"/>
        <w:rPr>
          <w:color w:val="000000" w:themeColor="text1"/>
        </w:rPr>
      </w:pPr>
      <w:r w:rsidRPr="00771E6E">
        <w:rPr>
          <w:color w:val="000000" w:themeColor="text1"/>
        </w:rPr>
        <w:t xml:space="preserve">In Filippino’s composition, it seems likely that the music was provided by the commissioner of the </w:t>
      </w:r>
      <w:r w:rsidRPr="00771E6E">
        <w:rPr>
          <w:i/>
          <w:color w:val="000000" w:themeColor="text1"/>
        </w:rPr>
        <w:t>tondo</w:t>
      </w:r>
      <w:r w:rsidRPr="00771E6E">
        <w:rPr>
          <w:color w:val="000000" w:themeColor="text1"/>
        </w:rPr>
        <w:t>.</w:t>
      </w:r>
      <w:r w:rsidRPr="00771E6E">
        <w:rPr>
          <w:rStyle w:val="FootnoteReference"/>
        </w:rPr>
        <w:footnoteReference w:id="654"/>
      </w:r>
      <w:r w:rsidRPr="00771E6E">
        <w:rPr>
          <w:color w:val="000000" w:themeColor="text1"/>
        </w:rPr>
        <w:t xml:space="preserve"> However, it is known that Filippino Lippi himself had a certain level of interest in music. An inventory of his possessions carried out on 24 April 1504 lists several musical instruments including a large lute (</w:t>
      </w:r>
      <w:proofErr w:type="spellStart"/>
      <w:r w:rsidRPr="00771E6E">
        <w:rPr>
          <w:i/>
          <w:color w:val="000000" w:themeColor="text1"/>
        </w:rPr>
        <w:t>uno</w:t>
      </w:r>
      <w:proofErr w:type="spellEnd"/>
      <w:r w:rsidRPr="00771E6E">
        <w:rPr>
          <w:i/>
          <w:color w:val="000000" w:themeColor="text1"/>
        </w:rPr>
        <w:t xml:space="preserve"> </w:t>
      </w:r>
      <w:proofErr w:type="spellStart"/>
      <w:r w:rsidRPr="00771E6E">
        <w:rPr>
          <w:i/>
          <w:color w:val="000000" w:themeColor="text1"/>
        </w:rPr>
        <w:t>liuto</w:t>
      </w:r>
      <w:proofErr w:type="spellEnd"/>
      <w:r w:rsidRPr="00771E6E">
        <w:rPr>
          <w:i/>
          <w:color w:val="000000" w:themeColor="text1"/>
        </w:rPr>
        <w:t xml:space="preserve"> </w:t>
      </w:r>
      <w:proofErr w:type="spellStart"/>
      <w:r w:rsidRPr="00771E6E">
        <w:rPr>
          <w:i/>
          <w:color w:val="000000" w:themeColor="text1"/>
        </w:rPr>
        <w:t>gramde</w:t>
      </w:r>
      <w:proofErr w:type="spellEnd"/>
      <w:r w:rsidRPr="00771E6E">
        <w:rPr>
          <w:color w:val="000000" w:themeColor="text1"/>
        </w:rPr>
        <w:t>), five “good” recorders in a bag (</w:t>
      </w:r>
      <w:r w:rsidRPr="00771E6E">
        <w:rPr>
          <w:i/>
          <w:color w:val="000000" w:themeColor="text1"/>
        </w:rPr>
        <w:t xml:space="preserve">5 </w:t>
      </w:r>
      <w:proofErr w:type="spellStart"/>
      <w:r w:rsidRPr="00771E6E">
        <w:rPr>
          <w:i/>
          <w:color w:val="000000" w:themeColor="text1"/>
        </w:rPr>
        <w:t>zufoli</w:t>
      </w:r>
      <w:proofErr w:type="spellEnd"/>
      <w:r w:rsidRPr="00771E6E">
        <w:rPr>
          <w:i/>
          <w:color w:val="000000" w:themeColor="text1"/>
        </w:rPr>
        <w:t xml:space="preserve"> </w:t>
      </w:r>
      <w:proofErr w:type="spellStart"/>
      <w:r w:rsidRPr="00771E6E">
        <w:rPr>
          <w:i/>
          <w:color w:val="000000" w:themeColor="text1"/>
        </w:rPr>
        <w:t>buoni</w:t>
      </w:r>
      <w:proofErr w:type="spellEnd"/>
      <w:r w:rsidRPr="00771E6E">
        <w:rPr>
          <w:i/>
          <w:color w:val="000000" w:themeColor="text1"/>
        </w:rPr>
        <w:t xml:space="preserve"> in </w:t>
      </w:r>
      <w:proofErr w:type="spellStart"/>
      <w:r w:rsidRPr="00771E6E">
        <w:rPr>
          <w:i/>
          <w:color w:val="000000" w:themeColor="text1"/>
        </w:rPr>
        <w:t>uno</w:t>
      </w:r>
      <w:proofErr w:type="spellEnd"/>
      <w:r w:rsidRPr="00771E6E">
        <w:rPr>
          <w:i/>
          <w:color w:val="000000" w:themeColor="text1"/>
        </w:rPr>
        <w:t xml:space="preserve"> </w:t>
      </w:r>
      <w:proofErr w:type="spellStart"/>
      <w:r w:rsidRPr="00771E6E">
        <w:rPr>
          <w:i/>
          <w:color w:val="000000" w:themeColor="text1"/>
        </w:rPr>
        <w:t>sacchetto</w:t>
      </w:r>
      <w:proofErr w:type="spellEnd"/>
      <w:r w:rsidRPr="00771E6E">
        <w:rPr>
          <w:color w:val="000000" w:themeColor="text1"/>
        </w:rPr>
        <w:t>) and a chansonnier (</w:t>
      </w:r>
      <w:proofErr w:type="spellStart"/>
      <w:r w:rsidRPr="00771E6E">
        <w:rPr>
          <w:i/>
          <w:color w:val="000000" w:themeColor="text1"/>
        </w:rPr>
        <w:t>uno</w:t>
      </w:r>
      <w:proofErr w:type="spellEnd"/>
      <w:r w:rsidRPr="00771E6E">
        <w:rPr>
          <w:i/>
          <w:color w:val="000000" w:themeColor="text1"/>
        </w:rPr>
        <w:t xml:space="preserve"> </w:t>
      </w:r>
      <w:proofErr w:type="spellStart"/>
      <w:r w:rsidRPr="00771E6E">
        <w:rPr>
          <w:i/>
          <w:color w:val="000000" w:themeColor="text1"/>
        </w:rPr>
        <w:t>chamzoniere</w:t>
      </w:r>
      <w:proofErr w:type="spellEnd"/>
      <w:r w:rsidRPr="00771E6E">
        <w:rPr>
          <w:color w:val="000000" w:themeColor="text1"/>
        </w:rPr>
        <w:t>).</w:t>
      </w:r>
      <w:r w:rsidRPr="00771E6E">
        <w:rPr>
          <w:rStyle w:val="FootnoteReference"/>
        </w:rPr>
        <w:footnoteReference w:id="655"/>
      </w:r>
      <w:r w:rsidRPr="00771E6E">
        <w:rPr>
          <w:color w:val="000000" w:themeColor="text1"/>
        </w:rPr>
        <w:t xml:space="preserve"> Filippino’s interest in music is further demonstrated by other works in which he touches upon musical themes, including either musical angels or musical instruments, such as the </w:t>
      </w:r>
      <w:r w:rsidRPr="00771E6E">
        <w:rPr>
          <w:i/>
          <w:color w:val="000000" w:themeColor="text1"/>
        </w:rPr>
        <w:t xml:space="preserve">Portrait of a Musician </w:t>
      </w:r>
      <w:r w:rsidRPr="00771E6E">
        <w:rPr>
          <w:color w:val="000000" w:themeColor="text1"/>
        </w:rPr>
        <w:t xml:space="preserve">now at the National Gallery of Ireland in Dublin (1483-1485, fig. 3.37). In this painting, which Nelson believes to be the earliest known portrait of a figure with a musical instrument, a man holds a </w:t>
      </w:r>
      <w:r w:rsidRPr="00771E6E">
        <w:rPr>
          <w:i/>
          <w:color w:val="000000" w:themeColor="text1"/>
        </w:rPr>
        <w:t>lira da braccio</w:t>
      </w:r>
      <w:r w:rsidRPr="00771E6E">
        <w:rPr>
          <w:color w:val="000000" w:themeColor="text1"/>
        </w:rPr>
        <w:t xml:space="preserve"> and seems to be adjusting the tension of the strings by turning the pegs, while resting the bow on his left arm.</w:t>
      </w:r>
      <w:r w:rsidRPr="00771E6E">
        <w:rPr>
          <w:rStyle w:val="FootnoteReference"/>
        </w:rPr>
        <w:footnoteReference w:id="656"/>
      </w:r>
      <w:r w:rsidRPr="00771E6E">
        <w:rPr>
          <w:color w:val="000000" w:themeColor="text1"/>
        </w:rPr>
        <w:t xml:space="preserve"> On a shelf on the left are some books, a sheet (perhaps of music), a small lute, a second </w:t>
      </w:r>
      <w:r w:rsidRPr="00771E6E">
        <w:rPr>
          <w:i/>
          <w:color w:val="000000" w:themeColor="text1"/>
        </w:rPr>
        <w:t>lira da braccio</w:t>
      </w:r>
      <w:r w:rsidRPr="00771E6E">
        <w:rPr>
          <w:color w:val="000000" w:themeColor="text1"/>
        </w:rPr>
        <w:t xml:space="preserve"> with its bow, and two recorders. It is likely that Filippino based these depicted instruments on his own, which he probably painted from life.</w:t>
      </w:r>
      <w:r w:rsidRPr="00771E6E">
        <w:rPr>
          <w:rStyle w:val="FootnoteReference"/>
        </w:rPr>
        <w:footnoteReference w:id="657"/>
      </w:r>
      <w:r w:rsidRPr="00771E6E">
        <w:rPr>
          <w:color w:val="000000" w:themeColor="text1"/>
        </w:rPr>
        <w:t xml:space="preserve"> For this reason, it is possible that Filippino himself could be the author of the musical composition in the </w:t>
      </w:r>
      <w:r w:rsidRPr="00771E6E">
        <w:rPr>
          <w:i/>
          <w:color w:val="000000" w:themeColor="text1"/>
        </w:rPr>
        <w:t>Tondo Corsini</w:t>
      </w:r>
      <w:r w:rsidRPr="00771E6E">
        <w:rPr>
          <w:color w:val="000000" w:themeColor="text1"/>
        </w:rPr>
        <w:t>, as suggested by McGee. However, Nelson suggests that, due to the fact that the composition is not particularly advanced, it is probably copied from a source provided to the artist.</w:t>
      </w:r>
      <w:r w:rsidRPr="00771E6E">
        <w:rPr>
          <w:rStyle w:val="FootnoteReference"/>
        </w:rPr>
        <w:footnoteReference w:id="658"/>
      </w:r>
    </w:p>
    <w:p w14:paraId="76130D79" w14:textId="77777777" w:rsidR="00094F64" w:rsidRPr="00771E6E" w:rsidRDefault="00094F64" w:rsidP="00094F64">
      <w:pPr>
        <w:ind w:firstLine="720"/>
        <w:rPr>
          <w:color w:val="000000" w:themeColor="text1"/>
        </w:rPr>
      </w:pPr>
      <w:r w:rsidRPr="00771E6E">
        <w:rPr>
          <w:color w:val="000000" w:themeColor="text1"/>
        </w:rPr>
        <w:t xml:space="preserve">Although the scroll of music in the </w:t>
      </w:r>
      <w:r w:rsidRPr="00771E6E">
        <w:rPr>
          <w:i/>
          <w:color w:val="000000" w:themeColor="text1"/>
        </w:rPr>
        <w:t xml:space="preserve">Tondo Corsini </w:t>
      </w:r>
      <w:r w:rsidRPr="00771E6E">
        <w:rPr>
          <w:color w:val="000000" w:themeColor="text1"/>
        </w:rPr>
        <w:t xml:space="preserve">does not present any text, the angels are clearly singing. If the Careggi provenance of this </w:t>
      </w:r>
      <w:r w:rsidRPr="00771E6E">
        <w:rPr>
          <w:i/>
          <w:color w:val="000000" w:themeColor="text1"/>
        </w:rPr>
        <w:t>tondo</w:t>
      </w:r>
      <w:r w:rsidRPr="00771E6E">
        <w:rPr>
          <w:color w:val="000000" w:themeColor="text1"/>
        </w:rPr>
        <w:t xml:space="preserve"> proves to be correct, one can imagine the interplay between Filippino’s angels’ singing mouths and two marble </w:t>
      </w:r>
      <w:r w:rsidRPr="00771E6E">
        <w:rPr>
          <w:color w:val="000000" w:themeColor="text1"/>
        </w:rPr>
        <w:lastRenderedPageBreak/>
        <w:t>heads of singing angels in round frames, now at the Walters Art Museum in Baltimore, that are believed to have come from the private chapel of the same Medicean villa (figs. 3.38-3.39).</w:t>
      </w:r>
    </w:p>
    <w:p w14:paraId="53F8BF23" w14:textId="77777777" w:rsidR="00094F64" w:rsidRPr="00771E6E" w:rsidRDefault="00094F64" w:rsidP="00094F64">
      <w:pPr>
        <w:ind w:firstLine="720"/>
        <w:rPr>
          <w:color w:val="000000" w:themeColor="text1"/>
        </w:rPr>
      </w:pPr>
      <w:r w:rsidRPr="00771E6E">
        <w:rPr>
          <w:color w:val="000000" w:themeColor="text1"/>
        </w:rPr>
        <w:t xml:space="preserve">In the </w:t>
      </w:r>
      <w:r w:rsidRPr="00771E6E">
        <w:rPr>
          <w:i/>
          <w:color w:val="000000" w:themeColor="text1"/>
        </w:rPr>
        <w:t>Tondo Corsini</w:t>
      </w:r>
      <w:r w:rsidRPr="00771E6E">
        <w:rPr>
          <w:color w:val="000000" w:themeColor="text1"/>
        </w:rPr>
        <w:t xml:space="preserve"> the painter has only identified two of the parts of the composition with particular vocal ranges, using the conventional labels “Tenor” and “Contra”. The absence of text may refer to the fact that singers would learn a text by memory before performing, so the musicians would already know the words. Timothy McGee, on the other hand, suggests that the painting depicts a separate performance practice in which a song was </w:t>
      </w:r>
      <w:proofErr w:type="spellStart"/>
      <w:r w:rsidRPr="00771E6E">
        <w:rPr>
          <w:color w:val="000000" w:themeColor="text1"/>
        </w:rPr>
        <w:t>vocalised</w:t>
      </w:r>
      <w:proofErr w:type="spellEnd"/>
      <w:r w:rsidRPr="00771E6E">
        <w:rPr>
          <w:color w:val="000000" w:themeColor="text1"/>
        </w:rPr>
        <w:t xml:space="preserve"> without text.</w:t>
      </w:r>
      <w:r w:rsidRPr="00771E6E">
        <w:rPr>
          <w:rStyle w:val="FootnoteReference"/>
        </w:rPr>
        <w:footnoteReference w:id="659"/>
      </w:r>
      <w:r w:rsidRPr="00771E6E">
        <w:rPr>
          <w:color w:val="000000" w:themeColor="text1"/>
        </w:rPr>
        <w:t xml:space="preserve"> In his </w:t>
      </w:r>
      <w:proofErr w:type="spellStart"/>
      <w:r w:rsidRPr="00771E6E">
        <w:rPr>
          <w:i/>
          <w:color w:val="000000" w:themeColor="text1"/>
        </w:rPr>
        <w:t>Musica</w:t>
      </w:r>
      <w:proofErr w:type="spellEnd"/>
      <w:r w:rsidRPr="00771E6E">
        <w:rPr>
          <w:i/>
          <w:color w:val="000000" w:themeColor="text1"/>
        </w:rPr>
        <w:t xml:space="preserve"> </w:t>
      </w:r>
      <w:proofErr w:type="spellStart"/>
      <w:r w:rsidRPr="00771E6E">
        <w:rPr>
          <w:i/>
          <w:color w:val="000000" w:themeColor="text1"/>
        </w:rPr>
        <w:t>Practica</w:t>
      </w:r>
      <w:proofErr w:type="spellEnd"/>
      <w:r w:rsidRPr="00771E6E">
        <w:rPr>
          <w:iCs/>
          <w:color w:val="000000" w:themeColor="text1"/>
        </w:rPr>
        <w:t>, first printed in 1496</w:t>
      </w:r>
      <w:r w:rsidRPr="00771E6E">
        <w:rPr>
          <w:color w:val="000000" w:themeColor="text1"/>
        </w:rPr>
        <w:t xml:space="preserve">, Franchino </w:t>
      </w:r>
      <w:proofErr w:type="spellStart"/>
      <w:r w:rsidRPr="00771E6E">
        <w:rPr>
          <w:color w:val="000000" w:themeColor="text1"/>
        </w:rPr>
        <w:t>Gafori</w:t>
      </w:r>
      <w:proofErr w:type="spellEnd"/>
      <w:r w:rsidRPr="00771E6E">
        <w:rPr>
          <w:color w:val="000000" w:themeColor="text1"/>
        </w:rPr>
        <w:t xml:space="preserve"> describes three methods for practicing singing, the second of which involves “uttering only the sounds and pitches while omitting entirely the letters, syllables, and words, a practice which a singer easily follows”.</w:t>
      </w:r>
      <w:r w:rsidRPr="00771E6E">
        <w:rPr>
          <w:rStyle w:val="FootnoteReference"/>
        </w:rPr>
        <w:footnoteReference w:id="660"/>
      </w:r>
      <w:r w:rsidRPr="00771E6E">
        <w:rPr>
          <w:color w:val="000000" w:themeColor="text1"/>
        </w:rPr>
        <w:t xml:space="preserve"> This description highlights the fact that </w:t>
      </w:r>
      <w:proofErr w:type="spellStart"/>
      <w:r w:rsidRPr="00771E6E">
        <w:rPr>
          <w:color w:val="000000" w:themeColor="text1"/>
        </w:rPr>
        <w:t>vocalisation</w:t>
      </w:r>
      <w:proofErr w:type="spellEnd"/>
      <w:r w:rsidRPr="00771E6E">
        <w:rPr>
          <w:color w:val="000000" w:themeColor="text1"/>
        </w:rPr>
        <w:t xml:space="preserve"> without text was a type of pedagogical practice that would allow students to learn gradually. Perhaps the angels are demonstrating this common pedagogical technique for the benefit of their young music students. In addition to this, the angel in an orange robe is using </w:t>
      </w:r>
      <w:r w:rsidRPr="00771E6E">
        <w:rPr>
          <w:i/>
          <w:color w:val="000000" w:themeColor="text1"/>
        </w:rPr>
        <w:t>tactus</w:t>
      </w:r>
      <w:r w:rsidRPr="00771E6E">
        <w:rPr>
          <w:color w:val="000000" w:themeColor="text1"/>
        </w:rPr>
        <w:t>,</w:t>
      </w:r>
      <w:r w:rsidRPr="00771E6E">
        <w:rPr>
          <w:i/>
          <w:color w:val="000000" w:themeColor="text1"/>
        </w:rPr>
        <w:t xml:space="preserve"> </w:t>
      </w:r>
      <w:r w:rsidRPr="00771E6E">
        <w:rPr>
          <w:color w:val="000000" w:themeColor="text1"/>
        </w:rPr>
        <w:t xml:space="preserve">beating musical time with his hand, which was another device used for teaching music to young students as described above. Filippino’s attentiveness to the </w:t>
      </w:r>
      <w:r w:rsidRPr="00771E6E">
        <w:rPr>
          <w:i/>
          <w:color w:val="000000" w:themeColor="text1"/>
        </w:rPr>
        <w:t xml:space="preserve">tactus </w:t>
      </w:r>
      <w:r w:rsidRPr="00771E6E">
        <w:rPr>
          <w:color w:val="000000" w:themeColor="text1"/>
        </w:rPr>
        <w:t>hand is further demonstrated by a study drawing kept at the British Museum (fig. 3.40).</w:t>
      </w:r>
    </w:p>
    <w:p w14:paraId="08C97603" w14:textId="77777777" w:rsidR="00094F64" w:rsidRPr="00771E6E" w:rsidRDefault="00094F64" w:rsidP="00094F64">
      <w:pPr>
        <w:ind w:firstLine="720"/>
      </w:pPr>
      <w:r w:rsidRPr="00771E6E">
        <w:rPr>
          <w:color w:val="000000" w:themeColor="text1"/>
        </w:rPr>
        <w:t xml:space="preserve">In the </w:t>
      </w:r>
      <w:r w:rsidRPr="00771E6E">
        <w:rPr>
          <w:i/>
          <w:color w:val="000000" w:themeColor="text1"/>
        </w:rPr>
        <w:t>Tondo Corsini</w:t>
      </w:r>
      <w:r w:rsidRPr="00771E6E">
        <w:rPr>
          <w:color w:val="000000" w:themeColor="text1"/>
        </w:rPr>
        <w:t xml:space="preserve">, the musical angels can even be considered the protagonists of the scene. </w:t>
      </w:r>
      <w:r w:rsidRPr="00771E6E">
        <w:rPr>
          <w:iCs/>
        </w:rPr>
        <w:t>The regression of the black and white square floor tiles constructs the perspective in a way that directs the gaze of the viewer towards</w:t>
      </w:r>
      <w:r w:rsidRPr="00771E6E">
        <w:rPr>
          <w:i/>
        </w:rPr>
        <w:t xml:space="preserve"> </w:t>
      </w:r>
      <w:r w:rsidRPr="00771E6E">
        <w:t xml:space="preserve">the musical angels, </w:t>
      </w:r>
      <w:r w:rsidRPr="00771E6E">
        <w:rPr>
          <w:color w:val="000000" w:themeColor="text1"/>
        </w:rPr>
        <w:t xml:space="preserve">making them the focal point of the composition, </w:t>
      </w:r>
      <w:r w:rsidRPr="00771E6E">
        <w:t>an effect that was surely planned and intended by the artist</w:t>
      </w:r>
      <w:r w:rsidRPr="00771E6E">
        <w:rPr>
          <w:color w:val="000000" w:themeColor="text1"/>
        </w:rPr>
        <w:t>.</w:t>
      </w:r>
      <w:r w:rsidRPr="00771E6E">
        <w:rPr>
          <w:rStyle w:val="FootnoteReference"/>
        </w:rPr>
        <w:footnoteReference w:id="661"/>
      </w:r>
      <w:r w:rsidRPr="00771E6E">
        <w:rPr>
          <w:color w:val="000000" w:themeColor="text1"/>
        </w:rPr>
        <w:t xml:space="preserve"> Additionally, the musical angels are the only figures who are kneeling in the painting, </w:t>
      </w:r>
      <w:r w:rsidRPr="00771E6E">
        <w:t>bringing them closer to the viewer and allowing a more detailed inspection of their musical activity</w:t>
      </w:r>
      <w:r w:rsidRPr="00771E6E">
        <w:rPr>
          <w:color w:val="000000" w:themeColor="text1"/>
        </w:rPr>
        <w:t xml:space="preserve">. Amy Gillette notes that this attitude is quite commonly found in depictions of musical angels from the fourteenth century, which she believes were modelled on lay confraternities’ practices of singing and making music in sacred plays and </w:t>
      </w:r>
      <w:r w:rsidRPr="00771E6E">
        <w:rPr>
          <w:color w:val="000000" w:themeColor="text1"/>
        </w:rPr>
        <w:lastRenderedPageBreak/>
        <w:t>before paintings of the Virgin.</w:t>
      </w:r>
      <w:r w:rsidRPr="00771E6E">
        <w:rPr>
          <w:rStyle w:val="FootnoteReference"/>
        </w:rPr>
        <w:footnoteReference w:id="662"/>
      </w:r>
      <w:r w:rsidRPr="00771E6E">
        <w:rPr>
          <w:color w:val="000000" w:themeColor="text1"/>
        </w:rPr>
        <w:t xml:space="preserve"> That Filippino was acquainted with sacred and secular plays and that he reused some of their most characteristic theatrical elements in his paintings has already been demonstrated by Emanuel </w:t>
      </w:r>
      <w:proofErr w:type="spellStart"/>
      <w:r w:rsidRPr="00771E6E">
        <w:rPr>
          <w:color w:val="000000" w:themeColor="text1"/>
        </w:rPr>
        <w:t>Winternitz</w:t>
      </w:r>
      <w:proofErr w:type="spellEnd"/>
      <w:r w:rsidRPr="00771E6E">
        <w:rPr>
          <w:color w:val="000000" w:themeColor="text1"/>
        </w:rPr>
        <w:t xml:space="preserve">, in his analysis of the musical instruments and the composition of Filippino’s </w:t>
      </w:r>
      <w:r w:rsidRPr="00771E6E">
        <w:rPr>
          <w:i/>
          <w:color w:val="000000" w:themeColor="text1"/>
        </w:rPr>
        <w:t>Adoration of the Golden Calf</w:t>
      </w:r>
      <w:r w:rsidRPr="00771E6E">
        <w:rPr>
          <w:color w:val="000000" w:themeColor="text1"/>
        </w:rPr>
        <w:t>.</w:t>
      </w:r>
      <w:r w:rsidRPr="00771E6E">
        <w:rPr>
          <w:rStyle w:val="FootnoteReference"/>
        </w:rPr>
        <w:footnoteReference w:id="663"/>
      </w:r>
      <w:r w:rsidRPr="00771E6E">
        <w:rPr>
          <w:color w:val="000000" w:themeColor="text1"/>
        </w:rPr>
        <w:t xml:space="preserve"> Hence, Filippino’s</w:t>
      </w:r>
      <w:r w:rsidRPr="00771E6E" w:rsidDel="008A7E72">
        <w:rPr>
          <w:color w:val="000000" w:themeColor="text1"/>
        </w:rPr>
        <w:t xml:space="preserve"> </w:t>
      </w:r>
      <w:r w:rsidRPr="00771E6E">
        <w:rPr>
          <w:color w:val="000000" w:themeColor="text1"/>
        </w:rPr>
        <w:t xml:space="preserve">kneeling angels in the </w:t>
      </w:r>
      <w:r w:rsidRPr="00771E6E">
        <w:rPr>
          <w:i/>
          <w:color w:val="000000" w:themeColor="text1"/>
        </w:rPr>
        <w:t>Tondo Corsini</w:t>
      </w:r>
      <w:r w:rsidRPr="00771E6E">
        <w:rPr>
          <w:color w:val="000000" w:themeColor="text1"/>
        </w:rPr>
        <w:t xml:space="preserve"> are likely to be closely related to singing youths taking part in </w:t>
      </w:r>
      <w:proofErr w:type="spellStart"/>
      <w:r w:rsidRPr="00771E6E">
        <w:rPr>
          <w:i/>
          <w:color w:val="000000" w:themeColor="text1"/>
        </w:rPr>
        <w:t>sacre</w:t>
      </w:r>
      <w:proofErr w:type="spellEnd"/>
      <w:r w:rsidRPr="00771E6E">
        <w:rPr>
          <w:i/>
          <w:color w:val="000000" w:themeColor="text1"/>
        </w:rPr>
        <w:t xml:space="preserve"> </w:t>
      </w:r>
      <w:proofErr w:type="spellStart"/>
      <w:r w:rsidRPr="00771E6E">
        <w:rPr>
          <w:i/>
          <w:color w:val="000000" w:themeColor="text1"/>
        </w:rPr>
        <w:t>rappresentazioni</w:t>
      </w:r>
      <w:proofErr w:type="spellEnd"/>
      <w:r w:rsidRPr="00771E6E">
        <w:rPr>
          <w:color w:val="000000" w:themeColor="text1"/>
        </w:rPr>
        <w:t xml:space="preserve"> and processions, while at the same time they </w:t>
      </w:r>
      <w:r w:rsidRPr="00771E6E">
        <w:t xml:space="preserve">seem to be communicating with their viewers in several different ways: by engaging their gaze and inviting them to contribute to the singing of hymns, and by showing devices such as </w:t>
      </w:r>
      <w:r w:rsidRPr="00771E6E">
        <w:rPr>
          <w:i/>
        </w:rPr>
        <w:t xml:space="preserve">tactus </w:t>
      </w:r>
      <w:r w:rsidRPr="00771E6E">
        <w:t xml:space="preserve">or musical notation to inspire musical participation. </w:t>
      </w:r>
    </w:p>
    <w:p w14:paraId="33C111D4" w14:textId="77777777" w:rsidR="00094F64" w:rsidRPr="00771E6E" w:rsidRDefault="00094F64" w:rsidP="00094F64">
      <w:pPr>
        <w:ind w:firstLine="720"/>
        <w:rPr>
          <w:color w:val="000000" w:themeColor="text1"/>
        </w:rPr>
      </w:pPr>
      <w:r w:rsidRPr="00771E6E">
        <w:rPr>
          <w:color w:val="000000" w:themeColor="text1"/>
        </w:rPr>
        <w:t xml:space="preserve">Filippino’s </w:t>
      </w:r>
      <w:r w:rsidRPr="00771E6E">
        <w:rPr>
          <w:i/>
          <w:color w:val="000000" w:themeColor="text1"/>
        </w:rPr>
        <w:t>tondo</w:t>
      </w:r>
      <w:r w:rsidRPr="00771E6E">
        <w:rPr>
          <w:color w:val="000000" w:themeColor="text1"/>
        </w:rPr>
        <w:t xml:space="preserve"> must have been quite popular, as at least two further versions still exist. A copy by the Master of the Holden Tondo from 1485-1490 is now kept at the </w:t>
      </w:r>
      <w:proofErr w:type="spellStart"/>
      <w:r w:rsidRPr="00771E6E">
        <w:rPr>
          <w:color w:val="000000" w:themeColor="text1"/>
        </w:rPr>
        <w:t>Courtauld</w:t>
      </w:r>
      <w:proofErr w:type="spellEnd"/>
      <w:r w:rsidRPr="00771E6E">
        <w:rPr>
          <w:color w:val="000000" w:themeColor="text1"/>
        </w:rPr>
        <w:t xml:space="preserve"> Gallery in London (fig. 3.41). This version has an almost identical composition to the </w:t>
      </w:r>
      <w:r w:rsidRPr="00771E6E">
        <w:rPr>
          <w:i/>
          <w:color w:val="000000" w:themeColor="text1"/>
        </w:rPr>
        <w:t>Tondo Corsini</w:t>
      </w:r>
      <w:r w:rsidRPr="00771E6E">
        <w:rPr>
          <w:color w:val="000000" w:themeColor="text1"/>
        </w:rPr>
        <w:t xml:space="preserve"> although the scene is placed in a different architectural setting, includes only three angels instead of five, and does not seem to have musical notation written on the scroll.</w:t>
      </w:r>
      <w:r w:rsidRPr="00771E6E">
        <w:rPr>
          <w:rStyle w:val="FootnoteReference"/>
        </w:rPr>
        <w:footnoteReference w:id="664"/>
      </w:r>
      <w:r w:rsidRPr="00771E6E">
        <w:rPr>
          <w:color w:val="000000" w:themeColor="text1"/>
        </w:rPr>
        <w:t xml:space="preserve"> This could indicate that the artist who copied Filippino’s </w:t>
      </w:r>
      <w:r w:rsidRPr="00771E6E">
        <w:rPr>
          <w:i/>
          <w:color w:val="000000" w:themeColor="text1"/>
        </w:rPr>
        <w:t>tondo</w:t>
      </w:r>
      <w:r w:rsidRPr="00771E6E">
        <w:rPr>
          <w:color w:val="000000" w:themeColor="text1"/>
        </w:rPr>
        <w:t xml:space="preserve"> was not familiar with musical notation himself. A rectangular copy by Filippino’s follower Vincenzo </w:t>
      </w:r>
      <w:proofErr w:type="spellStart"/>
      <w:r w:rsidRPr="00771E6E">
        <w:rPr>
          <w:color w:val="000000" w:themeColor="text1"/>
        </w:rPr>
        <w:t>Frediani</w:t>
      </w:r>
      <w:proofErr w:type="spellEnd"/>
      <w:r w:rsidRPr="00771E6E">
        <w:rPr>
          <w:color w:val="000000" w:themeColor="text1"/>
        </w:rPr>
        <w:t xml:space="preserve"> from Lucca also survives, although its location is currently unknown. In this version, which has one fewer angel and does not include Saint John the Baptist, the artist replaced the shifted perspective for a central one, so the musical angels are no longer the main focus.</w:t>
      </w:r>
      <w:r w:rsidRPr="00771E6E">
        <w:rPr>
          <w:rStyle w:val="FootnoteReference"/>
        </w:rPr>
        <w:footnoteReference w:id="665"/>
      </w:r>
    </w:p>
    <w:p w14:paraId="10D5C976" w14:textId="77777777" w:rsidR="00094F64" w:rsidRPr="00771E6E" w:rsidRDefault="00094F64" w:rsidP="00094F64">
      <w:pPr>
        <w:ind w:firstLine="720"/>
      </w:pPr>
      <w:r w:rsidRPr="00771E6E">
        <w:rPr>
          <w:color w:val="000000" w:themeColor="text1"/>
        </w:rPr>
        <w:t xml:space="preserve">For some time, Filippino was thought to have painted another </w:t>
      </w:r>
      <w:r w:rsidRPr="00771E6E">
        <w:rPr>
          <w:i/>
          <w:color w:val="000000" w:themeColor="text1"/>
        </w:rPr>
        <w:t>tondo</w:t>
      </w:r>
      <w:r w:rsidRPr="00771E6E">
        <w:rPr>
          <w:color w:val="000000" w:themeColor="text1"/>
        </w:rPr>
        <w:t xml:space="preserve"> in which an angel holds a book with musical notation, now kept in the Kelvingrove Art Gallery and Museum in Glasgow. However, this </w:t>
      </w:r>
      <w:r w:rsidRPr="00771E6E">
        <w:rPr>
          <w:i/>
          <w:color w:val="000000" w:themeColor="text1"/>
        </w:rPr>
        <w:t>tondo</w:t>
      </w:r>
      <w:r w:rsidRPr="00771E6E">
        <w:rPr>
          <w:color w:val="000000" w:themeColor="text1"/>
        </w:rPr>
        <w:t xml:space="preserve"> with the Virgin and Child, the young Saint John the Baptist and two angels is now universally believed to be Raffaellino del Garbo’s work.</w:t>
      </w:r>
      <w:r w:rsidRPr="00771E6E">
        <w:rPr>
          <w:rStyle w:val="FootnoteReference"/>
        </w:rPr>
        <w:footnoteReference w:id="666"/>
      </w:r>
      <w:r w:rsidRPr="00771E6E">
        <w:rPr>
          <w:color w:val="000000" w:themeColor="text1"/>
        </w:rPr>
        <w:t xml:space="preserve"> This was probably painted by a young Raffaellino while he was still working in Filippino’s workshop (fig. 3.42).</w:t>
      </w:r>
      <w:r w:rsidRPr="00771E6E">
        <w:rPr>
          <w:rStyle w:val="FootnoteReference"/>
        </w:rPr>
        <w:footnoteReference w:id="667"/>
      </w:r>
      <w:r w:rsidRPr="00771E6E">
        <w:rPr>
          <w:color w:val="000000" w:themeColor="text1"/>
        </w:rPr>
        <w:t xml:space="preserve"> The Virgin is portrayed half-length, holding the Child </w:t>
      </w:r>
      <w:r w:rsidRPr="00771E6E">
        <w:rPr>
          <w:color w:val="000000" w:themeColor="text1"/>
        </w:rPr>
        <w:lastRenderedPageBreak/>
        <w:t xml:space="preserve">who is standing on a balustrade. </w:t>
      </w:r>
      <w:r w:rsidRPr="00771E6E">
        <w:rPr>
          <w:color w:val="000000" w:themeColor="text1"/>
          <w:shd w:val="clear" w:color="auto" w:fill="FFFFFF"/>
        </w:rPr>
        <w:t>In this painting, t</w:t>
      </w:r>
      <w:r w:rsidRPr="00771E6E">
        <w:rPr>
          <w:color w:val="000000" w:themeColor="text1"/>
        </w:rPr>
        <w:t>he infant Christ is seen embracing the young S</w:t>
      </w:r>
      <w:r w:rsidR="00430022" w:rsidRPr="00771E6E">
        <w:rPr>
          <w:color w:val="000000" w:themeColor="text1"/>
        </w:rPr>
        <w:t>ain</w:t>
      </w:r>
      <w:r w:rsidRPr="00771E6E">
        <w:rPr>
          <w:color w:val="000000" w:themeColor="text1"/>
        </w:rPr>
        <w:t xml:space="preserve">t John, who kneels before him, which was one of the subjects recommended by Giovanni </w:t>
      </w:r>
      <w:proofErr w:type="spellStart"/>
      <w:r w:rsidRPr="00771E6E">
        <w:rPr>
          <w:color w:val="000000" w:themeColor="text1"/>
        </w:rPr>
        <w:t>Dominici</w:t>
      </w:r>
      <w:proofErr w:type="spellEnd"/>
      <w:r w:rsidRPr="00771E6E">
        <w:rPr>
          <w:color w:val="000000" w:themeColor="text1"/>
        </w:rPr>
        <w:t xml:space="preserve"> as being especially appropriate for children, </w:t>
      </w:r>
      <w:r w:rsidRPr="00771E6E">
        <w:rPr>
          <w:shd w:val="clear" w:color="auto" w:fill="FFFFFF"/>
        </w:rPr>
        <w:t>corresponding exactly to his advice to show depictions with “</w:t>
      </w:r>
      <w:r w:rsidRPr="00771E6E">
        <w:t>Jesus and [Saint John] the Baptist … in youth, joined together.”</w:t>
      </w:r>
      <w:r w:rsidRPr="00771E6E">
        <w:rPr>
          <w:rStyle w:val="FootnoteReference"/>
        </w:rPr>
        <w:footnoteReference w:id="668"/>
      </w:r>
      <w:r w:rsidRPr="00771E6E">
        <w:t xml:space="preserve"> </w:t>
      </w:r>
      <w:r w:rsidRPr="00771E6E">
        <w:rPr>
          <w:color w:val="000000" w:themeColor="text1"/>
        </w:rPr>
        <w:t xml:space="preserve">This motif is most likely based on a similar one on another </w:t>
      </w:r>
      <w:r w:rsidRPr="00771E6E">
        <w:rPr>
          <w:i/>
          <w:color w:val="000000" w:themeColor="text1"/>
        </w:rPr>
        <w:t>tondo</w:t>
      </w:r>
      <w:r w:rsidRPr="00771E6E">
        <w:rPr>
          <w:color w:val="000000" w:themeColor="text1"/>
        </w:rPr>
        <w:t xml:space="preserve"> by Filippino, which is now in the Cleveland Museum of Art.</w:t>
      </w:r>
      <w:r w:rsidRPr="00771E6E">
        <w:rPr>
          <w:rStyle w:val="FootnoteReference"/>
        </w:rPr>
        <w:footnoteReference w:id="669"/>
      </w:r>
    </w:p>
    <w:p w14:paraId="749E665E" w14:textId="77777777" w:rsidR="00094F64" w:rsidRPr="00771E6E" w:rsidRDefault="00094F64" w:rsidP="00094F64">
      <w:pPr>
        <w:ind w:firstLine="720"/>
      </w:pPr>
      <w:r w:rsidRPr="00771E6E">
        <w:rPr>
          <w:color w:val="000000" w:themeColor="text1"/>
        </w:rPr>
        <w:t>An angel on the right holds a young Saint John, while another angel stands behind the Virgin on the left, presenting an open book of music closer to the viewer’s</w:t>
      </w:r>
      <w:r w:rsidRPr="00771E6E">
        <w:rPr>
          <w:color w:val="000000" w:themeColor="text1"/>
          <w:shd w:val="clear" w:color="auto" w:fill="FFFFFF"/>
        </w:rPr>
        <w:t xml:space="preserve"> eye level</w:t>
      </w:r>
      <w:r w:rsidRPr="00771E6E">
        <w:rPr>
          <w:color w:val="000000" w:themeColor="text1"/>
        </w:rPr>
        <w:t>.</w:t>
      </w:r>
      <w:r w:rsidRPr="00771E6E">
        <w:rPr>
          <w:rStyle w:val="FootnoteReference"/>
        </w:rPr>
        <w:footnoteReference w:id="670"/>
      </w:r>
      <w:r w:rsidRPr="00771E6E">
        <w:rPr>
          <w:color w:val="000000" w:themeColor="text1"/>
        </w:rPr>
        <w:t xml:space="preserve"> This angel, who makes no gestures relating to musical performance, is clearly “showing” the book to the viewers, encouraging them to read. The three parts of the composition are labelled conventionally “S[</w:t>
      </w:r>
      <w:proofErr w:type="spellStart"/>
      <w:r w:rsidRPr="00771E6E">
        <w:rPr>
          <w:color w:val="000000" w:themeColor="text1"/>
        </w:rPr>
        <w:t>uperius</w:t>
      </w:r>
      <w:proofErr w:type="spellEnd"/>
      <w:r w:rsidRPr="00771E6E">
        <w:rPr>
          <w:color w:val="000000" w:themeColor="text1"/>
        </w:rPr>
        <w:t>],” “C[</w:t>
      </w:r>
      <w:proofErr w:type="spellStart"/>
      <w:r w:rsidRPr="00771E6E">
        <w:rPr>
          <w:color w:val="000000" w:themeColor="text1"/>
        </w:rPr>
        <w:t>ontra</w:t>
      </w:r>
      <w:proofErr w:type="spellEnd"/>
      <w:r w:rsidRPr="00771E6E">
        <w:rPr>
          <w:color w:val="000000" w:themeColor="text1"/>
        </w:rPr>
        <w:t>],” and “T[</w:t>
      </w:r>
      <w:proofErr w:type="spellStart"/>
      <w:r w:rsidRPr="00771E6E">
        <w:rPr>
          <w:color w:val="000000" w:themeColor="text1"/>
        </w:rPr>
        <w:t>enor</w:t>
      </w:r>
      <w:proofErr w:type="spellEnd"/>
      <w:r w:rsidRPr="00771E6E">
        <w:rPr>
          <w:color w:val="000000" w:themeColor="text1"/>
        </w:rPr>
        <w:t>],” in a layout similar to that used in contemporary chansonniers and three-voice motets.</w:t>
      </w:r>
      <w:r w:rsidRPr="00771E6E">
        <w:rPr>
          <w:rStyle w:val="FootnoteReference"/>
        </w:rPr>
        <w:footnoteReference w:id="671"/>
      </w:r>
      <w:r w:rsidRPr="00771E6E">
        <w:rPr>
          <w:color w:val="000000" w:themeColor="text1"/>
        </w:rPr>
        <w:t xml:space="preserve"> The proportions of the book also seem to correspond to the latter; chansonniers, in contrast, were generally smaller. Surprisingly, the music depicted is not a real composition, but only an exceptionally convincing impression of notation. Musicologists such as Kenneth Elliot (1965),</w:t>
      </w:r>
      <w:r w:rsidRPr="00771E6E">
        <w:rPr>
          <w:rStyle w:val="FootnoteReference"/>
          <w:rFonts w:eastAsiaTheme="majorEastAsia"/>
        </w:rPr>
        <w:footnoteReference w:id="672"/>
      </w:r>
      <w:r w:rsidRPr="00771E6E">
        <w:rPr>
          <w:color w:val="000000" w:themeColor="text1"/>
        </w:rPr>
        <w:t xml:space="preserve"> Bonnie Blackburn (1998),</w:t>
      </w:r>
      <w:r w:rsidRPr="00771E6E">
        <w:rPr>
          <w:rStyle w:val="FootnoteReference"/>
        </w:rPr>
        <w:footnoteReference w:id="673"/>
      </w:r>
      <w:r w:rsidRPr="00771E6E">
        <w:rPr>
          <w:rStyle w:val="CommentReference"/>
        </w:rPr>
        <w:t xml:space="preserve"> </w:t>
      </w:r>
      <w:r w:rsidRPr="00771E6E">
        <w:rPr>
          <w:color w:val="000000" w:themeColor="text1"/>
        </w:rPr>
        <w:t xml:space="preserve"> and Tim Shephard (2016)</w:t>
      </w:r>
      <w:r w:rsidRPr="00771E6E">
        <w:rPr>
          <w:rStyle w:val="FootnoteReference"/>
          <w:rFonts w:eastAsiaTheme="majorEastAsia"/>
        </w:rPr>
        <w:footnoteReference w:id="674"/>
      </w:r>
      <w:r w:rsidRPr="00771E6E">
        <w:rPr>
          <w:color w:val="000000" w:themeColor="text1"/>
        </w:rPr>
        <w:t xml:space="preserve"> agree on the fact that the music is not performable. Blackburn furthermore proposes that the same person who painted the music in this painting, also painted the musical notation in Filippino Lippi </w:t>
      </w:r>
      <w:r w:rsidRPr="00771E6E">
        <w:rPr>
          <w:i/>
          <w:color w:val="000000" w:themeColor="text1"/>
        </w:rPr>
        <w:t>tondo</w:t>
      </w:r>
      <w:r w:rsidRPr="00771E6E">
        <w:rPr>
          <w:color w:val="000000" w:themeColor="text1"/>
        </w:rPr>
        <w:t xml:space="preserve"> discussed above.</w:t>
      </w:r>
      <w:r w:rsidRPr="00771E6E">
        <w:rPr>
          <w:rStyle w:val="FootnoteReference"/>
        </w:rPr>
        <w:footnoteReference w:id="675"/>
      </w:r>
      <w:r w:rsidRPr="00771E6E">
        <w:rPr>
          <w:color w:val="000000" w:themeColor="text1"/>
        </w:rPr>
        <w:t xml:space="preserve"> However, the fact that the notation in Filippino’s work is very close to a real composition suggests another interpretation. </w:t>
      </w:r>
    </w:p>
    <w:p w14:paraId="7BCA0E52" w14:textId="77777777" w:rsidR="00094F64" w:rsidRPr="00771E6E" w:rsidRDefault="00094F64" w:rsidP="00094F64">
      <w:pPr>
        <w:ind w:firstLine="720"/>
        <w:rPr>
          <w:color w:val="000000" w:themeColor="text1"/>
        </w:rPr>
      </w:pPr>
      <w:r w:rsidRPr="00771E6E">
        <w:rPr>
          <w:color w:val="000000" w:themeColor="text1"/>
        </w:rPr>
        <w:lastRenderedPageBreak/>
        <w:t xml:space="preserve">With regards to Raffaellino’s </w:t>
      </w:r>
      <w:r w:rsidRPr="00771E6E">
        <w:rPr>
          <w:i/>
          <w:color w:val="000000" w:themeColor="text1"/>
        </w:rPr>
        <w:t>tondo</w:t>
      </w:r>
      <w:r w:rsidRPr="00771E6E">
        <w:rPr>
          <w:color w:val="000000" w:themeColor="text1"/>
        </w:rPr>
        <w:t>, one might easily conclude that it is an approximate copy of a real music book, except for the fact that the comparable contemporary manuscripts have more staves on each page: the book in the painting has only five on the left page and four on the right. Whatever the artist’s original intention, the outcome is to inspire in the viewer not a specific song of praise, but rather a musical frame of mind – a devotional state that is musical in character, but has no sounding outcome.</w:t>
      </w:r>
      <w:r w:rsidRPr="00771E6E">
        <w:rPr>
          <w:rStyle w:val="FootnoteReference"/>
        </w:rPr>
        <w:footnoteReference w:id="676"/>
      </w:r>
      <w:r w:rsidRPr="00771E6E">
        <w:rPr>
          <w:color w:val="000000" w:themeColor="text1"/>
        </w:rPr>
        <w:t xml:space="preserve"> It seems possible that the painter had painted the book first, leaving the pages blank for the notation to be added later. However, when he came to paint the staves and the notation, the space was not large enough to transcribe them correctly. Bearing this observation in mind, the fact that the angel is evidently showing the music book to the beholders in a way that seems to be intended to be legible could be construed as puzzling. An explanation can be provided by the hypotheses that the music shown in this type of painting had an intention other than to be readable, but rather to provide a </w:t>
      </w:r>
      <w:proofErr w:type="spellStart"/>
      <w:r w:rsidRPr="00771E6E">
        <w:rPr>
          <w:color w:val="000000" w:themeColor="text1"/>
        </w:rPr>
        <w:t>recognisable</w:t>
      </w:r>
      <w:proofErr w:type="spellEnd"/>
      <w:r w:rsidRPr="00771E6E">
        <w:rPr>
          <w:color w:val="000000" w:themeColor="text1"/>
        </w:rPr>
        <w:t xml:space="preserve"> musical reference for viewers to look at, in order to inspire musical thoughts.</w:t>
      </w:r>
    </w:p>
    <w:p w14:paraId="11944878" w14:textId="77777777" w:rsidR="00094F64" w:rsidRPr="00771E6E" w:rsidRDefault="00094F64" w:rsidP="00094F64">
      <w:pPr>
        <w:ind w:firstLine="720"/>
        <w:rPr>
          <w:color w:val="000000" w:themeColor="text1"/>
        </w:rPr>
      </w:pPr>
      <w:r w:rsidRPr="00771E6E">
        <w:rPr>
          <w:color w:val="000000" w:themeColor="text1"/>
        </w:rPr>
        <w:t xml:space="preserve">In Filippino Lippi and Raffaellino del Garbo’s </w:t>
      </w:r>
      <w:r w:rsidRPr="00771E6E">
        <w:rPr>
          <w:i/>
          <w:color w:val="000000" w:themeColor="text1"/>
        </w:rPr>
        <w:t>tondi</w:t>
      </w:r>
      <w:r w:rsidRPr="00771E6E">
        <w:rPr>
          <w:color w:val="000000" w:themeColor="text1"/>
        </w:rPr>
        <w:t>, the musical references are the protagonists of the scene. In the first,</w:t>
      </w:r>
      <w:r w:rsidRPr="00771E6E">
        <w:rPr>
          <w:i/>
          <w:color w:val="000000" w:themeColor="text1"/>
        </w:rPr>
        <w:t xml:space="preserve"> </w:t>
      </w:r>
      <w:r w:rsidRPr="00771E6E">
        <w:rPr>
          <w:color w:val="000000" w:themeColor="text1"/>
        </w:rPr>
        <w:t xml:space="preserve">the kneeling musical angels are the focal point to which the gaze of the viewer is directed by the perspective of the image. Similarly, the angel on the left in the </w:t>
      </w:r>
      <w:r w:rsidRPr="00771E6E">
        <w:rPr>
          <w:i/>
          <w:color w:val="000000" w:themeColor="text1"/>
        </w:rPr>
        <w:t xml:space="preserve">tondo </w:t>
      </w:r>
      <w:r w:rsidRPr="00771E6E">
        <w:rPr>
          <w:color w:val="000000" w:themeColor="text1"/>
        </w:rPr>
        <w:t xml:space="preserve">attributed to Raffaellino holds the music book closer to the viewer’s eye-level. </w:t>
      </w:r>
      <w:r w:rsidRPr="00771E6E">
        <w:rPr>
          <w:i/>
          <w:color w:val="000000" w:themeColor="text1"/>
        </w:rPr>
        <w:t>Tondi</w:t>
      </w:r>
      <w:r w:rsidRPr="00771E6E">
        <w:rPr>
          <w:color w:val="000000" w:themeColor="text1"/>
        </w:rPr>
        <w:t xml:space="preserve"> were usually placed above eye-level, as discussed earlier. In this specific case the intended viewing height is indicated by the gaze of the Virgin, which is directed downwards to her Child.</w:t>
      </w:r>
      <w:r w:rsidRPr="00771E6E">
        <w:rPr>
          <w:rStyle w:val="FootnoteReference"/>
        </w:rPr>
        <w:footnoteReference w:id="677"/>
      </w:r>
      <w:r w:rsidRPr="00771E6E">
        <w:rPr>
          <w:color w:val="000000" w:themeColor="text1"/>
        </w:rPr>
        <w:t xml:space="preserve"> This means that the music is placed at a height that would make the viewer’s inspection possible. Such straightforward and purposeful strategies to highlight angelic musicianship, which draw and focus the viewer’s attention, serve to construct the exemplary and guiding roles of the angels around their musical activities. This presents these specifically as the aspects of the angelic nature that are most obviously available, and most appropriate for imitation. Reflecting themselves in these devotional “mirrors,” youthful viewers could hardly help but see connections between the singing of these young, “human” angels, and their own experience of devotional music-making – which in some cases could even have been undertaken whilst dressed as angels in processional and theatrical contexts.</w:t>
      </w:r>
    </w:p>
    <w:p w14:paraId="00ACCDA2" w14:textId="77777777" w:rsidR="00094F64" w:rsidRPr="00771E6E" w:rsidRDefault="00094F64" w:rsidP="00094F64">
      <w:pPr>
        <w:ind w:firstLine="720"/>
        <w:rPr>
          <w:color w:val="000000" w:themeColor="text1"/>
        </w:rPr>
      </w:pPr>
      <w:r w:rsidRPr="00771E6E">
        <w:rPr>
          <w:color w:val="000000" w:themeColor="text1"/>
        </w:rPr>
        <w:lastRenderedPageBreak/>
        <w:t xml:space="preserve">As discussed in previous chapters, the use of images as </w:t>
      </w:r>
      <w:r w:rsidRPr="00771E6E">
        <w:rPr>
          <w:i/>
          <w:color w:val="000000" w:themeColor="text1"/>
        </w:rPr>
        <w:t xml:space="preserve">exempla </w:t>
      </w:r>
      <w:r w:rsidRPr="00771E6E">
        <w:rPr>
          <w:color w:val="000000" w:themeColor="text1"/>
        </w:rPr>
        <w:t xml:space="preserve">with a pedagogical purpose was a well-established practice, as children were considered to be highly impressionable and easily influenced by them. Furthermore, they were also accustomed to imitating musical angels through performance. Keeping this in mind, it is possible to read the musical angels in the </w:t>
      </w:r>
      <w:r w:rsidRPr="00771E6E">
        <w:rPr>
          <w:i/>
          <w:color w:val="000000" w:themeColor="text1"/>
        </w:rPr>
        <w:t>tondi</w:t>
      </w:r>
      <w:r w:rsidRPr="00771E6E">
        <w:rPr>
          <w:color w:val="000000" w:themeColor="text1"/>
        </w:rPr>
        <w:t xml:space="preserve"> discussed here as a dual pedagogical tool. On the one hand, the angels depicted directly communicate with the viewer, while on the other hand they tempt children to follow their example by effectively “teaching” them about the devotional importance of musical activity.</w:t>
      </w:r>
    </w:p>
    <w:p w14:paraId="00596F83" w14:textId="77777777" w:rsidR="00094F64" w:rsidRPr="00771E6E" w:rsidRDefault="00094F64" w:rsidP="00094F64">
      <w:pPr>
        <w:ind w:firstLine="720"/>
      </w:pPr>
      <w:r w:rsidRPr="00771E6E">
        <w:rPr>
          <w:color w:val="000000" w:themeColor="text1"/>
        </w:rPr>
        <w:t xml:space="preserve">Both Filippino and Raffaellino touched upon musical themes in other </w:t>
      </w:r>
      <w:r w:rsidRPr="00771E6E">
        <w:rPr>
          <w:i/>
          <w:color w:val="000000" w:themeColor="text1"/>
        </w:rPr>
        <w:t>tondi</w:t>
      </w:r>
      <w:r w:rsidRPr="00771E6E">
        <w:rPr>
          <w:color w:val="000000" w:themeColor="text1"/>
        </w:rPr>
        <w:t xml:space="preserve">. They refer to the </w:t>
      </w:r>
      <w:r w:rsidRPr="00771E6E">
        <w:rPr>
          <w:i/>
          <w:color w:val="000000" w:themeColor="text1"/>
        </w:rPr>
        <w:t>Magnificat</w:t>
      </w:r>
      <w:r w:rsidRPr="00771E6E">
        <w:rPr>
          <w:color w:val="000000" w:themeColor="text1"/>
        </w:rPr>
        <w:t xml:space="preserve"> respectively in the Cleveland </w:t>
      </w:r>
      <w:r w:rsidRPr="00771E6E">
        <w:rPr>
          <w:i/>
          <w:color w:val="000000" w:themeColor="text1"/>
        </w:rPr>
        <w:t>tondo</w:t>
      </w:r>
      <w:r w:rsidRPr="00771E6E">
        <w:rPr>
          <w:color w:val="000000" w:themeColor="text1"/>
        </w:rPr>
        <w:t xml:space="preserve"> (fig. 3.43) and in a </w:t>
      </w:r>
      <w:r w:rsidRPr="00771E6E">
        <w:rPr>
          <w:i/>
          <w:color w:val="000000" w:themeColor="text1"/>
        </w:rPr>
        <w:t xml:space="preserve">tondo </w:t>
      </w:r>
      <w:r w:rsidRPr="00771E6E">
        <w:rPr>
          <w:color w:val="000000" w:themeColor="text1"/>
        </w:rPr>
        <w:t xml:space="preserve">now in the Museo e </w:t>
      </w:r>
      <w:proofErr w:type="spellStart"/>
      <w:r w:rsidRPr="00771E6E">
        <w:rPr>
          <w:color w:val="000000" w:themeColor="text1"/>
        </w:rPr>
        <w:t>Gallerie</w:t>
      </w:r>
      <w:proofErr w:type="spellEnd"/>
      <w:r w:rsidRPr="00771E6E">
        <w:rPr>
          <w:color w:val="000000" w:themeColor="text1"/>
        </w:rPr>
        <w:t xml:space="preserve"> </w:t>
      </w:r>
      <w:proofErr w:type="spellStart"/>
      <w:r w:rsidRPr="00771E6E">
        <w:rPr>
          <w:color w:val="000000" w:themeColor="text1"/>
        </w:rPr>
        <w:t>Nazionali</w:t>
      </w:r>
      <w:proofErr w:type="spellEnd"/>
      <w:r w:rsidRPr="00771E6E">
        <w:rPr>
          <w:color w:val="000000" w:themeColor="text1"/>
        </w:rPr>
        <w:t xml:space="preserve"> di Capodimonte in Naples (fig. 3.44), although in these no angels are included in the scene. While </w:t>
      </w:r>
      <w:r w:rsidRPr="00771E6E">
        <w:t xml:space="preserve">the book in Filippino’s </w:t>
      </w:r>
      <w:r w:rsidRPr="00771E6E">
        <w:rPr>
          <w:i/>
        </w:rPr>
        <w:t>tondo</w:t>
      </w:r>
      <w:r w:rsidRPr="00771E6E">
        <w:t xml:space="preserve"> contains a reference to the sung or recited performance of the </w:t>
      </w:r>
      <w:r w:rsidRPr="00771E6E">
        <w:rPr>
          <w:i/>
        </w:rPr>
        <w:t>Magnificat</w:t>
      </w:r>
      <w:r w:rsidRPr="00771E6E">
        <w:t xml:space="preserve"> during Vespers through the word “</w:t>
      </w:r>
      <w:proofErr w:type="spellStart"/>
      <w:r w:rsidRPr="00771E6E">
        <w:t>Vesperi</w:t>
      </w:r>
      <w:proofErr w:type="spellEnd"/>
      <w:r w:rsidRPr="00771E6E">
        <w:t xml:space="preserve">”, which is one of the few legible words written upon it, the text in Raffaellino’s </w:t>
      </w:r>
      <w:r w:rsidRPr="00771E6E">
        <w:rPr>
          <w:i/>
        </w:rPr>
        <w:t>tondo</w:t>
      </w:r>
      <w:r w:rsidRPr="00771E6E">
        <w:t xml:space="preserve"> actually starts with the typical red capital letter M, so often found in Botticelli’s </w:t>
      </w:r>
      <w:r w:rsidRPr="00771E6E">
        <w:rPr>
          <w:i/>
        </w:rPr>
        <w:t>tondi</w:t>
      </w:r>
      <w:r w:rsidRPr="00771E6E">
        <w:t>. Both books in these works by Filippino and Raffaellino are depicted in a way that would allow the viewer to engage with their content.</w:t>
      </w:r>
      <w:r w:rsidRPr="00771E6E">
        <w:rPr>
          <w:rStyle w:val="FootnoteReference"/>
        </w:rPr>
        <w:footnoteReference w:id="678"/>
      </w:r>
      <w:r w:rsidRPr="00771E6E">
        <w:t xml:space="preserve"> In addition, Raffaellino produced another completely different </w:t>
      </w:r>
      <w:r w:rsidRPr="00771E6E">
        <w:rPr>
          <w:i/>
        </w:rPr>
        <w:t>tondo</w:t>
      </w:r>
      <w:r w:rsidRPr="00771E6E">
        <w:t>, now kept in Berlin, in which angels play musical instruments, which will be discussed in more detail later in this chapter.</w:t>
      </w:r>
    </w:p>
    <w:p w14:paraId="021795CA" w14:textId="77777777" w:rsidR="00094F64" w:rsidRPr="00771E6E" w:rsidRDefault="00094F64" w:rsidP="00094F64">
      <w:pPr>
        <w:ind w:firstLine="720"/>
      </w:pPr>
      <w:r w:rsidRPr="00771E6E">
        <w:t xml:space="preserve">Raffaello </w:t>
      </w:r>
      <w:proofErr w:type="spellStart"/>
      <w:r w:rsidRPr="00771E6E">
        <w:t>Botticini’s</w:t>
      </w:r>
      <w:proofErr w:type="spellEnd"/>
      <w:r w:rsidRPr="00771E6E">
        <w:t xml:space="preserve"> workshop is also known to have produced at least one </w:t>
      </w:r>
      <w:r w:rsidRPr="00771E6E">
        <w:rPr>
          <w:i/>
        </w:rPr>
        <w:t>tondo</w:t>
      </w:r>
      <w:r w:rsidRPr="00771E6E">
        <w:t xml:space="preserve"> that included musical notation. Roberta Olson has documented a surviving </w:t>
      </w:r>
      <w:r w:rsidRPr="00771E6E">
        <w:rPr>
          <w:i/>
        </w:rPr>
        <w:t>tondo</w:t>
      </w:r>
      <w:r w:rsidRPr="00771E6E">
        <w:t xml:space="preserve"> with the </w:t>
      </w:r>
      <w:r w:rsidRPr="00771E6E">
        <w:rPr>
          <w:i/>
          <w:color w:val="000000" w:themeColor="text1"/>
        </w:rPr>
        <w:t>Virgin and Child with the Young Saint John the Baptist and Angels</w:t>
      </w:r>
      <w:r w:rsidRPr="00771E6E">
        <w:rPr>
          <w:color w:val="000000" w:themeColor="text1"/>
        </w:rPr>
        <w:t xml:space="preserve"> produced by </w:t>
      </w:r>
      <w:proofErr w:type="spellStart"/>
      <w:r w:rsidRPr="00771E6E">
        <w:rPr>
          <w:color w:val="000000" w:themeColor="text1"/>
        </w:rPr>
        <w:t>Botticini’s</w:t>
      </w:r>
      <w:proofErr w:type="spellEnd"/>
      <w:r w:rsidRPr="00771E6E">
        <w:rPr>
          <w:color w:val="000000" w:themeColor="text1"/>
        </w:rPr>
        <w:t xml:space="preserve"> workshop, possibly with Giuliano </w:t>
      </w:r>
      <w:proofErr w:type="spellStart"/>
      <w:r w:rsidRPr="00771E6E">
        <w:rPr>
          <w:color w:val="000000" w:themeColor="text1"/>
        </w:rPr>
        <w:t>Bugiardini</w:t>
      </w:r>
      <w:proofErr w:type="spellEnd"/>
      <w:r w:rsidRPr="00771E6E">
        <w:rPr>
          <w:color w:val="000000" w:themeColor="text1"/>
        </w:rPr>
        <w:t>, in which the two angels flanking the Virgin and Child hold notated scrolls (fig. 3.45).</w:t>
      </w:r>
      <w:r w:rsidRPr="00771E6E">
        <w:rPr>
          <w:rStyle w:val="FootnoteReference"/>
        </w:rPr>
        <w:footnoteReference w:id="679"/>
      </w:r>
      <w:r w:rsidRPr="00771E6E">
        <w:rPr>
          <w:color w:val="000000" w:themeColor="text1"/>
        </w:rPr>
        <w:t xml:space="preserve"> Unfortunately, the current location of this </w:t>
      </w:r>
      <w:r w:rsidRPr="00771E6E">
        <w:rPr>
          <w:i/>
          <w:color w:val="000000" w:themeColor="text1"/>
        </w:rPr>
        <w:t>tondo</w:t>
      </w:r>
      <w:r w:rsidRPr="00771E6E">
        <w:rPr>
          <w:color w:val="000000" w:themeColor="text1"/>
        </w:rPr>
        <w:t xml:space="preserve"> is unknown and, as such, it has not been possible to </w:t>
      </w:r>
      <w:proofErr w:type="spellStart"/>
      <w:r w:rsidRPr="00771E6E">
        <w:rPr>
          <w:color w:val="000000" w:themeColor="text1"/>
        </w:rPr>
        <w:t>analyse</w:t>
      </w:r>
      <w:proofErr w:type="spellEnd"/>
      <w:r w:rsidRPr="00771E6E">
        <w:rPr>
          <w:color w:val="000000" w:themeColor="text1"/>
        </w:rPr>
        <w:t xml:space="preserve"> the musical notation more closely. In another example painted</w:t>
      </w:r>
      <w:r w:rsidRPr="00771E6E">
        <w:rPr>
          <w:i/>
          <w:color w:val="000000" w:themeColor="text1"/>
        </w:rPr>
        <w:t xml:space="preserve"> </w:t>
      </w:r>
      <w:r w:rsidRPr="00771E6E">
        <w:rPr>
          <w:color w:val="000000" w:themeColor="text1"/>
        </w:rPr>
        <w:t xml:space="preserve">by </w:t>
      </w:r>
      <w:proofErr w:type="spellStart"/>
      <w:r w:rsidRPr="00771E6E">
        <w:rPr>
          <w:color w:val="000000" w:themeColor="text1"/>
        </w:rPr>
        <w:t>Bugiardini</w:t>
      </w:r>
      <w:proofErr w:type="spellEnd"/>
      <w:r w:rsidRPr="00771E6E">
        <w:rPr>
          <w:color w:val="000000" w:themeColor="text1"/>
        </w:rPr>
        <w:t>, now in the San Diego Museum of Art, two angels are singing from a book on the left side, while two further angels are reading or singing from a sheet, but in this case it is difficult to discern whether the signs on the sheet are letters or musical notes.</w:t>
      </w:r>
    </w:p>
    <w:p w14:paraId="5DDA10E7" w14:textId="77777777" w:rsidR="00094F64" w:rsidRPr="00771E6E" w:rsidRDefault="00094F64" w:rsidP="00094F64">
      <w:pPr>
        <w:ind w:firstLine="720"/>
        <w:rPr>
          <w:color w:val="000000" w:themeColor="text1"/>
        </w:rPr>
      </w:pPr>
      <w:r w:rsidRPr="00771E6E">
        <w:t xml:space="preserve">These </w:t>
      </w:r>
      <w:r w:rsidRPr="00771E6E">
        <w:rPr>
          <w:color w:val="000000" w:themeColor="text1"/>
        </w:rPr>
        <w:t xml:space="preserve">were not the only artists in fifteenth-century Florence to include musical notation in their </w:t>
      </w:r>
      <w:r w:rsidRPr="00771E6E">
        <w:rPr>
          <w:i/>
          <w:color w:val="000000" w:themeColor="text1"/>
        </w:rPr>
        <w:t>tondi</w:t>
      </w:r>
      <w:r w:rsidRPr="00771E6E">
        <w:rPr>
          <w:color w:val="000000" w:themeColor="text1"/>
        </w:rPr>
        <w:t xml:space="preserve">. Another example that is worth noting is a </w:t>
      </w:r>
      <w:r w:rsidRPr="00771E6E">
        <w:rPr>
          <w:i/>
          <w:color w:val="000000" w:themeColor="text1"/>
        </w:rPr>
        <w:t>tondo</w:t>
      </w:r>
      <w:r w:rsidRPr="00771E6E">
        <w:rPr>
          <w:color w:val="000000" w:themeColor="text1"/>
        </w:rPr>
        <w:t xml:space="preserve"> by Piero di Cosimo, </w:t>
      </w:r>
      <w:r w:rsidRPr="00771E6E">
        <w:rPr>
          <w:color w:val="000000" w:themeColor="text1"/>
        </w:rPr>
        <w:lastRenderedPageBreak/>
        <w:t xml:space="preserve">currently in the Art Institute of Chicago (fig. 3.46). Here, restoration work has revealed musical notation in the book held by a young girl. In this </w:t>
      </w:r>
      <w:r w:rsidRPr="00771E6E">
        <w:rPr>
          <w:i/>
          <w:color w:val="000000" w:themeColor="text1"/>
        </w:rPr>
        <w:t>tondo</w:t>
      </w:r>
      <w:r w:rsidRPr="00771E6E">
        <w:rPr>
          <w:color w:val="000000" w:themeColor="text1"/>
        </w:rPr>
        <w:t>, the Virgin and Child are accompanied by the young Saint John the Baptist, two angels and a young female saint who has been identified as Saint Cecilia, patron of music.</w:t>
      </w:r>
      <w:r w:rsidRPr="00771E6E">
        <w:rPr>
          <w:rStyle w:val="FootnoteReference"/>
        </w:rPr>
        <w:footnoteReference w:id="680"/>
      </w:r>
      <w:r w:rsidRPr="00771E6E">
        <w:rPr>
          <w:color w:val="000000" w:themeColor="text1"/>
        </w:rPr>
        <w:t xml:space="preserve"> Along with the theme of angelic music designed to inspire young minds, this painting also seems to be intended to promote female domestic devotion, as Saint Cecilia is clearly depicted as a young girl from a wealthy family.</w:t>
      </w:r>
    </w:p>
    <w:p w14:paraId="11C749EF" w14:textId="77777777" w:rsidR="00094F64" w:rsidRPr="00771E6E" w:rsidRDefault="00094F64" w:rsidP="00094F64">
      <w:pPr>
        <w:ind w:firstLine="720"/>
      </w:pPr>
      <w:r w:rsidRPr="00771E6E">
        <w:rPr>
          <w:color w:val="000000" w:themeColor="text1"/>
        </w:rPr>
        <w:t xml:space="preserve">When considering all of these Florentine </w:t>
      </w:r>
      <w:r w:rsidRPr="00771E6E">
        <w:rPr>
          <w:i/>
          <w:color w:val="000000" w:themeColor="text1"/>
        </w:rPr>
        <w:t>tondi</w:t>
      </w:r>
      <w:r w:rsidRPr="00771E6E">
        <w:rPr>
          <w:color w:val="000000" w:themeColor="text1"/>
        </w:rPr>
        <w:t>, there is one particular recurring subject that is consistently accompanied by angels singing from book or scrolls. Perhaps unsurprisingly, this is the Nativity scene, presented by angels who are usually in the sky, and singing the hymn of praise “</w:t>
      </w:r>
      <w:r w:rsidRPr="00771E6E">
        <w:t>Gloria in excelsis Deo”</w:t>
      </w:r>
      <w:r w:rsidRPr="00771E6E">
        <w:rPr>
          <w:color w:val="000000" w:themeColor="text1"/>
        </w:rPr>
        <w:t>, as described in the Gospel of Luke. As seen in Chapter 2</w:t>
      </w:r>
      <w:r w:rsidR="0058275B" w:rsidRPr="00771E6E">
        <w:rPr>
          <w:color w:val="000000" w:themeColor="text1"/>
        </w:rPr>
        <w:t>.2</w:t>
      </w:r>
      <w:r w:rsidRPr="00771E6E">
        <w:t xml:space="preserve">, the words and notation of the </w:t>
      </w:r>
      <w:r w:rsidRPr="00771E6E">
        <w:rPr>
          <w:i/>
        </w:rPr>
        <w:t>Gloria</w:t>
      </w:r>
      <w:r w:rsidRPr="00771E6E">
        <w:t xml:space="preserve">, which was sung as part of the Latin Mass, often appear in works of art of various types, including panels and glazed terracotta works which were typical of the Della </w:t>
      </w:r>
      <w:proofErr w:type="spellStart"/>
      <w:r w:rsidRPr="00771E6E">
        <w:t>Robbias</w:t>
      </w:r>
      <w:proofErr w:type="spellEnd"/>
      <w:r w:rsidRPr="00771E6E">
        <w:t>’ workshop.</w:t>
      </w:r>
      <w:r w:rsidRPr="00771E6E">
        <w:rPr>
          <w:rStyle w:val="FootnoteReference"/>
        </w:rPr>
        <w:footnoteReference w:id="681"/>
      </w:r>
    </w:p>
    <w:p w14:paraId="256C0B66" w14:textId="77777777" w:rsidR="00094F64" w:rsidRPr="00771E6E" w:rsidRDefault="00094F64" w:rsidP="00094F64">
      <w:pPr>
        <w:ind w:firstLine="720"/>
        <w:rPr>
          <w:color w:val="000000" w:themeColor="text1"/>
        </w:rPr>
      </w:pPr>
      <w:r w:rsidRPr="00771E6E">
        <w:t xml:space="preserve">A </w:t>
      </w:r>
      <w:r w:rsidRPr="00771E6E">
        <w:rPr>
          <w:i/>
        </w:rPr>
        <w:t>tondo</w:t>
      </w:r>
      <w:r w:rsidRPr="00771E6E">
        <w:t xml:space="preserve"> with the </w:t>
      </w:r>
      <w:r w:rsidRPr="00771E6E">
        <w:rPr>
          <w:i/>
        </w:rPr>
        <w:t>Holy Family with the Young St John and a Choir of Angels</w:t>
      </w:r>
      <w:r w:rsidRPr="00771E6E">
        <w:t xml:space="preserve"> by the Master of the Borghese Tondo, the location of which is currently unknown, includes a scroll held horizontally by two flying angels with the words “Gloria in excelsis deo,” along with accurate musical notation associated with its plainchant setting (fig. 3.47).</w:t>
      </w:r>
      <w:r w:rsidRPr="00771E6E">
        <w:rPr>
          <w:rStyle w:val="FootnoteReference"/>
        </w:rPr>
        <w:footnoteReference w:id="682"/>
      </w:r>
      <w:r w:rsidRPr="00771E6E">
        <w:t xml:space="preserve"> A similar scroll is held by three singing angels in </w:t>
      </w:r>
      <w:proofErr w:type="spellStart"/>
      <w:r w:rsidRPr="00771E6E">
        <w:t>Mariotto</w:t>
      </w:r>
      <w:proofErr w:type="spellEnd"/>
      <w:r w:rsidRPr="00771E6E">
        <w:t xml:space="preserve"> </w:t>
      </w:r>
      <w:proofErr w:type="spellStart"/>
      <w:r w:rsidRPr="00771E6E">
        <w:t>Albertinelli’s</w:t>
      </w:r>
      <w:proofErr w:type="spellEnd"/>
      <w:r w:rsidRPr="00771E6E">
        <w:t xml:space="preserve"> </w:t>
      </w:r>
      <w:r w:rsidRPr="00771E6E">
        <w:rPr>
          <w:i/>
        </w:rPr>
        <w:t>Adoration</w:t>
      </w:r>
      <w:r w:rsidRPr="00771E6E">
        <w:t xml:space="preserve">, kept in the Galleria </w:t>
      </w:r>
      <w:proofErr w:type="spellStart"/>
      <w:r w:rsidRPr="00771E6E">
        <w:t>Palatina</w:t>
      </w:r>
      <w:proofErr w:type="spellEnd"/>
      <w:r w:rsidRPr="00771E6E">
        <w:t xml:space="preserve"> at Palazzo </w:t>
      </w:r>
      <w:proofErr w:type="spellStart"/>
      <w:r w:rsidRPr="00771E6E">
        <w:t>Pitti</w:t>
      </w:r>
      <w:proofErr w:type="spellEnd"/>
      <w:r w:rsidRPr="00771E6E">
        <w:t xml:space="preserve"> in Florence (fig. 3.48). Here, the words “[G]</w:t>
      </w:r>
      <w:proofErr w:type="spellStart"/>
      <w:r w:rsidRPr="00771E6E">
        <w:t>loria</w:t>
      </w:r>
      <w:proofErr w:type="spellEnd"/>
      <w:r w:rsidRPr="00771E6E">
        <w:t xml:space="preserve"> in </w:t>
      </w:r>
      <w:proofErr w:type="spellStart"/>
      <w:r w:rsidRPr="00771E6E">
        <w:t>eccelsis</w:t>
      </w:r>
      <w:proofErr w:type="spellEnd"/>
      <w:r w:rsidRPr="00771E6E">
        <w:t xml:space="preserve"> deo” appear in red letters at the bottom of the scroll, while the space above this is blank. This might suggest that the painter had left space for notation and for the capital initial letter G to be inserted but was never able to complete the painting. It is likely that the artist intended this scroll to appear similar to one outlined in a preparatory </w:t>
      </w:r>
      <w:r w:rsidRPr="00771E6E">
        <w:rPr>
          <w:color w:val="000000" w:themeColor="text1"/>
        </w:rPr>
        <w:t>study</w:t>
      </w:r>
      <w:r w:rsidRPr="00771E6E">
        <w:t xml:space="preserve">, now kept in the </w:t>
      </w:r>
      <w:proofErr w:type="spellStart"/>
      <w:r w:rsidRPr="00771E6E">
        <w:t>Gabinetto</w:t>
      </w:r>
      <w:proofErr w:type="spellEnd"/>
      <w:r w:rsidRPr="00771E6E">
        <w:t xml:space="preserve"> </w:t>
      </w:r>
      <w:proofErr w:type="spellStart"/>
      <w:r w:rsidRPr="00771E6E">
        <w:t>Disegni</w:t>
      </w:r>
      <w:proofErr w:type="spellEnd"/>
      <w:r w:rsidRPr="00771E6E">
        <w:t xml:space="preserve"> e </w:t>
      </w:r>
      <w:proofErr w:type="spellStart"/>
      <w:r w:rsidRPr="00771E6E">
        <w:t>Stampe</w:t>
      </w:r>
      <w:proofErr w:type="spellEnd"/>
      <w:r w:rsidRPr="00771E6E">
        <w:t xml:space="preserve"> of the Uffizi Gallery in Florence. In this pen drawing, the artist did include both the words and notation.</w:t>
      </w:r>
      <w:r w:rsidRPr="00771E6E">
        <w:rPr>
          <w:rStyle w:val="FootnoteReference"/>
        </w:rPr>
        <w:footnoteReference w:id="683"/>
      </w:r>
      <w:r w:rsidRPr="00771E6E">
        <w:t xml:space="preserve"> </w:t>
      </w:r>
      <w:r w:rsidRPr="00771E6E">
        <w:rPr>
          <w:color w:val="000000" w:themeColor="text1"/>
        </w:rPr>
        <w:t xml:space="preserve">The musical notation in both the Master of the Borghese Tondo and in </w:t>
      </w:r>
      <w:proofErr w:type="spellStart"/>
      <w:r w:rsidRPr="00771E6E">
        <w:rPr>
          <w:color w:val="000000" w:themeColor="text1"/>
        </w:rPr>
        <w:t>Mariotto’s</w:t>
      </w:r>
      <w:proofErr w:type="spellEnd"/>
      <w:r w:rsidRPr="00771E6E">
        <w:rPr>
          <w:color w:val="000000" w:themeColor="text1"/>
        </w:rPr>
        <w:t xml:space="preserve"> </w:t>
      </w:r>
      <w:r w:rsidRPr="00771E6E">
        <w:rPr>
          <w:i/>
          <w:color w:val="000000" w:themeColor="text1"/>
        </w:rPr>
        <w:t>tondi</w:t>
      </w:r>
      <w:r w:rsidRPr="00771E6E">
        <w:rPr>
          <w:color w:val="000000" w:themeColor="text1"/>
        </w:rPr>
        <w:t xml:space="preserve"> is identical to that found in the works discussed in Chapter 2.2 with regards to the </w:t>
      </w:r>
      <w:r w:rsidRPr="00771E6E">
        <w:rPr>
          <w:i/>
          <w:color w:val="000000" w:themeColor="text1"/>
        </w:rPr>
        <w:t>Gloria</w:t>
      </w:r>
      <w:r w:rsidRPr="00771E6E">
        <w:rPr>
          <w:color w:val="000000" w:themeColor="text1"/>
        </w:rPr>
        <w:t>.</w:t>
      </w:r>
    </w:p>
    <w:p w14:paraId="3CFE1D06" w14:textId="77777777" w:rsidR="00094F64" w:rsidRPr="00771E6E" w:rsidRDefault="00094F64" w:rsidP="00094F64">
      <w:pPr>
        <w:ind w:firstLine="720"/>
      </w:pPr>
      <w:r w:rsidRPr="00771E6E">
        <w:rPr>
          <w:color w:val="000000" w:themeColor="text1"/>
        </w:rPr>
        <w:lastRenderedPageBreak/>
        <w:t xml:space="preserve">Apart from painted </w:t>
      </w:r>
      <w:r w:rsidRPr="00771E6E">
        <w:rPr>
          <w:i/>
          <w:color w:val="000000" w:themeColor="text1"/>
        </w:rPr>
        <w:t>tondi</w:t>
      </w:r>
      <w:r w:rsidRPr="00771E6E">
        <w:rPr>
          <w:color w:val="000000" w:themeColor="text1"/>
        </w:rPr>
        <w:t xml:space="preserve">, other circular works of art in different media include only the words of the </w:t>
      </w:r>
      <w:r w:rsidRPr="00771E6E">
        <w:rPr>
          <w:i/>
          <w:color w:val="000000" w:themeColor="text1"/>
        </w:rPr>
        <w:t>Gloria</w:t>
      </w:r>
      <w:r w:rsidRPr="00771E6E">
        <w:rPr>
          <w:color w:val="000000" w:themeColor="text1"/>
        </w:rPr>
        <w:t xml:space="preserve">. </w:t>
      </w:r>
      <w:r w:rsidRPr="00771E6E">
        <w:t xml:space="preserve">In </w:t>
      </w:r>
      <w:r w:rsidRPr="00771E6E">
        <w:rPr>
          <w:color w:val="000000" w:themeColor="text1"/>
        </w:rPr>
        <w:t xml:space="preserve">a glazed terracotta </w:t>
      </w:r>
      <w:r w:rsidRPr="00771E6E">
        <w:t xml:space="preserve">by Luca </w:t>
      </w:r>
      <w:proofErr w:type="spellStart"/>
      <w:r w:rsidRPr="00771E6E">
        <w:t>della</w:t>
      </w:r>
      <w:proofErr w:type="spellEnd"/>
      <w:r w:rsidRPr="00771E6E">
        <w:t xml:space="preserve"> Robbia in the Philadelphia Museum of Art, known as the </w:t>
      </w:r>
      <w:proofErr w:type="spellStart"/>
      <w:r w:rsidRPr="00771E6E">
        <w:rPr>
          <w:i/>
        </w:rPr>
        <w:t>Foulc</w:t>
      </w:r>
      <w:proofErr w:type="spellEnd"/>
      <w:r w:rsidRPr="00771E6E">
        <w:rPr>
          <w:i/>
        </w:rPr>
        <w:t xml:space="preserve"> Adoration</w:t>
      </w:r>
      <w:r w:rsidRPr="00771E6E">
        <w:t xml:space="preserve"> (fig. 3.49), one of the four angels depicted holds a thin scroll showing the </w:t>
      </w:r>
      <w:r w:rsidRPr="00771E6E">
        <w:rPr>
          <w:i/>
        </w:rPr>
        <w:t>Gloria</w:t>
      </w:r>
      <w:r w:rsidRPr="00771E6E">
        <w:t xml:space="preserve"> with one hand, while letting the other end flap towards the figure of the Infant Christ.</w:t>
      </w:r>
      <w:r w:rsidRPr="00771E6E">
        <w:rPr>
          <w:rStyle w:val="FootnoteReference"/>
        </w:rPr>
        <w:footnoteReference w:id="684"/>
      </w:r>
      <w:r w:rsidRPr="00771E6E">
        <w:t xml:space="preserve"> In another example, a small circular niello print with the </w:t>
      </w:r>
      <w:r w:rsidRPr="00771E6E">
        <w:rPr>
          <w:i/>
        </w:rPr>
        <w:t>Nativity</w:t>
      </w:r>
      <w:r w:rsidRPr="00771E6E">
        <w:t xml:space="preserve"> by an anonymous artist shows a long scroll with the words “Gloria in excelsis deo” that wraps around the angels. A second scroll swirls its way downwards from a corner where an angel is announcing the birth of Christ to the shepherds, this time inscribed with the words “</w:t>
      </w:r>
      <w:proofErr w:type="spellStart"/>
      <w:r w:rsidRPr="00771E6E">
        <w:t>evangelizo</w:t>
      </w:r>
      <w:proofErr w:type="spellEnd"/>
      <w:r w:rsidRPr="00771E6E">
        <w:t xml:space="preserve"> vobis </w:t>
      </w:r>
      <w:proofErr w:type="spellStart"/>
      <w:r w:rsidRPr="00771E6E">
        <w:t>gaudium</w:t>
      </w:r>
      <w:proofErr w:type="spellEnd"/>
      <w:r w:rsidRPr="00771E6E">
        <w:t xml:space="preserve"> magnum” (fig, 3.50). In both scrolls, the words appear reversed, as they are the negative of their printing plate. </w:t>
      </w:r>
    </w:p>
    <w:p w14:paraId="7BAC4844" w14:textId="77777777" w:rsidR="00094F64" w:rsidRPr="00771E6E" w:rsidRDefault="00094F64" w:rsidP="00094F64">
      <w:pPr>
        <w:ind w:firstLine="720"/>
      </w:pPr>
      <w:r w:rsidRPr="00771E6E">
        <w:rPr>
          <w:i/>
        </w:rPr>
        <w:t>Gloria</w:t>
      </w:r>
      <w:r w:rsidRPr="00771E6E">
        <w:t xml:space="preserve"> angels could also appear as an independent subject, rather than being an auxiliary element in Nativity scenes. A maiolica dish produced around 1490 in Faenza kept at the </w:t>
      </w:r>
      <w:proofErr w:type="spellStart"/>
      <w:r w:rsidRPr="00771E6E">
        <w:t>Musée</w:t>
      </w:r>
      <w:proofErr w:type="spellEnd"/>
      <w:r w:rsidRPr="00771E6E">
        <w:t xml:space="preserve"> du Louvre in Paris is decorated with three standing angels, who hold a scroll with the words “Gloria in </w:t>
      </w:r>
      <w:proofErr w:type="spellStart"/>
      <w:r w:rsidRPr="00771E6E">
        <w:t>acellis</w:t>
      </w:r>
      <w:proofErr w:type="spellEnd"/>
      <w:r w:rsidRPr="00771E6E">
        <w:t xml:space="preserve"> deo” [sic], a slight misspelling of the incipit of the</w:t>
      </w:r>
      <w:r w:rsidRPr="00771E6E">
        <w:rPr>
          <w:i/>
        </w:rPr>
        <w:t xml:space="preserve"> Gloria</w:t>
      </w:r>
      <w:r w:rsidRPr="00771E6E">
        <w:t xml:space="preserve"> (fig. 3.51). These angels, even though they have been removed from the context in which they originated, still convey their devotional message, looking outwards in order to communicate directly with the viewer. </w:t>
      </w:r>
    </w:p>
    <w:p w14:paraId="1B5D57C9" w14:textId="77777777" w:rsidR="00094F64" w:rsidRPr="00771E6E" w:rsidRDefault="00094F64" w:rsidP="00094F64">
      <w:pPr>
        <w:ind w:firstLine="720"/>
      </w:pPr>
      <w:r w:rsidRPr="00771E6E">
        <w:t xml:space="preserve">Based on this, and considering the frequency with which the words and the musical notation of the </w:t>
      </w:r>
      <w:r w:rsidRPr="00771E6E">
        <w:rPr>
          <w:i/>
        </w:rPr>
        <w:t>Gloria</w:t>
      </w:r>
      <w:r w:rsidRPr="00771E6E">
        <w:t xml:space="preserve"> also appear in non-circular art, it seems likely that a large number of the Nativity scenes depicted in </w:t>
      </w:r>
      <w:r w:rsidRPr="00771E6E">
        <w:rPr>
          <w:i/>
        </w:rPr>
        <w:t>tondi</w:t>
      </w:r>
      <w:r w:rsidRPr="00771E6E">
        <w:t xml:space="preserve"> that have not survived would also have included some musical angels chanting the </w:t>
      </w:r>
      <w:r w:rsidRPr="00771E6E">
        <w:rPr>
          <w:i/>
        </w:rPr>
        <w:t>Gloria</w:t>
      </w:r>
      <w:r w:rsidRPr="00771E6E">
        <w:t xml:space="preserve">. Furthermore, the link between the scene of the birth of Christ and angelic music was so apparent that viewers would likely have been able to make that connection even in those cases when the music did not explicitly appear. The </w:t>
      </w:r>
      <w:r w:rsidRPr="00771E6E">
        <w:rPr>
          <w:i/>
        </w:rPr>
        <w:t xml:space="preserve">Gloria </w:t>
      </w:r>
      <w:r w:rsidRPr="00771E6E">
        <w:t xml:space="preserve">seems indeed to be implicit in Piero di </w:t>
      </w:r>
      <w:proofErr w:type="spellStart"/>
      <w:r w:rsidRPr="00771E6E">
        <w:t>Cosimo’s</w:t>
      </w:r>
      <w:proofErr w:type="spellEnd"/>
      <w:r w:rsidRPr="00771E6E">
        <w:t xml:space="preserve"> </w:t>
      </w:r>
      <w:r w:rsidRPr="00771E6E">
        <w:rPr>
          <w:i/>
        </w:rPr>
        <w:t>tondo</w:t>
      </w:r>
      <w:r w:rsidRPr="00771E6E">
        <w:t xml:space="preserve"> with the </w:t>
      </w:r>
      <w:r w:rsidRPr="00771E6E">
        <w:rPr>
          <w:i/>
        </w:rPr>
        <w:t>Holy Family with the young St John the Baptist and angels</w:t>
      </w:r>
      <w:r w:rsidRPr="00771E6E">
        <w:t xml:space="preserve"> in the </w:t>
      </w:r>
      <w:proofErr w:type="spellStart"/>
      <w:r w:rsidRPr="00771E6E">
        <w:t>Gemäldegalerie</w:t>
      </w:r>
      <w:proofErr w:type="spellEnd"/>
      <w:r w:rsidRPr="00771E6E">
        <w:t xml:space="preserve"> in Dresden (fig. 3.52). In this, two angels are sitting on the top of a rock, positioned above the Holy Family, and are singing from a book, leaving little doubt as to what their song might be.</w:t>
      </w:r>
      <w:r w:rsidRPr="00771E6E">
        <w:rPr>
          <w:rStyle w:val="FootnoteReference"/>
        </w:rPr>
        <w:footnoteReference w:id="685"/>
      </w:r>
    </w:p>
    <w:p w14:paraId="66FD6FE4" w14:textId="77777777" w:rsidR="00094F64" w:rsidRPr="00771E6E" w:rsidRDefault="00094F64" w:rsidP="00094F64">
      <w:pPr>
        <w:ind w:firstLine="720"/>
      </w:pPr>
      <w:r w:rsidRPr="00771E6E">
        <w:t xml:space="preserve"> The link between paintings with the Nativity scene and the music of the </w:t>
      </w:r>
      <w:r w:rsidRPr="00771E6E">
        <w:rPr>
          <w:i/>
        </w:rPr>
        <w:t>Gloria</w:t>
      </w:r>
      <w:r w:rsidRPr="00771E6E">
        <w:t xml:space="preserve"> would have been strengthened by the number of sacred plays on the theme of the Nativity that took place from the end of the fourteenth until the sixteenth century, most of which would have included a musical element. In a </w:t>
      </w:r>
      <w:r w:rsidRPr="00771E6E">
        <w:rPr>
          <w:i/>
        </w:rPr>
        <w:t xml:space="preserve">Rappresentazione </w:t>
      </w:r>
      <w:proofErr w:type="spellStart"/>
      <w:r w:rsidRPr="00771E6E">
        <w:rPr>
          <w:i/>
        </w:rPr>
        <w:t>della</w:t>
      </w:r>
      <w:proofErr w:type="spellEnd"/>
      <w:r w:rsidRPr="00771E6E">
        <w:rPr>
          <w:i/>
        </w:rPr>
        <w:t xml:space="preserve"> Natività di Cristo</w:t>
      </w:r>
      <w:r w:rsidRPr="00771E6E">
        <w:t>,</w:t>
      </w:r>
      <w:r w:rsidRPr="00771E6E">
        <w:rPr>
          <w:i/>
        </w:rPr>
        <w:t xml:space="preserve"> </w:t>
      </w:r>
      <w:r w:rsidRPr="00771E6E">
        <w:lastRenderedPageBreak/>
        <w:t xml:space="preserve">probably from the late fifteenth century, the angels in the manger sing a </w:t>
      </w:r>
      <w:r w:rsidRPr="00771E6E">
        <w:rPr>
          <w:i/>
        </w:rPr>
        <w:t>lauda</w:t>
      </w:r>
      <w:r w:rsidRPr="00771E6E">
        <w:t xml:space="preserve"> written by the </w:t>
      </w:r>
      <w:proofErr w:type="spellStart"/>
      <w:r w:rsidRPr="00771E6E">
        <w:t>Jesuate</w:t>
      </w:r>
      <w:proofErr w:type="spellEnd"/>
      <w:r w:rsidRPr="00771E6E">
        <w:t xml:space="preserve"> Don Antonio da Siena:</w:t>
      </w:r>
    </w:p>
    <w:p w14:paraId="23BA6EAC" w14:textId="77777777" w:rsidR="00094F64" w:rsidRPr="00771E6E" w:rsidRDefault="00094F64" w:rsidP="00094F64">
      <w:pPr>
        <w:ind w:firstLine="720"/>
      </w:pPr>
    </w:p>
    <w:p w14:paraId="42348517" w14:textId="77777777" w:rsidR="00094F64" w:rsidRPr="00771E6E" w:rsidRDefault="00094F64" w:rsidP="00094F64">
      <w:pPr>
        <w:pStyle w:val="IntenseQuote"/>
      </w:pPr>
      <w:r w:rsidRPr="00771E6E">
        <w:t xml:space="preserve">With rejoicing hearts/ we praise Jesus, redeemer of the </w:t>
      </w:r>
      <w:proofErr w:type="gramStart"/>
      <w:r w:rsidRPr="00771E6E">
        <w:t>world./</w:t>
      </w:r>
      <w:proofErr w:type="gramEnd"/>
      <w:r w:rsidRPr="00771E6E">
        <w:t xml:space="preserve"> Glory be in Heaven to the high majesty/ [and] perfect and true peace on Earth/ to people of goodwill … We glorify you, giving thanks/ for your great and infinite Glory … You are king of all glory/ omnipotent, eternal creator.</w:t>
      </w:r>
      <w:r w:rsidRPr="00771E6E">
        <w:rPr>
          <w:rStyle w:val="FootnoteReference"/>
        </w:rPr>
        <w:footnoteReference w:id="686"/>
      </w:r>
    </w:p>
    <w:p w14:paraId="73E29D91" w14:textId="77777777" w:rsidR="00094F64" w:rsidRPr="00771E6E" w:rsidRDefault="00094F64" w:rsidP="00094F64"/>
    <w:p w14:paraId="57C3B830" w14:textId="77777777" w:rsidR="00094F64" w:rsidRPr="00771E6E" w:rsidRDefault="00094F64" w:rsidP="00094F64">
      <w:r w:rsidRPr="00771E6E">
        <w:t xml:space="preserve">This would have helped children, who usually played the role of angels in sacred plays, to identify themselves with the young angels that are seen singing the </w:t>
      </w:r>
      <w:r w:rsidRPr="00771E6E">
        <w:rPr>
          <w:i/>
        </w:rPr>
        <w:t>Gloria</w:t>
      </w:r>
      <w:r w:rsidRPr="00771E6E">
        <w:t xml:space="preserve"> in these </w:t>
      </w:r>
      <w:r w:rsidRPr="00771E6E">
        <w:rPr>
          <w:i/>
        </w:rPr>
        <w:t>tondi</w:t>
      </w:r>
      <w:r w:rsidRPr="00771E6E">
        <w:t>.</w:t>
      </w:r>
    </w:p>
    <w:p w14:paraId="0A7DF4AA" w14:textId="77777777" w:rsidR="00094F64" w:rsidRPr="00771E6E" w:rsidRDefault="00094F64" w:rsidP="00094F64">
      <w:pPr>
        <w:ind w:firstLine="720"/>
      </w:pPr>
      <w:r w:rsidRPr="00771E6E">
        <w:t xml:space="preserve">From studying the examples in this section, it is apparent that musical notation would have usually been located in a prominent position, designed to catch the viewer’s attention. Either written on scrolls or on books, musical notation was placed in the lowest section of the </w:t>
      </w:r>
      <w:r w:rsidRPr="00771E6E">
        <w:rPr>
          <w:i/>
        </w:rPr>
        <w:t>tondi</w:t>
      </w:r>
      <w:r w:rsidRPr="00771E6E">
        <w:t>, allowing for closer inspection, or depicted on a horizontal scroll above the scene, much like a title. In either case, notation in</w:t>
      </w:r>
      <w:r w:rsidRPr="00771E6E">
        <w:rPr>
          <w:i/>
        </w:rPr>
        <w:t xml:space="preserve"> tondi</w:t>
      </w:r>
      <w:r w:rsidRPr="00771E6E">
        <w:t xml:space="preserve"> is usually connected to childlike musical angels, and this would have served to make these characters particularly compelling to younger viewers. Considering the various moralistic connotations of music and musical practice discussed in previous chapters, these musical elements, in association with relatable angelic figures, suggest that these were carefully placed and considered to help provide children with virtuous exempla within their day-to-day environment.</w:t>
      </w:r>
    </w:p>
    <w:p w14:paraId="1D1FCE77" w14:textId="77777777" w:rsidR="00094F64" w:rsidRPr="00771E6E" w:rsidRDefault="00094F64" w:rsidP="00094F64">
      <w:pPr>
        <w:ind w:firstLine="720"/>
      </w:pPr>
    </w:p>
    <w:p w14:paraId="68406140" w14:textId="77777777" w:rsidR="00094F64" w:rsidRPr="00771E6E" w:rsidRDefault="00094F64" w:rsidP="00094F64">
      <w:pPr>
        <w:ind w:firstLine="720"/>
        <w:jc w:val="both"/>
        <w:rPr>
          <w:color w:val="000000" w:themeColor="text1"/>
          <w:lang w:val="it-IT"/>
        </w:rPr>
      </w:pPr>
    </w:p>
    <w:p w14:paraId="08DFD308" w14:textId="77777777" w:rsidR="00094F64" w:rsidRPr="00771E6E" w:rsidRDefault="00094F64" w:rsidP="00094F64">
      <w:pPr>
        <w:pStyle w:val="Subchapter"/>
      </w:pPr>
      <w:bookmarkStart w:id="70" w:name="_Toc4323762"/>
      <w:bookmarkStart w:id="71" w:name="_Toc20167614"/>
      <w:r w:rsidRPr="00771E6E">
        <w:t>3.3 Tondi with Angels Playing Musical Instruments</w:t>
      </w:r>
      <w:bookmarkEnd w:id="70"/>
      <w:bookmarkEnd w:id="71"/>
    </w:p>
    <w:p w14:paraId="0DAF9A46" w14:textId="77777777" w:rsidR="00094F64" w:rsidRPr="00771E6E" w:rsidRDefault="00094F64" w:rsidP="00094F64"/>
    <w:p w14:paraId="24BE2408" w14:textId="77777777" w:rsidR="00094F64" w:rsidRPr="00771E6E" w:rsidRDefault="00094F64" w:rsidP="00094F64">
      <w:r w:rsidRPr="00771E6E">
        <w:t xml:space="preserve">Having discussed the presence of music in </w:t>
      </w:r>
      <w:r w:rsidRPr="00771E6E">
        <w:rPr>
          <w:i/>
        </w:rPr>
        <w:t xml:space="preserve">tondi </w:t>
      </w:r>
      <w:r w:rsidRPr="00771E6E">
        <w:t xml:space="preserve">in the form of both singing and written musical notation, it remains to </w:t>
      </w:r>
      <w:proofErr w:type="spellStart"/>
      <w:r w:rsidRPr="00771E6E">
        <w:t>analyse</w:t>
      </w:r>
      <w:proofErr w:type="spellEnd"/>
      <w:r w:rsidRPr="00771E6E">
        <w:t xml:space="preserve"> another category of paintings with a musical subject: the </w:t>
      </w:r>
      <w:r w:rsidRPr="00771E6E">
        <w:rPr>
          <w:i/>
        </w:rPr>
        <w:t>tondi</w:t>
      </w:r>
      <w:r w:rsidRPr="00771E6E">
        <w:t xml:space="preserve"> which include young angels in the act of playing musical instruments. Among the musical instruments found in </w:t>
      </w:r>
      <w:r w:rsidRPr="00771E6E">
        <w:rPr>
          <w:i/>
        </w:rPr>
        <w:t>tondi</w:t>
      </w:r>
      <w:r w:rsidRPr="00771E6E">
        <w:t xml:space="preserve">, the lute seems to have been the most popular, followed by other stringed instruments such as the </w:t>
      </w:r>
      <w:proofErr w:type="spellStart"/>
      <w:r w:rsidRPr="00771E6E">
        <w:t>viella</w:t>
      </w:r>
      <w:proofErr w:type="spellEnd"/>
      <w:r w:rsidRPr="00771E6E">
        <w:t xml:space="preserve"> or </w:t>
      </w:r>
      <w:r w:rsidRPr="00771E6E">
        <w:rPr>
          <w:i/>
        </w:rPr>
        <w:t>lira da braccio</w:t>
      </w:r>
      <w:r w:rsidRPr="00771E6E">
        <w:t xml:space="preserve"> and the rebec. Wind instruments are also present, although in smaller numbers. Thus far, I have </w:t>
      </w:r>
      <w:r w:rsidRPr="00771E6E">
        <w:lastRenderedPageBreak/>
        <w:t xml:space="preserve">not found any </w:t>
      </w:r>
      <w:r w:rsidRPr="00771E6E">
        <w:rPr>
          <w:i/>
        </w:rPr>
        <w:t>tondo</w:t>
      </w:r>
      <w:r w:rsidRPr="00771E6E">
        <w:t xml:space="preserve"> showing percussion instruments of any kind, which, on the contrary, certainly were present on the reverse of a number of </w:t>
      </w:r>
      <w:r w:rsidRPr="00771E6E">
        <w:rPr>
          <w:i/>
        </w:rPr>
        <w:t>deschi da parto</w:t>
      </w:r>
      <w:r w:rsidRPr="00771E6E">
        <w:t>, as noted above</w:t>
      </w:r>
      <w:r w:rsidRPr="00771E6E">
        <w:rPr>
          <w:i/>
        </w:rPr>
        <w:t>.</w:t>
      </w:r>
    </w:p>
    <w:p w14:paraId="2D790E04" w14:textId="77777777" w:rsidR="00094F64" w:rsidRPr="00771E6E" w:rsidRDefault="00094F64" w:rsidP="00094F64">
      <w:r w:rsidRPr="00771E6E">
        <w:tab/>
        <w:t>In most cases, the angelic musicians</w:t>
      </w:r>
      <w:r w:rsidRPr="00771E6E">
        <w:rPr>
          <w:i/>
        </w:rPr>
        <w:t xml:space="preserve"> </w:t>
      </w:r>
      <w:r w:rsidRPr="00771E6E">
        <w:t xml:space="preserve">included in these </w:t>
      </w:r>
      <w:r w:rsidRPr="00771E6E">
        <w:rPr>
          <w:i/>
        </w:rPr>
        <w:t>tondi</w:t>
      </w:r>
      <w:r w:rsidRPr="00771E6E">
        <w:t xml:space="preserve"> are depicted in the lowest section of the composition, distributed to either side of the Virgin and Child. Their number is usually smaller than that of the singing angels discussed above, being either a single angel or a pair.</w:t>
      </w:r>
    </w:p>
    <w:p w14:paraId="181B7165" w14:textId="77777777" w:rsidR="00094F64" w:rsidRPr="00771E6E" w:rsidRDefault="00094F64" w:rsidP="00094F64">
      <w:pPr>
        <w:ind w:firstLine="720"/>
      </w:pPr>
      <w:r w:rsidRPr="00771E6E">
        <w:t xml:space="preserve">As seen above, these </w:t>
      </w:r>
      <w:r w:rsidRPr="00771E6E">
        <w:rPr>
          <w:i/>
        </w:rPr>
        <w:t>tondi</w:t>
      </w:r>
      <w:r w:rsidRPr="00771E6E">
        <w:t xml:space="preserve"> were also made by painters who produced work destined for domestic environments, such as Piero di Cosimo, who produced a very large number of such paintings. As Vasari notes: “[He] made many pictures for many citizens in Florence, scattered among their houses, and I have seen a number of these which were very good.”</w:t>
      </w:r>
      <w:r w:rsidRPr="00771E6E">
        <w:rPr>
          <w:rStyle w:val="FootnoteReference"/>
        </w:rPr>
        <w:t xml:space="preserve"> </w:t>
      </w:r>
      <w:r w:rsidRPr="00771E6E">
        <w:rPr>
          <w:rStyle w:val="FootnoteReference"/>
        </w:rPr>
        <w:footnoteReference w:id="687"/>
      </w:r>
      <w:r w:rsidRPr="00771E6E">
        <w:t xml:space="preserve"> Of several </w:t>
      </w:r>
      <w:r w:rsidRPr="00771E6E">
        <w:rPr>
          <w:i/>
        </w:rPr>
        <w:t>tondi</w:t>
      </w:r>
      <w:r w:rsidRPr="00771E6E">
        <w:t xml:space="preserve"> attributed to him that have survived, a number comprise angels playing musical instruments. In a </w:t>
      </w:r>
      <w:r w:rsidRPr="00771E6E">
        <w:rPr>
          <w:i/>
        </w:rPr>
        <w:t>tondo</w:t>
      </w:r>
      <w:r w:rsidRPr="00771E6E">
        <w:t xml:space="preserve"> produced around 1500, now kept in the Galleria Moretti in Florence, the Virgin is sitting on a rock, holding the Child who is playing with a little goldfinch, which is a symbol of the Passion (fig. 3.53).</w:t>
      </w:r>
      <w:r w:rsidRPr="00771E6E">
        <w:rPr>
          <w:rStyle w:val="FootnoteReference"/>
        </w:rPr>
        <w:footnoteReference w:id="688"/>
      </w:r>
      <w:r w:rsidRPr="00771E6E">
        <w:t xml:space="preserve"> Two angels on the left, one of which is seen from his back, are singing from a book, while a third angel on the right is depicted in profile playing a lute. This kneeling angel, who rotates his head to meet the viewers’ gaze, acting as a </w:t>
      </w:r>
      <w:proofErr w:type="spellStart"/>
      <w:r w:rsidRPr="00771E6E">
        <w:rPr>
          <w:i/>
        </w:rPr>
        <w:t>festaiuolo</w:t>
      </w:r>
      <w:proofErr w:type="spellEnd"/>
      <w:r w:rsidRPr="00771E6E">
        <w:t>, might be reminiscent of the music-making children who participated in</w:t>
      </w:r>
      <w:r w:rsidRPr="00771E6E">
        <w:rPr>
          <w:color w:val="000000" w:themeColor="text1"/>
        </w:rPr>
        <w:t xml:space="preserve"> </w:t>
      </w:r>
      <w:proofErr w:type="spellStart"/>
      <w:r w:rsidRPr="00771E6E">
        <w:rPr>
          <w:i/>
          <w:color w:val="000000" w:themeColor="text1"/>
        </w:rPr>
        <w:t>sacre</w:t>
      </w:r>
      <w:proofErr w:type="spellEnd"/>
      <w:r w:rsidRPr="00771E6E">
        <w:rPr>
          <w:i/>
          <w:color w:val="000000" w:themeColor="text1"/>
        </w:rPr>
        <w:t xml:space="preserve"> </w:t>
      </w:r>
      <w:proofErr w:type="spellStart"/>
      <w:r w:rsidRPr="00771E6E">
        <w:rPr>
          <w:i/>
          <w:color w:val="000000" w:themeColor="text1"/>
        </w:rPr>
        <w:t>rappresentazioni</w:t>
      </w:r>
      <w:proofErr w:type="spellEnd"/>
      <w:r w:rsidRPr="00771E6E">
        <w:rPr>
          <w:color w:val="000000" w:themeColor="text1"/>
        </w:rPr>
        <w:t xml:space="preserve">. It is known that Piero di Cosimo was himself involved in the preparation of </w:t>
      </w:r>
      <w:proofErr w:type="spellStart"/>
      <w:r w:rsidRPr="00771E6E">
        <w:rPr>
          <w:i/>
          <w:color w:val="000000" w:themeColor="text1"/>
        </w:rPr>
        <w:t>feste</w:t>
      </w:r>
      <w:proofErr w:type="spellEnd"/>
      <w:r w:rsidRPr="00771E6E">
        <w:rPr>
          <w:i/>
          <w:color w:val="000000" w:themeColor="text1"/>
        </w:rPr>
        <w:t xml:space="preserve"> </w:t>
      </w:r>
      <w:r w:rsidRPr="00771E6E">
        <w:rPr>
          <w:color w:val="000000" w:themeColor="text1"/>
        </w:rPr>
        <w:t>and was likely inspired by the scene that he witnessed.</w:t>
      </w:r>
      <w:r w:rsidRPr="00771E6E">
        <w:rPr>
          <w:rStyle w:val="FootnoteReference"/>
        </w:rPr>
        <w:footnoteReference w:id="689"/>
      </w:r>
    </w:p>
    <w:p w14:paraId="6FD9DD2C" w14:textId="77777777" w:rsidR="00094F64" w:rsidRPr="00771E6E" w:rsidRDefault="00094F64" w:rsidP="00094F64">
      <w:pPr>
        <w:ind w:firstLine="720"/>
        <w:rPr>
          <w:color w:val="000000" w:themeColor="text1"/>
        </w:rPr>
      </w:pPr>
      <w:r w:rsidRPr="00771E6E">
        <w:rPr>
          <w:color w:val="000000" w:themeColor="text1"/>
        </w:rPr>
        <w:t xml:space="preserve">Two almost identical </w:t>
      </w:r>
      <w:r w:rsidRPr="00771E6E">
        <w:rPr>
          <w:i/>
          <w:color w:val="000000" w:themeColor="text1"/>
        </w:rPr>
        <w:t>tondi</w:t>
      </w:r>
      <w:r w:rsidRPr="00771E6E">
        <w:rPr>
          <w:color w:val="000000" w:themeColor="text1"/>
        </w:rPr>
        <w:t xml:space="preserve"> with the </w:t>
      </w:r>
      <w:r w:rsidRPr="00771E6E">
        <w:rPr>
          <w:i/>
          <w:color w:val="000000" w:themeColor="text1"/>
        </w:rPr>
        <w:t>Adoration of the Child</w:t>
      </w:r>
      <w:r w:rsidRPr="00771E6E">
        <w:rPr>
          <w:color w:val="000000" w:themeColor="text1"/>
        </w:rPr>
        <w:t xml:space="preserve"> were also produced by Piero in the early sixteenth century, now in the Galleria Borghese in Rome and in the Hermitage Museum (figs. 3.54-3.55).</w:t>
      </w:r>
      <w:r w:rsidRPr="00771E6E">
        <w:rPr>
          <w:rStyle w:val="FootnoteReference"/>
        </w:rPr>
        <w:footnoteReference w:id="690"/>
      </w:r>
      <w:r w:rsidRPr="00771E6E">
        <w:rPr>
          <w:color w:val="000000" w:themeColor="text1"/>
        </w:rPr>
        <w:t xml:space="preserve"> Kristina Hermann Fiore has noted how the painter demonstrated his creativity in this painting, in which the scene of the Nativity in the manger is depicted in an innovative way.</w:t>
      </w:r>
      <w:r w:rsidRPr="00771E6E">
        <w:rPr>
          <w:rStyle w:val="FootnoteReference"/>
        </w:rPr>
        <w:footnoteReference w:id="691"/>
      </w:r>
      <w:r w:rsidRPr="00771E6E">
        <w:rPr>
          <w:color w:val="000000" w:themeColor="text1"/>
        </w:rPr>
        <w:t xml:space="preserve"> The Virgin and the young Saint John the Baptist kneel in adoration on the left side, while the Infant Christ is sitting on a cloth, </w:t>
      </w:r>
      <w:r w:rsidRPr="00771E6E">
        <w:rPr>
          <w:color w:val="000000" w:themeColor="text1"/>
        </w:rPr>
        <w:lastRenderedPageBreak/>
        <w:t xml:space="preserve">resting his back against a sack and holding a cross made of reeds. The cross and the transparent veil that covers the Child refer to his Passion, while the golden star on the Virgin’s mantle reminds the viewer that she is the “Star of the Sea,” adding a further musical element to the painting, as discussed previously for Botticelli’s </w:t>
      </w:r>
      <w:proofErr w:type="spellStart"/>
      <w:r w:rsidRPr="00771E6E">
        <w:rPr>
          <w:i/>
          <w:color w:val="000000" w:themeColor="text1"/>
        </w:rPr>
        <w:t>Raczyinski</w:t>
      </w:r>
      <w:proofErr w:type="spellEnd"/>
      <w:r w:rsidRPr="00771E6E">
        <w:rPr>
          <w:i/>
          <w:color w:val="000000" w:themeColor="text1"/>
        </w:rPr>
        <w:t xml:space="preserve"> Tondo</w:t>
      </w:r>
      <w:r w:rsidRPr="00771E6E">
        <w:rPr>
          <w:color w:val="000000" w:themeColor="text1"/>
        </w:rPr>
        <w:t xml:space="preserve">. A door in the </w:t>
      </w:r>
      <w:proofErr w:type="spellStart"/>
      <w:r w:rsidRPr="00771E6E">
        <w:rPr>
          <w:color w:val="000000" w:themeColor="text1"/>
        </w:rPr>
        <w:t>centre</w:t>
      </w:r>
      <w:proofErr w:type="spellEnd"/>
      <w:r w:rsidRPr="00771E6E">
        <w:rPr>
          <w:color w:val="000000" w:themeColor="text1"/>
        </w:rPr>
        <w:t xml:space="preserve"> of the scene reveals a rural landscape with Joseph grazing the donkey and the ox, while the Magi make their way to welcome the new born Christ into the world. Two angels are playing trumpets or long pipes on the right side, counterbalancing the composition. One of these is in the act of playing his trumpet, while the second is pausing. </w:t>
      </w:r>
    </w:p>
    <w:p w14:paraId="1406C4A4" w14:textId="3B3A4715" w:rsidR="00094F64" w:rsidRPr="00771E6E" w:rsidRDefault="00094F64" w:rsidP="00094F64">
      <w:pPr>
        <w:ind w:firstLine="720"/>
        <w:rPr>
          <w:color w:val="000000" w:themeColor="text1"/>
        </w:rPr>
      </w:pPr>
      <w:r w:rsidRPr="00771E6E">
        <w:rPr>
          <w:color w:val="000000" w:themeColor="text1"/>
        </w:rPr>
        <w:t xml:space="preserve">Another </w:t>
      </w:r>
      <w:r w:rsidRPr="00771E6E">
        <w:rPr>
          <w:i/>
          <w:color w:val="000000" w:themeColor="text1"/>
        </w:rPr>
        <w:t>tondo</w:t>
      </w:r>
      <w:r w:rsidRPr="00771E6E">
        <w:rPr>
          <w:color w:val="000000" w:themeColor="text1"/>
        </w:rPr>
        <w:t xml:space="preserve"> by Piero di Cosimo also includes angels playing musical instruments. This is a round version of </w:t>
      </w:r>
      <w:r w:rsidR="007A361D" w:rsidRPr="00771E6E">
        <w:rPr>
          <w:color w:val="000000" w:themeColor="text1"/>
        </w:rPr>
        <w:t xml:space="preserve">a </w:t>
      </w:r>
      <w:r w:rsidRPr="00771E6E">
        <w:rPr>
          <w:color w:val="000000" w:themeColor="text1"/>
        </w:rPr>
        <w:t>rectangular panel</w:t>
      </w:r>
      <w:r w:rsidR="007A361D" w:rsidRPr="00771E6E">
        <w:rPr>
          <w:color w:val="000000" w:themeColor="text1"/>
        </w:rPr>
        <w:t xml:space="preserve"> that is </w:t>
      </w:r>
      <w:r w:rsidRPr="00771E6E">
        <w:rPr>
          <w:color w:val="000000" w:themeColor="text1"/>
        </w:rPr>
        <w:t xml:space="preserve">in the </w:t>
      </w:r>
      <w:proofErr w:type="spellStart"/>
      <w:r w:rsidRPr="00771E6E">
        <w:rPr>
          <w:color w:val="000000" w:themeColor="text1"/>
        </w:rPr>
        <w:t>Cini</w:t>
      </w:r>
      <w:proofErr w:type="spellEnd"/>
      <w:r w:rsidRPr="00771E6E">
        <w:rPr>
          <w:color w:val="000000" w:themeColor="text1"/>
        </w:rPr>
        <w:t xml:space="preserve"> collection in Venice, from the first half of the sixteenth century.</w:t>
      </w:r>
      <w:r w:rsidRPr="00771E6E">
        <w:rPr>
          <w:rStyle w:val="FootnoteReference"/>
        </w:rPr>
        <w:footnoteReference w:id="692"/>
      </w:r>
      <w:r w:rsidRPr="00771E6E">
        <w:rPr>
          <w:color w:val="000000" w:themeColor="text1"/>
        </w:rPr>
        <w:t xml:space="preserve"> The shape is not the only modification to the painting: a trumpeting angel (indebted to the one that Piero di Cosimo painted in the </w:t>
      </w:r>
      <w:r w:rsidRPr="00771E6E">
        <w:rPr>
          <w:i/>
          <w:color w:val="000000" w:themeColor="text1"/>
        </w:rPr>
        <w:t xml:space="preserve">tondo </w:t>
      </w:r>
      <w:r w:rsidRPr="00771E6E">
        <w:rPr>
          <w:color w:val="000000" w:themeColor="text1"/>
        </w:rPr>
        <w:t>discussed previously) has been added on the left-hand side (fig. 3.56)</w:t>
      </w:r>
      <w:r w:rsidRPr="00771E6E">
        <w:rPr>
          <w:color w:val="000000" w:themeColor="text1"/>
          <w:lang w:val="it-IT"/>
        </w:rPr>
        <w:t>.</w:t>
      </w:r>
      <w:r w:rsidRPr="00771E6E">
        <w:rPr>
          <w:rStyle w:val="FootnoteReference"/>
        </w:rPr>
        <w:footnoteReference w:id="693"/>
      </w:r>
      <w:r w:rsidRPr="00771E6E">
        <w:rPr>
          <w:color w:val="000000" w:themeColor="text1"/>
        </w:rPr>
        <w:t xml:space="preserve"> In this </w:t>
      </w:r>
      <w:r w:rsidRPr="00771E6E">
        <w:rPr>
          <w:i/>
          <w:color w:val="000000" w:themeColor="text1"/>
        </w:rPr>
        <w:t>tondo</w:t>
      </w:r>
      <w:r w:rsidRPr="00771E6E">
        <w:rPr>
          <w:color w:val="000000" w:themeColor="text1"/>
        </w:rPr>
        <w:t xml:space="preserve"> the Virgin Mary is sitting on a rock, with the Child on her lap. The Infant Christ is embracing a kneeling angel and is grasping the bow of the rebec that the angel is playing. A third musical angel is singing from a book, behind a rock that functions as a parapet. Dennis </w:t>
      </w:r>
      <w:proofErr w:type="spellStart"/>
      <w:r w:rsidRPr="00771E6E">
        <w:rPr>
          <w:color w:val="000000" w:themeColor="text1"/>
        </w:rPr>
        <w:t>Geronimus</w:t>
      </w:r>
      <w:proofErr w:type="spellEnd"/>
      <w:r w:rsidRPr="00771E6E">
        <w:rPr>
          <w:color w:val="000000" w:themeColor="text1"/>
        </w:rPr>
        <w:t xml:space="preserve"> has observed that the painter must have studied a real rebec to be able to reproduce it with such great accuracy in the original rectangular panel.</w:t>
      </w:r>
      <w:r w:rsidRPr="00771E6E">
        <w:rPr>
          <w:rStyle w:val="FootnoteReference"/>
        </w:rPr>
        <w:footnoteReference w:id="694"/>
      </w:r>
    </w:p>
    <w:p w14:paraId="62B29188" w14:textId="77777777" w:rsidR="00094F64" w:rsidRPr="00771E6E" w:rsidRDefault="00094F64" w:rsidP="00094F64">
      <w:pPr>
        <w:ind w:firstLine="720"/>
        <w:rPr>
          <w:color w:val="000000" w:themeColor="text1"/>
        </w:rPr>
      </w:pPr>
      <w:r w:rsidRPr="00771E6E">
        <w:rPr>
          <w:color w:val="000000" w:themeColor="text1"/>
        </w:rPr>
        <w:t xml:space="preserve">In another example, a </w:t>
      </w:r>
      <w:r w:rsidRPr="00771E6E">
        <w:rPr>
          <w:i/>
          <w:color w:val="000000" w:themeColor="text1"/>
        </w:rPr>
        <w:t>tondo</w:t>
      </w:r>
      <w:r w:rsidRPr="00771E6E">
        <w:rPr>
          <w:color w:val="000000" w:themeColor="text1"/>
        </w:rPr>
        <w:t xml:space="preserve"> produced in the workshop of Lorenzo di </w:t>
      </w:r>
      <w:proofErr w:type="spellStart"/>
      <w:r w:rsidRPr="00771E6E">
        <w:rPr>
          <w:color w:val="000000" w:themeColor="text1"/>
        </w:rPr>
        <w:t>Credi</w:t>
      </w:r>
      <w:proofErr w:type="spellEnd"/>
      <w:r w:rsidRPr="00771E6E">
        <w:rPr>
          <w:color w:val="000000" w:themeColor="text1"/>
        </w:rPr>
        <w:t>, sometimes attributed to a painter called Tommaso, the Virgin is sitting on a throne, holding the child on her lap, while a young Saint John the Baptist kneels in adoration on the steps that form the base of the throne (fig. 3.57).</w:t>
      </w:r>
      <w:r w:rsidRPr="00771E6E">
        <w:rPr>
          <w:rStyle w:val="FootnoteReference"/>
        </w:rPr>
        <w:footnoteReference w:id="695"/>
      </w:r>
      <w:r w:rsidRPr="00771E6E">
        <w:rPr>
          <w:color w:val="000000" w:themeColor="text1"/>
        </w:rPr>
        <w:t xml:space="preserve"> The Virgin and Child are flanked by two musical angels, one playing the lute on the left and one playing the </w:t>
      </w:r>
      <w:proofErr w:type="spellStart"/>
      <w:r w:rsidRPr="00771E6E">
        <w:rPr>
          <w:color w:val="000000" w:themeColor="text1"/>
        </w:rPr>
        <w:t>viella</w:t>
      </w:r>
      <w:proofErr w:type="spellEnd"/>
      <w:r w:rsidRPr="00771E6E">
        <w:rPr>
          <w:color w:val="000000" w:themeColor="text1"/>
        </w:rPr>
        <w:t xml:space="preserve"> or the</w:t>
      </w:r>
      <w:r w:rsidRPr="00771E6E">
        <w:rPr>
          <w:i/>
          <w:color w:val="000000" w:themeColor="text1"/>
        </w:rPr>
        <w:t xml:space="preserve"> lira da braccio</w:t>
      </w:r>
      <w:r w:rsidRPr="00771E6E">
        <w:rPr>
          <w:color w:val="000000" w:themeColor="text1"/>
        </w:rPr>
        <w:t xml:space="preserve"> on the right. The </w:t>
      </w:r>
      <w:r w:rsidRPr="00771E6E">
        <w:rPr>
          <w:i/>
          <w:color w:val="000000" w:themeColor="text1"/>
        </w:rPr>
        <w:t>tondi</w:t>
      </w:r>
      <w:r w:rsidRPr="00771E6E">
        <w:rPr>
          <w:color w:val="000000" w:themeColor="text1"/>
        </w:rPr>
        <w:t xml:space="preserve"> painted by Lorenzo and his workshop must have been widely appreciated and sought after in his time, if, as Vasari recounts, one of his early </w:t>
      </w:r>
      <w:r w:rsidRPr="00771E6E">
        <w:rPr>
          <w:i/>
          <w:color w:val="000000" w:themeColor="text1"/>
        </w:rPr>
        <w:t>tondi</w:t>
      </w:r>
      <w:r w:rsidRPr="00771E6E">
        <w:rPr>
          <w:color w:val="000000" w:themeColor="text1"/>
        </w:rPr>
        <w:t xml:space="preserve"> with the Virgin was sent out to the King of Spain.</w:t>
      </w:r>
      <w:r w:rsidRPr="00771E6E">
        <w:rPr>
          <w:rStyle w:val="FootnoteReference"/>
        </w:rPr>
        <w:footnoteReference w:id="696"/>
      </w:r>
    </w:p>
    <w:p w14:paraId="7785F2F5" w14:textId="77777777" w:rsidR="00094F64" w:rsidRPr="00771E6E" w:rsidRDefault="00094F64" w:rsidP="00094F64">
      <w:pPr>
        <w:ind w:firstLine="720"/>
      </w:pPr>
      <w:r w:rsidRPr="00771E6E">
        <w:lastRenderedPageBreak/>
        <w:t xml:space="preserve">A lute-player also accompanies the Virgin and Child in a </w:t>
      </w:r>
      <w:r w:rsidRPr="00771E6E">
        <w:rPr>
          <w:i/>
        </w:rPr>
        <w:t>tondo</w:t>
      </w:r>
      <w:r w:rsidRPr="00771E6E">
        <w:t xml:space="preserve"> by </w:t>
      </w:r>
      <w:proofErr w:type="spellStart"/>
      <w:r w:rsidRPr="00771E6E">
        <w:t>Biagio</w:t>
      </w:r>
      <w:proofErr w:type="spellEnd"/>
      <w:r w:rsidRPr="00771E6E">
        <w:t xml:space="preserve"> di Antonio Tucci, as well as in another produced by Perugino’s circle, both of which are now in the Galleria Franchetti at the Ca’ </w:t>
      </w:r>
      <w:proofErr w:type="spellStart"/>
      <w:r w:rsidRPr="00771E6E">
        <w:t>d’Oro</w:t>
      </w:r>
      <w:proofErr w:type="spellEnd"/>
      <w:r w:rsidRPr="00771E6E">
        <w:t xml:space="preserve"> in Venice </w:t>
      </w:r>
      <w:r w:rsidRPr="00771E6E">
        <w:rPr>
          <w:color w:val="000000" w:themeColor="text1"/>
        </w:rPr>
        <w:t>(figs. 3.58-3.59)</w:t>
      </w:r>
      <w:r w:rsidRPr="00771E6E">
        <w:t xml:space="preserve">. In both works, the Virgin is portrayed three-quarter length, but, while in </w:t>
      </w:r>
      <w:proofErr w:type="spellStart"/>
      <w:r w:rsidRPr="00771E6E">
        <w:t>Biagio’s</w:t>
      </w:r>
      <w:proofErr w:type="spellEnd"/>
      <w:r w:rsidRPr="00771E6E">
        <w:t xml:space="preserve"> </w:t>
      </w:r>
      <w:r w:rsidRPr="00771E6E">
        <w:rPr>
          <w:i/>
        </w:rPr>
        <w:t>tondo</w:t>
      </w:r>
      <w:r w:rsidRPr="00771E6E">
        <w:t xml:space="preserve"> she is standing in an interior in front of an altar under an arch, the </w:t>
      </w:r>
      <w:r w:rsidRPr="00771E6E">
        <w:rPr>
          <w:i/>
        </w:rPr>
        <w:t>tondo</w:t>
      </w:r>
      <w:r w:rsidRPr="00771E6E">
        <w:t xml:space="preserve"> by Perugino’s circle is set instead in an outdoor space. In </w:t>
      </w:r>
      <w:proofErr w:type="spellStart"/>
      <w:r w:rsidRPr="00771E6E">
        <w:t>Biagio’s</w:t>
      </w:r>
      <w:proofErr w:type="spellEnd"/>
      <w:r w:rsidRPr="00771E6E">
        <w:t xml:space="preserve">, the Infant Christ is standing with his legs on one of his mother’s knees, while on their right, the young Saint John the Baptist is standing in front of a window which opens onto a landscape of a town and a river, and is drawing his hands to his chest in reverence. In the </w:t>
      </w:r>
      <w:r w:rsidRPr="00771E6E">
        <w:rPr>
          <w:i/>
        </w:rPr>
        <w:t>tondo</w:t>
      </w:r>
      <w:r w:rsidRPr="00771E6E">
        <w:t xml:space="preserve"> by Perugino’s circle, a younger Saint John the Baptist stands quietly behind the infant Jesus, who, in turn, looks back as if attempting to see him. In both </w:t>
      </w:r>
      <w:r w:rsidRPr="00771E6E">
        <w:rPr>
          <w:i/>
        </w:rPr>
        <w:t>tondi</w:t>
      </w:r>
      <w:r w:rsidRPr="00771E6E">
        <w:t xml:space="preserve">, a single musical angel is portrayed standing behind the Virgin, creating a pleasant musical background that does not seem to disturb the children, but rather </w:t>
      </w:r>
      <w:proofErr w:type="spellStart"/>
      <w:r w:rsidRPr="00771E6E">
        <w:t>harmonises</w:t>
      </w:r>
      <w:proofErr w:type="spellEnd"/>
      <w:r w:rsidRPr="00771E6E">
        <w:t xml:space="preserve"> the scene. </w:t>
      </w:r>
    </w:p>
    <w:p w14:paraId="68C69810" w14:textId="77777777" w:rsidR="00094F64" w:rsidRPr="00771E6E" w:rsidRDefault="00094F64" w:rsidP="00094F64">
      <w:pPr>
        <w:ind w:firstLine="720"/>
        <w:rPr>
          <w:color w:val="000000" w:themeColor="text1"/>
        </w:rPr>
      </w:pPr>
      <w:r w:rsidRPr="00771E6E">
        <w:rPr>
          <w:color w:val="000000" w:themeColor="text1"/>
        </w:rPr>
        <w:t xml:space="preserve">In Raffaellino del Garbo’s </w:t>
      </w:r>
      <w:r w:rsidRPr="00771E6E">
        <w:rPr>
          <w:i/>
          <w:color w:val="000000" w:themeColor="text1"/>
        </w:rPr>
        <w:t>tondo</w:t>
      </w:r>
      <w:r w:rsidRPr="00771E6E">
        <w:rPr>
          <w:color w:val="000000" w:themeColor="text1"/>
        </w:rPr>
        <w:t xml:space="preserve"> in the </w:t>
      </w:r>
      <w:proofErr w:type="spellStart"/>
      <w:r w:rsidRPr="00771E6E">
        <w:rPr>
          <w:color w:val="000000" w:themeColor="text1"/>
        </w:rPr>
        <w:t>Gemäldegalerie</w:t>
      </w:r>
      <w:proofErr w:type="spellEnd"/>
      <w:r w:rsidRPr="00771E6E">
        <w:rPr>
          <w:color w:val="000000" w:themeColor="text1"/>
        </w:rPr>
        <w:t>, Berlin (1496-1498), the Virgin and Child, who stand in front of a balustrade with a verdant landscape in the background, are accompanied by an angel on each side, who are respectively playing a lyre and a syrinx (fig. 3.60).</w:t>
      </w:r>
      <w:r w:rsidRPr="00771E6E">
        <w:rPr>
          <w:rStyle w:val="FootnoteReference"/>
        </w:rPr>
        <w:footnoteReference w:id="697"/>
      </w:r>
      <w:r w:rsidRPr="00771E6E">
        <w:rPr>
          <w:color w:val="000000" w:themeColor="text1"/>
        </w:rPr>
        <w:t xml:space="preserve"> This latter instrument, played by the angel on the right, has some holes that are not in keeping with the real appearance of the instrument, possibly due to the painter’s lack of familiarity with the instrument itself. </w:t>
      </w:r>
    </w:p>
    <w:p w14:paraId="25C48FC8" w14:textId="77777777" w:rsidR="00094F64" w:rsidRPr="00771E6E" w:rsidRDefault="00094F64" w:rsidP="00094F64">
      <w:pPr>
        <w:ind w:firstLine="720"/>
      </w:pPr>
      <w:r w:rsidRPr="00771E6E">
        <w:rPr>
          <w:color w:val="000000" w:themeColor="text1"/>
        </w:rPr>
        <w:t xml:space="preserve">The combination of these two musical </w:t>
      </w:r>
      <w:r w:rsidRPr="00771E6E">
        <w:t xml:space="preserve">instruments seems to be unusual for this type of painting. These instruments are more frequently found in secular art, and especially in depictions of the musical contest between the Greek god Apollo (who played the lyre) and the sylvan Pan (who played a panpipe), recounted in Ovid’s </w:t>
      </w:r>
      <w:r w:rsidRPr="00771E6E">
        <w:rPr>
          <w:i/>
        </w:rPr>
        <w:t>Metamorphoses</w:t>
      </w:r>
      <w:r w:rsidRPr="00771E6E">
        <w:t xml:space="preserve">. The contest happened in the presence of the mountain </w:t>
      </w:r>
      <w:proofErr w:type="spellStart"/>
      <w:r w:rsidRPr="00771E6E">
        <w:t>Tmolus</w:t>
      </w:r>
      <w:proofErr w:type="spellEnd"/>
      <w:r w:rsidRPr="00771E6E">
        <w:t xml:space="preserve">, who acted as a judge and declared Apollo the winner, and of King Midas, </w:t>
      </w:r>
      <w:r w:rsidRPr="00771E6E">
        <w:rPr>
          <w:color w:val="000000" w:themeColor="text1"/>
        </w:rPr>
        <w:t>who, on the contrary, praised Pan’s music, and for this reason was given ass’ ears as punishment by Apollo.</w:t>
      </w:r>
      <w:r w:rsidRPr="00771E6E">
        <w:rPr>
          <w:rStyle w:val="FootnoteReference"/>
        </w:rPr>
        <w:footnoteReference w:id="698"/>
      </w:r>
      <w:r w:rsidRPr="00771E6E">
        <w:rPr>
          <w:color w:val="000000" w:themeColor="text1"/>
        </w:rPr>
        <w:t xml:space="preserve"> This episode can be interpreted from a moralistic point of view, as an opportunity to contemplat</w:t>
      </w:r>
      <w:r w:rsidRPr="00771E6E">
        <w:t xml:space="preserve">e the difference between the celestial music produced by Apollo in contrast to the earthly music played by Pan. It can also be associated with the belief that only the study and practice of certain types of </w:t>
      </w:r>
      <w:r w:rsidRPr="00771E6E">
        <w:lastRenderedPageBreak/>
        <w:t>music was beneficial in terms of moral education, as discussed in detail in Chapter 1.5.</w:t>
      </w:r>
      <w:r w:rsidRPr="00771E6E">
        <w:rPr>
          <w:rStyle w:val="FootnoteReference"/>
        </w:rPr>
        <w:footnoteReference w:id="699"/>
      </w:r>
      <w:r w:rsidRPr="00771E6E">
        <w:rPr>
          <w:vertAlign w:val="superscript"/>
        </w:rPr>
        <w:t xml:space="preserve"> </w:t>
      </w:r>
      <w:r w:rsidRPr="00771E6E">
        <w:t xml:space="preserve">In this context, </w:t>
      </w:r>
      <w:proofErr w:type="spellStart"/>
      <w:r w:rsidRPr="00771E6E">
        <w:t>Tmolus</w:t>
      </w:r>
      <w:proofErr w:type="spellEnd"/>
      <w:r w:rsidRPr="00771E6E">
        <w:t xml:space="preserve"> is sometimes substituted in the role of judge by Minerva, the Roman goddess of wisdom, as suggested in Cristoforo </w:t>
      </w:r>
      <w:proofErr w:type="spellStart"/>
      <w:r w:rsidRPr="00771E6E">
        <w:t>Landino’s</w:t>
      </w:r>
      <w:proofErr w:type="spellEnd"/>
      <w:r w:rsidRPr="00771E6E">
        <w:t xml:space="preserve"> commentary to Canto XX of Dante’s </w:t>
      </w:r>
      <w:r w:rsidRPr="00771E6E">
        <w:rPr>
          <w:i/>
        </w:rPr>
        <w:t>Inferno</w:t>
      </w:r>
      <w:r w:rsidR="0058275B" w:rsidRPr="00771E6E">
        <w:rPr>
          <w:iCs/>
        </w:rPr>
        <w:t xml:space="preserve"> (1481)</w:t>
      </w:r>
      <w:r w:rsidRPr="00771E6E">
        <w:t>. Changing the central character to a goddess of wisdom serves to further highlight the prudence of choosing the celestial music played by the god Apollo, over earthly pleasures.</w:t>
      </w:r>
    </w:p>
    <w:p w14:paraId="00CCA9B3" w14:textId="77777777" w:rsidR="00094F64" w:rsidRPr="00771E6E" w:rsidRDefault="00094F64" w:rsidP="00094F64">
      <w:pPr>
        <w:ind w:firstLine="720"/>
      </w:pPr>
      <w:r w:rsidRPr="00771E6E">
        <w:t xml:space="preserve">At first glance it seems that Raffaellino is not referencing this myth in this </w:t>
      </w:r>
      <w:r w:rsidRPr="00771E6E">
        <w:rPr>
          <w:i/>
        </w:rPr>
        <w:t>tondo</w:t>
      </w:r>
      <w:r w:rsidRPr="00771E6E">
        <w:t>, as this is neither a contest, nor does the Virgin seem to be judging the music. However, the quality of wisdom was also a characteristic of the Virgin Mary, who was herself considered to be a personification of this virtue. Perhaps even more strikingly, both Minerva and the Virgin Mary both share an association with the virtue of chastity, so much so that Minerva even became a symbol of the Virgin Mary during the Middle Ages.</w:t>
      </w:r>
      <w:r w:rsidRPr="00771E6E">
        <w:rPr>
          <w:rStyle w:val="FootnoteReference"/>
        </w:rPr>
        <w:footnoteReference w:id="700"/>
      </w:r>
      <w:r w:rsidRPr="00771E6E">
        <w:t xml:space="preserve"> In Angelo </w:t>
      </w:r>
      <w:proofErr w:type="spellStart"/>
      <w:r w:rsidRPr="00771E6E">
        <w:t>Poliziano’s</w:t>
      </w:r>
      <w:proofErr w:type="spellEnd"/>
      <w:r w:rsidRPr="00771E6E">
        <w:t xml:space="preserve"> </w:t>
      </w:r>
      <w:proofErr w:type="spellStart"/>
      <w:r w:rsidRPr="00771E6E">
        <w:rPr>
          <w:i/>
        </w:rPr>
        <w:t>Giostra</w:t>
      </w:r>
      <w:proofErr w:type="spellEnd"/>
      <w:r w:rsidRPr="00771E6E">
        <w:t xml:space="preserve"> of 1475, Giuliano de’ Medici, having fallen victim to Cupid’s amorous arrows, invokes the help of Minerva, addressing her as </w:t>
      </w:r>
      <w:proofErr w:type="spellStart"/>
      <w:r w:rsidRPr="00771E6E">
        <w:rPr>
          <w:i/>
        </w:rPr>
        <w:t>Vergine</w:t>
      </w:r>
      <w:proofErr w:type="spellEnd"/>
      <w:r w:rsidRPr="00771E6E">
        <w:rPr>
          <w:i/>
        </w:rPr>
        <w:t xml:space="preserve"> </w:t>
      </w:r>
      <w:proofErr w:type="spellStart"/>
      <w:r w:rsidRPr="00771E6E">
        <w:rPr>
          <w:i/>
        </w:rPr>
        <w:t>santa</w:t>
      </w:r>
      <w:proofErr w:type="spellEnd"/>
      <w:r w:rsidRPr="00771E6E">
        <w:t xml:space="preserve"> (Holy Virgin), an epithet that is usually connected with the Virgin Mary.</w:t>
      </w:r>
      <w:r w:rsidRPr="00771E6E">
        <w:rPr>
          <w:rStyle w:val="FootnoteReference"/>
        </w:rPr>
        <w:footnoteReference w:id="701"/>
      </w:r>
      <w:r w:rsidRPr="00771E6E">
        <w:t xml:space="preserve"> The identities of these two figures also seem to demonstrate significant convergence in the case of a painting attributed to Francesco Francia or to Garofalo, now in Dresden (fig. 3.61). Here, Minerva is shown holding her spear, alongside the god of the sea, Neptune. However, an engraving from the eighteenth century shows that the goddess originally had a halo and was holding a cross, attributes that were removed – the cross being transformed into the spear – following restoration work carried out in the nineteenth century.</w:t>
      </w:r>
      <w:r w:rsidRPr="00771E6E">
        <w:rPr>
          <w:rStyle w:val="FootnoteReference"/>
        </w:rPr>
        <w:footnoteReference w:id="702"/>
      </w:r>
      <w:r w:rsidRPr="00771E6E">
        <w:t xml:space="preserve"> The text accompanying the engraving identifies the subject of this painting as an allegory in which a personification of Religion is inviting the Prince Andrea </w:t>
      </w:r>
      <w:proofErr w:type="spellStart"/>
      <w:r w:rsidRPr="00771E6E">
        <w:t>Doria</w:t>
      </w:r>
      <w:proofErr w:type="spellEnd"/>
      <w:r w:rsidRPr="00771E6E">
        <w:t>, in the guise of the god Neptune, to be devoted to her.</w:t>
      </w:r>
      <w:r w:rsidRPr="00771E6E">
        <w:rPr>
          <w:rStyle w:val="FootnoteReference"/>
        </w:rPr>
        <w:footnoteReference w:id="703"/>
      </w:r>
      <w:r w:rsidRPr="00771E6E">
        <w:t xml:space="preserve"> In this example, the Religion or Virgin Mary figure was accompanied by the mythological figure of Neptune, which led to her transformation into Minerva.</w:t>
      </w:r>
    </w:p>
    <w:p w14:paraId="4696FACA" w14:textId="77777777" w:rsidR="00094F64" w:rsidRPr="00771E6E" w:rsidRDefault="00094F64" w:rsidP="00094F64">
      <w:pPr>
        <w:ind w:firstLine="720"/>
      </w:pPr>
      <w:r w:rsidRPr="00771E6E">
        <w:t xml:space="preserve">It has been noted previously that Florence was believed to have a special association with the Virgin Mary (as also demonstrated by the dedication of the Cathedral </w:t>
      </w:r>
      <w:r w:rsidRPr="00771E6E">
        <w:lastRenderedPageBreak/>
        <w:t>to Santa Maria del Fiore, Saint Mary of the Flower, the “flower” being a symbol of Florence). However, the goddess Minerva was also considered a patron of the town, marking this as a further characteristic shared by the two figures.</w:t>
      </w:r>
      <w:r w:rsidRPr="00771E6E">
        <w:rPr>
          <w:rStyle w:val="FootnoteReference"/>
        </w:rPr>
        <w:footnoteReference w:id="704"/>
      </w:r>
      <w:r w:rsidRPr="00771E6E">
        <w:t xml:space="preserve"> Furthermore, the tree in the background behind the Virgin in Raffaellino’s </w:t>
      </w:r>
      <w:r w:rsidRPr="00771E6E">
        <w:rPr>
          <w:i/>
        </w:rPr>
        <w:t>tondo</w:t>
      </w:r>
      <w:r w:rsidRPr="00771E6E">
        <w:t xml:space="preserve"> can be taken to be a </w:t>
      </w:r>
      <w:proofErr w:type="spellStart"/>
      <w:r w:rsidRPr="00771E6E">
        <w:t>stylised</w:t>
      </w:r>
      <w:proofErr w:type="spellEnd"/>
      <w:r w:rsidRPr="00771E6E">
        <w:t xml:space="preserve"> olive tree, which recalls the olive branch, which was a typical attribute of Minerva. In light of this, it is possible to suggest that Raffaellino’s </w:t>
      </w:r>
      <w:r w:rsidRPr="00771E6E">
        <w:rPr>
          <w:i/>
        </w:rPr>
        <w:t>tondo</w:t>
      </w:r>
      <w:r w:rsidRPr="00771E6E">
        <w:t xml:space="preserve"> was based on this classical subject of a musical contest, but in this case charged with Christian significance. </w:t>
      </w:r>
    </w:p>
    <w:p w14:paraId="291FEB28" w14:textId="77777777" w:rsidR="00094F64" w:rsidRPr="00771E6E" w:rsidRDefault="00094F64" w:rsidP="00094F64">
      <w:pPr>
        <w:ind w:firstLine="720"/>
      </w:pPr>
      <w:r w:rsidRPr="00771E6E">
        <w:t xml:space="preserve">Considered as a metaphor for the exercise of moral judgement, this painting can be compared to other paintings in which the </w:t>
      </w:r>
      <w:r w:rsidRPr="00771E6E">
        <w:rPr>
          <w:i/>
        </w:rPr>
        <w:t xml:space="preserve">Judgement of Midas </w:t>
      </w:r>
      <w:r w:rsidRPr="00771E6E">
        <w:t xml:space="preserve">is depicted. The Venetian painter </w:t>
      </w:r>
      <w:proofErr w:type="spellStart"/>
      <w:r w:rsidRPr="00771E6E">
        <w:t>Cima</w:t>
      </w:r>
      <w:proofErr w:type="spellEnd"/>
      <w:r w:rsidRPr="00771E6E">
        <w:t xml:space="preserve"> da Conegliano touched upon this topic on two occasions, the earliest of which - dates from around 1505-1510 and, like Raffaellino’s painting, is also a </w:t>
      </w:r>
      <w:r w:rsidRPr="00771E6E">
        <w:rPr>
          <w:i/>
        </w:rPr>
        <w:t xml:space="preserve">tondo </w:t>
      </w:r>
      <w:r w:rsidRPr="00771E6E">
        <w:t xml:space="preserve">(fig. 3.62). Although Pan is in this case depicted with a stringed instrument rather than his traditional syrinx, the narrative is unaffected. This </w:t>
      </w:r>
      <w:r w:rsidRPr="00771E6E">
        <w:rPr>
          <w:i/>
        </w:rPr>
        <w:t>tondo</w:t>
      </w:r>
      <w:r w:rsidRPr="00771E6E">
        <w:t xml:space="preserve">, which was most likely kept in a domestic location, would have again acted as a “mirror,” which viewers could use for their self-improvement. Here, the figure of the music-making Apollo is depicted as a handsome young boy, the figure of which could have acted in the same way as musical angels in the previously discussed </w:t>
      </w:r>
      <w:r w:rsidRPr="00771E6E">
        <w:rPr>
          <w:i/>
        </w:rPr>
        <w:t>tondi</w:t>
      </w:r>
      <w:r w:rsidRPr="00771E6E">
        <w:t xml:space="preserve">, providing a model to emulate and a source of identification for young members of the household. </w:t>
      </w:r>
      <w:proofErr w:type="spellStart"/>
      <w:r w:rsidRPr="00771E6E">
        <w:t>Cima</w:t>
      </w:r>
      <w:proofErr w:type="spellEnd"/>
      <w:r w:rsidRPr="00771E6E">
        <w:t xml:space="preserve"> returned to this topic in another of his works a few years later, around 1513-1517. In this later panel, Midas is portrayed as a young man, facing the challenge of passing musical and moral judgment between the rustic music played by Pan – who is here again depicted playing a </w:t>
      </w:r>
      <w:r w:rsidRPr="00771E6E">
        <w:rPr>
          <w:i/>
        </w:rPr>
        <w:t>lira da braccio</w:t>
      </w:r>
      <w:r w:rsidRPr="00771E6E">
        <w:t xml:space="preserve"> instead of his pipe – and the heavenly music played by Apollo (fig. 3.63).</w:t>
      </w:r>
      <w:r w:rsidRPr="00771E6E">
        <w:rPr>
          <w:rStyle w:val="FootnoteReference"/>
        </w:rPr>
        <w:footnoteReference w:id="705"/>
      </w:r>
      <w:r w:rsidRPr="00771E6E">
        <w:t xml:space="preserve"> If, as Peter Humphrey has suggested, this panel formed part of a decorative chest, this would likely place </w:t>
      </w:r>
      <w:proofErr w:type="spellStart"/>
      <w:r w:rsidRPr="00771E6E">
        <w:t>Cima’s</w:t>
      </w:r>
      <w:proofErr w:type="spellEnd"/>
      <w:r w:rsidRPr="00771E6E">
        <w:t xml:space="preserve"> panel in a bedroom, where it would have acted as an example for the viewers to exercise careful musical, and therefore moral, judgement in much the same way as the </w:t>
      </w:r>
      <w:r w:rsidRPr="00771E6E">
        <w:rPr>
          <w:i/>
        </w:rPr>
        <w:t>cassoni</w:t>
      </w:r>
      <w:r w:rsidRPr="00771E6E">
        <w:t xml:space="preserve"> discussed previously in Chapter 1.4.</w:t>
      </w:r>
      <w:r w:rsidRPr="00771E6E">
        <w:rPr>
          <w:rStyle w:val="FootnoteReference"/>
        </w:rPr>
        <w:footnoteReference w:id="706"/>
      </w:r>
      <w:r w:rsidRPr="00771E6E">
        <w:t xml:space="preserve"> The story of King Midas would have certainly been familiar to contemporary Florentines, and this character was also depicted by Botticelli in his painting </w:t>
      </w:r>
      <w:r w:rsidRPr="00771E6E">
        <w:rPr>
          <w:i/>
        </w:rPr>
        <w:t xml:space="preserve">Calumny of Apelles </w:t>
      </w:r>
      <w:r w:rsidRPr="00771E6E">
        <w:t>(1494-1495).</w:t>
      </w:r>
    </w:p>
    <w:p w14:paraId="488D1F51" w14:textId="77777777" w:rsidR="00094F64" w:rsidRPr="00771E6E" w:rsidRDefault="00094F64" w:rsidP="00094F64">
      <w:pPr>
        <w:ind w:firstLine="720"/>
      </w:pPr>
      <w:r w:rsidRPr="00771E6E">
        <w:t xml:space="preserve">In light of this, it is possible that Raffaellino, aware of the moral connotations associated with this contest, wanted to remind the viewers of the importance of </w:t>
      </w:r>
      <w:proofErr w:type="spellStart"/>
      <w:r w:rsidRPr="00771E6E">
        <w:t>practising</w:t>
      </w:r>
      <w:proofErr w:type="spellEnd"/>
      <w:r w:rsidRPr="00771E6E">
        <w:t xml:space="preserve"> </w:t>
      </w:r>
      <w:r w:rsidRPr="00771E6E">
        <w:lastRenderedPageBreak/>
        <w:t>sound judgement in life. This idea is also closely related to another mythological episode, namely the choice the hero Hercules had to make between a tortuous but virtuous path, and an easy one which was filled with vice.</w:t>
      </w:r>
      <w:r w:rsidRPr="00771E6E">
        <w:rPr>
          <w:rStyle w:val="FootnoteReference"/>
        </w:rPr>
        <w:footnoteReference w:id="707"/>
      </w:r>
      <w:r w:rsidRPr="00771E6E">
        <w:t xml:space="preserve"> This moralistic subject was also depicted in other pieces of domestic art, such as in a </w:t>
      </w:r>
      <w:r w:rsidRPr="00771E6E">
        <w:rPr>
          <w:i/>
        </w:rPr>
        <w:t xml:space="preserve">desco da parto </w:t>
      </w:r>
      <w:r w:rsidRPr="00771E6E">
        <w:t xml:space="preserve">by the Sienese painter Girolamo di Benvenuto (fig. 3.64). </w:t>
      </w:r>
    </w:p>
    <w:p w14:paraId="68F752B2" w14:textId="77777777" w:rsidR="00094F64" w:rsidRPr="00771E6E" w:rsidRDefault="00094F64" w:rsidP="00094F64">
      <w:pPr>
        <w:ind w:firstLine="720"/>
        <w:rPr>
          <w:color w:val="000000" w:themeColor="text1"/>
        </w:rPr>
      </w:pPr>
      <w:r w:rsidRPr="00771E6E">
        <w:t xml:space="preserve">Raffaellino’s </w:t>
      </w:r>
      <w:r w:rsidRPr="00771E6E">
        <w:rPr>
          <w:i/>
        </w:rPr>
        <w:t>tondo</w:t>
      </w:r>
      <w:r w:rsidRPr="00771E6E">
        <w:t xml:space="preserve"> seems to be imbibed with moralistic connotations, resulting in a painting that appears intended to provide the beholder with a reminder of the virtuous </w:t>
      </w:r>
      <w:r w:rsidRPr="00771E6E">
        <w:rPr>
          <w:i/>
        </w:rPr>
        <w:t>exempla</w:t>
      </w:r>
      <w:r w:rsidRPr="00771E6E">
        <w:t xml:space="preserve"> that they should follow by preferring the celestial music, under the watchful gaze of the Virgin, who acts as the arbiter of this choice. As discussed earlier in this chapter, children and adolescents were often encouraged to choose a virtuous path in opposition to a sinful one when presented with a choice to be made, </w:t>
      </w:r>
      <w:proofErr w:type="spellStart"/>
      <w:r w:rsidRPr="00771E6E">
        <w:t>emblematised</w:t>
      </w:r>
      <w:proofErr w:type="spellEnd"/>
      <w:r w:rsidRPr="00771E6E">
        <w:t xml:space="preserve"> by the shape of the letter Y, and so would likely have also been reminded of this when they encountered this </w:t>
      </w:r>
      <w:r w:rsidRPr="00771E6E">
        <w:rPr>
          <w:i/>
        </w:rPr>
        <w:t>tondo</w:t>
      </w:r>
      <w:r w:rsidRPr="00771E6E">
        <w:t>.</w:t>
      </w:r>
      <w:r w:rsidRPr="00771E6E">
        <w:rPr>
          <w:color w:val="000000" w:themeColor="text1"/>
        </w:rPr>
        <w:t xml:space="preserve"> Due to the presence of relatable, child-like angelic figures, the </w:t>
      </w:r>
      <w:r w:rsidRPr="00771E6E">
        <w:rPr>
          <w:i/>
          <w:color w:val="000000" w:themeColor="text1"/>
        </w:rPr>
        <w:t>tondi</w:t>
      </w:r>
      <w:r w:rsidRPr="00771E6E">
        <w:rPr>
          <w:color w:val="000000" w:themeColor="text1"/>
        </w:rPr>
        <w:t xml:space="preserve"> discussed in this section seem to have been calculated to have a significant impact on their viewers, but in particular on the children who beheld them.</w:t>
      </w:r>
    </w:p>
    <w:p w14:paraId="732C628F" w14:textId="77777777" w:rsidR="00094F64" w:rsidRPr="00771E6E" w:rsidRDefault="00094F64" w:rsidP="00094F64">
      <w:pPr>
        <w:ind w:firstLine="720"/>
      </w:pPr>
    </w:p>
    <w:p w14:paraId="08CDF75F" w14:textId="77777777" w:rsidR="00094F64" w:rsidRPr="00771E6E" w:rsidRDefault="00094F64" w:rsidP="00094F64">
      <w:pPr>
        <w:rPr>
          <w:color w:val="000000" w:themeColor="text1"/>
        </w:rPr>
      </w:pPr>
      <w:r w:rsidRPr="00771E6E">
        <w:rPr>
          <w:i/>
          <w:color w:val="000000" w:themeColor="text1"/>
        </w:rPr>
        <w:t>Tondi</w:t>
      </w:r>
      <w:r w:rsidRPr="00771E6E">
        <w:rPr>
          <w:color w:val="000000" w:themeColor="text1"/>
        </w:rPr>
        <w:t xml:space="preserve"> played a unique role in the domestic environment, being objects of devotion that would have been involved in some of the most personal aspects of spirituality. They served as mirrors that, instead of reflecting reality, showed an </w:t>
      </w:r>
      <w:proofErr w:type="spellStart"/>
      <w:r w:rsidRPr="00771E6E">
        <w:rPr>
          <w:color w:val="000000" w:themeColor="text1"/>
        </w:rPr>
        <w:t>idealised</w:t>
      </w:r>
      <w:proofErr w:type="spellEnd"/>
      <w:r w:rsidRPr="00771E6E">
        <w:rPr>
          <w:color w:val="000000" w:themeColor="text1"/>
        </w:rPr>
        <w:t xml:space="preserve">, aspirational world, filled with virtuous celestial figures whose qualities the residents of these spaces were encouraged to attempt to </w:t>
      </w:r>
      <w:proofErr w:type="spellStart"/>
      <w:r w:rsidRPr="00771E6E">
        <w:rPr>
          <w:color w:val="000000" w:themeColor="text1"/>
        </w:rPr>
        <w:t>realise</w:t>
      </w:r>
      <w:proofErr w:type="spellEnd"/>
      <w:r w:rsidRPr="00771E6E">
        <w:rPr>
          <w:color w:val="000000" w:themeColor="text1"/>
        </w:rPr>
        <w:t xml:space="preserve"> in themselves. These characters are specifically tailored to particular audiences, as is clearly evident in the case of the Virgin, whose image would be crafted to provide a flawless example of virtuous womanhood and motherhood.</w:t>
      </w:r>
    </w:p>
    <w:p w14:paraId="6097AEE2" w14:textId="77777777" w:rsidR="00094F64" w:rsidRPr="00771E6E" w:rsidRDefault="00094F64" w:rsidP="00094F64">
      <w:pPr>
        <w:ind w:firstLine="720"/>
        <w:rPr>
          <w:color w:val="000000" w:themeColor="text1"/>
        </w:rPr>
      </w:pPr>
      <w:r w:rsidRPr="00771E6E">
        <w:rPr>
          <w:color w:val="000000" w:themeColor="text1"/>
        </w:rPr>
        <w:t xml:space="preserve">Of course, </w:t>
      </w:r>
      <w:r w:rsidRPr="00771E6E">
        <w:rPr>
          <w:i/>
          <w:color w:val="000000" w:themeColor="text1"/>
        </w:rPr>
        <w:t>tondi</w:t>
      </w:r>
      <w:r w:rsidRPr="00771E6E">
        <w:rPr>
          <w:color w:val="000000" w:themeColor="text1"/>
        </w:rPr>
        <w:t xml:space="preserve"> would not only have had an influence on the adults in the household. Many aspects of their composition and subjects seem to be crafted to ensure that they would conform to widely held beliefs about the education and development of children.</w:t>
      </w:r>
      <w:r w:rsidRPr="00771E6E">
        <w:rPr>
          <w:color w:val="FF0000"/>
        </w:rPr>
        <w:t xml:space="preserve"> </w:t>
      </w:r>
      <w:r w:rsidRPr="00771E6E">
        <w:rPr>
          <w:color w:val="000000" w:themeColor="text1"/>
        </w:rPr>
        <w:t xml:space="preserve">This is clearly demonstrated by the angels who accompanied the Virgin and Child in these compositions, and who provided role models that the children of the household could imitate. As such, these angels, child-like in their features, perform a distinctly pedagogic function in the domestic environment, designed to impart good morals and character. They were often musical in nature, and their use of instructional devices </w:t>
      </w:r>
      <w:r w:rsidRPr="00771E6E">
        <w:rPr>
          <w:color w:val="000000" w:themeColor="text1"/>
        </w:rPr>
        <w:lastRenderedPageBreak/>
        <w:t xml:space="preserve">such as </w:t>
      </w:r>
      <w:r w:rsidRPr="00771E6E">
        <w:rPr>
          <w:i/>
          <w:color w:val="000000" w:themeColor="text1"/>
        </w:rPr>
        <w:t>tactus</w:t>
      </w:r>
      <w:r w:rsidRPr="00771E6E">
        <w:rPr>
          <w:color w:val="000000" w:themeColor="text1"/>
        </w:rPr>
        <w:t xml:space="preserve"> would have been </w:t>
      </w:r>
      <w:proofErr w:type="spellStart"/>
      <w:r w:rsidRPr="00771E6E">
        <w:rPr>
          <w:color w:val="000000" w:themeColor="text1"/>
        </w:rPr>
        <w:t>recognisable</w:t>
      </w:r>
      <w:proofErr w:type="spellEnd"/>
      <w:r w:rsidRPr="00771E6E">
        <w:rPr>
          <w:color w:val="000000" w:themeColor="text1"/>
        </w:rPr>
        <w:t xml:space="preserve"> to children who would know these from their own lessons, and which would have helped to inspire an educational disposition in them.</w:t>
      </w:r>
    </w:p>
    <w:p w14:paraId="361CF6DC" w14:textId="77777777" w:rsidR="00094F64" w:rsidRPr="00771E6E" w:rsidRDefault="00094F64" w:rsidP="00094F64">
      <w:pPr>
        <w:ind w:firstLine="720"/>
        <w:rPr>
          <w:color w:val="000000" w:themeColor="text1"/>
        </w:rPr>
      </w:pPr>
      <w:r w:rsidRPr="00771E6E">
        <w:rPr>
          <w:color w:val="000000" w:themeColor="text1"/>
        </w:rPr>
        <w:t xml:space="preserve">These domestic companions were among the first that children would have during their most formative years. Thus, </w:t>
      </w:r>
      <w:r w:rsidRPr="00771E6E">
        <w:rPr>
          <w:i/>
          <w:color w:val="000000" w:themeColor="text1"/>
        </w:rPr>
        <w:t>tondi</w:t>
      </w:r>
      <w:r w:rsidRPr="00771E6E">
        <w:rPr>
          <w:color w:val="000000" w:themeColor="text1"/>
        </w:rPr>
        <w:t xml:space="preserve"> provide a unique synthesis of a mirror-like shape, imitable figures and music, placed within a domestic setting, which made them especially compelling educational tools. As such, the examples above serve to demonstrate the ways in which many of the ideas discussed in previous chapters would have been put into practice, in order to assist with teaching moral lessons to children.</w:t>
      </w:r>
    </w:p>
    <w:p w14:paraId="1470B69C" w14:textId="77777777" w:rsidR="00182EED" w:rsidRPr="00771E6E" w:rsidRDefault="00182EED">
      <w:pPr>
        <w:spacing w:line="240" w:lineRule="auto"/>
        <w:rPr>
          <w:rStyle w:val="a-size-medium"/>
        </w:rPr>
        <w:sectPr w:rsidR="00182EED" w:rsidRPr="00771E6E" w:rsidSect="00182EED">
          <w:footnotePr>
            <w:numRestart w:val="eachSect"/>
          </w:footnotePr>
          <w:pgSz w:w="11900" w:h="16840"/>
          <w:pgMar w:top="1440" w:right="1418" w:bottom="1440" w:left="1701" w:header="709" w:footer="709" w:gutter="0"/>
          <w:cols w:space="708"/>
          <w:docGrid w:linePitch="360"/>
        </w:sectPr>
      </w:pPr>
    </w:p>
    <w:p w14:paraId="2CC08516" w14:textId="77777777" w:rsidR="00310CB2" w:rsidRPr="00771E6E" w:rsidRDefault="00310CB2" w:rsidP="00310CB2">
      <w:pPr>
        <w:pStyle w:val="Heading1"/>
        <w:contextualSpacing/>
      </w:pPr>
      <w:bookmarkStart w:id="72" w:name="_Toc2686212"/>
      <w:bookmarkStart w:id="73" w:name="_Toc4330894"/>
      <w:bookmarkStart w:id="74" w:name="_Toc20167615"/>
      <w:bookmarkStart w:id="75" w:name="_Toc3145996"/>
      <w:r w:rsidRPr="00771E6E">
        <w:lastRenderedPageBreak/>
        <w:t xml:space="preserve">4. Beyond Tondi: Musical </w:t>
      </w:r>
      <w:proofErr w:type="spellStart"/>
      <w:r w:rsidRPr="00771E6E">
        <w:t>Angels</w:t>
      </w:r>
      <w:proofErr w:type="spellEnd"/>
      <w:r w:rsidRPr="00771E6E">
        <w:t xml:space="preserve"> in </w:t>
      </w:r>
      <w:proofErr w:type="spellStart"/>
      <w:r w:rsidRPr="00771E6E">
        <w:t>Other</w:t>
      </w:r>
      <w:proofErr w:type="spellEnd"/>
      <w:r w:rsidRPr="00771E6E">
        <w:t xml:space="preserve"> </w:t>
      </w:r>
      <w:proofErr w:type="spellStart"/>
      <w:r w:rsidRPr="00771E6E">
        <w:t>Domestic</w:t>
      </w:r>
      <w:proofErr w:type="spellEnd"/>
      <w:r w:rsidRPr="00771E6E">
        <w:t xml:space="preserve"> Art and </w:t>
      </w:r>
      <w:proofErr w:type="spellStart"/>
      <w:r w:rsidRPr="00771E6E">
        <w:t>Decorated</w:t>
      </w:r>
      <w:proofErr w:type="spellEnd"/>
      <w:r w:rsidRPr="00771E6E">
        <w:t xml:space="preserve"> </w:t>
      </w:r>
      <w:proofErr w:type="spellStart"/>
      <w:r w:rsidRPr="00771E6E">
        <w:t>Furniture</w:t>
      </w:r>
      <w:bookmarkEnd w:id="72"/>
      <w:bookmarkEnd w:id="73"/>
      <w:bookmarkEnd w:id="74"/>
      <w:proofErr w:type="spellEnd"/>
    </w:p>
    <w:p w14:paraId="70BE716F" w14:textId="77777777" w:rsidR="00310CB2" w:rsidRPr="00771E6E" w:rsidRDefault="00310CB2" w:rsidP="00310CB2">
      <w:pPr>
        <w:contextualSpacing/>
        <w:rPr>
          <w:rFonts w:eastAsia="Times New Roman" w:cs="Times New Roman"/>
        </w:rPr>
      </w:pPr>
    </w:p>
    <w:p w14:paraId="5512A45C" w14:textId="77777777" w:rsidR="00310CB2" w:rsidRPr="00771E6E" w:rsidRDefault="00310CB2" w:rsidP="00310CB2">
      <w:pPr>
        <w:contextualSpacing/>
        <w:rPr>
          <w:rFonts w:eastAsia="Times New Roman" w:cs="Times New Roman"/>
        </w:rPr>
      </w:pPr>
      <w:r w:rsidRPr="00771E6E">
        <w:rPr>
          <w:rFonts w:eastAsia="Times New Roman" w:cs="Times New Roman"/>
        </w:rPr>
        <w:t xml:space="preserve">As demonstrated in the previous chapters, a wide range of evidence suggests that </w:t>
      </w:r>
      <w:r w:rsidRPr="00771E6E">
        <w:rPr>
          <w:rFonts w:eastAsia="Times New Roman" w:cs="Times New Roman"/>
          <w:i/>
        </w:rPr>
        <w:t>tondi</w:t>
      </w:r>
      <w:r w:rsidRPr="00771E6E">
        <w:rPr>
          <w:rFonts w:eastAsia="Times New Roman" w:cs="Times New Roman"/>
        </w:rPr>
        <w:t xml:space="preserve"> were often used to decorate domestic settings. They provide a rich source of examples of musical angels and divine figures, which are readily interpreted as providing models for the viewers’ religious and ethical development. The previous chapter has looked at various examples of these to demonstrate ways in which they were used as </w:t>
      </w:r>
      <w:r w:rsidRPr="00771E6E">
        <w:rPr>
          <w:rFonts w:eastAsia="Times New Roman" w:cs="Times New Roman"/>
          <w:i/>
        </w:rPr>
        <w:t>exempla</w:t>
      </w:r>
      <w:r w:rsidRPr="00771E6E">
        <w:rPr>
          <w:rFonts w:eastAsia="Times New Roman" w:cs="Times New Roman"/>
        </w:rPr>
        <w:t xml:space="preserve"> for the residents of the house to imitate, and in particular the way in which they appear to </w:t>
      </w:r>
      <w:proofErr w:type="spellStart"/>
      <w:r w:rsidRPr="00771E6E">
        <w:rPr>
          <w:rFonts w:eastAsia="Times New Roman" w:cs="Times New Roman"/>
        </w:rPr>
        <w:t>utilise</w:t>
      </w:r>
      <w:proofErr w:type="spellEnd"/>
      <w:r w:rsidRPr="00771E6E">
        <w:rPr>
          <w:rFonts w:eastAsia="Times New Roman" w:cs="Times New Roman"/>
        </w:rPr>
        <w:t xml:space="preserve"> a range of widely known methods with the intention of assisting with moral education and promoting virtuous </w:t>
      </w:r>
      <w:proofErr w:type="spellStart"/>
      <w:r w:rsidRPr="00771E6E">
        <w:rPr>
          <w:rFonts w:eastAsia="Times New Roman" w:cs="Times New Roman"/>
        </w:rPr>
        <w:t>behaviour</w:t>
      </w:r>
      <w:proofErr w:type="spellEnd"/>
      <w:r w:rsidRPr="00771E6E">
        <w:rPr>
          <w:rFonts w:eastAsia="Times New Roman" w:cs="Times New Roman"/>
        </w:rPr>
        <w:t>, especially that of children.</w:t>
      </w:r>
    </w:p>
    <w:p w14:paraId="47385322"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 xml:space="preserve">However, </w:t>
      </w:r>
      <w:r w:rsidRPr="00771E6E">
        <w:rPr>
          <w:rFonts w:eastAsia="Times New Roman" w:cs="Times New Roman"/>
          <w:i/>
        </w:rPr>
        <w:t>tondi</w:t>
      </w:r>
      <w:r w:rsidRPr="00771E6E">
        <w:rPr>
          <w:rFonts w:eastAsia="Times New Roman" w:cs="Times New Roman"/>
        </w:rPr>
        <w:t xml:space="preserve"> were far from being the only type of object found in the domestic environment that was decorated in this way. Angels, both musical and otherwise, could be found in images adorning a range of objects across several different media, including wall-hangings, murals and decorated furniture. It is important to appreciate the ubiquity of these types of images, and to understand how often people of all ages, but in particular children, would have come into contact with them.</w:t>
      </w:r>
    </w:p>
    <w:p w14:paraId="56DA26E7" w14:textId="77777777" w:rsidR="00310CB2" w:rsidRPr="00771E6E" w:rsidRDefault="00310CB2" w:rsidP="00310CB2">
      <w:pPr>
        <w:ind w:firstLine="720"/>
        <w:contextualSpacing/>
        <w:rPr>
          <w:rFonts w:eastAsia="Times New Roman" w:cs="Times New Roman"/>
          <w:color w:val="000000" w:themeColor="text1"/>
        </w:rPr>
      </w:pPr>
      <w:r w:rsidRPr="00771E6E">
        <w:rPr>
          <w:rFonts w:eastAsia="Times New Roman" w:cs="Times New Roman"/>
        </w:rPr>
        <w:t xml:space="preserve">By </w:t>
      </w:r>
      <w:proofErr w:type="spellStart"/>
      <w:r w:rsidRPr="00771E6E">
        <w:rPr>
          <w:rFonts w:eastAsia="Times New Roman" w:cs="Times New Roman"/>
        </w:rPr>
        <w:t>analysing</w:t>
      </w:r>
      <w:proofErr w:type="spellEnd"/>
      <w:r w:rsidRPr="00771E6E">
        <w:rPr>
          <w:rFonts w:eastAsia="Times New Roman" w:cs="Times New Roman"/>
        </w:rPr>
        <w:t xml:space="preserve"> some examples of musical angels in domestic ornamentation, the following chapter will provide a brief overview of a number of types of decorated objects and media that were commonly present in the </w:t>
      </w:r>
      <w:r w:rsidRPr="00771E6E">
        <w:rPr>
          <w:rFonts w:eastAsia="Times New Roman" w:cs="Times New Roman"/>
          <w:color w:val="000000" w:themeColor="text1"/>
        </w:rPr>
        <w:t>Renaissance home. The first section of this chapter will focus on musical angels in paintings and reproducible media. The popularity of domestic devotional images was closely linked to a widespread desire to engage with personal piety, rather than reflecting an investment in the authorship of a famous master. Accordingly, replicas and copies of original compositions were sold to the mass-market on an unprecedentedly large scale – as was the case, for example, for many of Botticelli’s works.</w:t>
      </w:r>
      <w:r w:rsidRPr="00771E6E">
        <w:rPr>
          <w:rStyle w:val="FootnoteReference"/>
        </w:rPr>
        <w:footnoteReference w:id="708"/>
      </w:r>
      <w:r w:rsidRPr="00771E6E">
        <w:rPr>
          <w:rFonts w:eastAsia="Times New Roman" w:cs="Times New Roman"/>
          <w:color w:val="000000" w:themeColor="text1"/>
        </w:rPr>
        <w:t xml:space="preserve"> This also applies, perhaps to an even greater degree, to </w:t>
      </w:r>
      <w:r w:rsidRPr="00771E6E">
        <w:rPr>
          <w:rFonts w:eastAsia="Times New Roman" w:cs="Times New Roman"/>
          <w:i/>
          <w:color w:val="000000" w:themeColor="text1"/>
        </w:rPr>
        <w:t>terracotta</w:t>
      </w:r>
      <w:r w:rsidRPr="00771E6E">
        <w:rPr>
          <w:rFonts w:eastAsia="Times New Roman" w:cs="Times New Roman"/>
          <w:color w:val="000000" w:themeColor="text1"/>
        </w:rPr>
        <w:t xml:space="preserve"> reliefs, as they could be cast multiple times from the same </w:t>
      </w:r>
      <w:proofErr w:type="spellStart"/>
      <w:r w:rsidRPr="00771E6E">
        <w:rPr>
          <w:rFonts w:eastAsia="Times New Roman" w:cs="Times New Roman"/>
          <w:color w:val="000000" w:themeColor="text1"/>
        </w:rPr>
        <w:t>mould</w:t>
      </w:r>
      <w:proofErr w:type="spellEnd"/>
      <w:r w:rsidRPr="00771E6E">
        <w:rPr>
          <w:rFonts w:eastAsia="Times New Roman" w:cs="Times New Roman"/>
          <w:color w:val="000000" w:themeColor="text1"/>
        </w:rPr>
        <w:t>, and so were even more easily reproduced in greater numbers.</w:t>
      </w:r>
      <w:r w:rsidRPr="00771E6E">
        <w:rPr>
          <w:rStyle w:val="FootnoteReference"/>
        </w:rPr>
        <w:footnoteReference w:id="709"/>
      </w:r>
    </w:p>
    <w:p w14:paraId="0A1346CF" w14:textId="77777777" w:rsidR="00310CB2" w:rsidRPr="00771E6E" w:rsidRDefault="00310CB2" w:rsidP="00310CB2">
      <w:pPr>
        <w:ind w:firstLine="720"/>
        <w:contextualSpacing/>
        <w:rPr>
          <w:rFonts w:eastAsia="Times New Roman" w:cs="Times New Roman"/>
          <w:color w:val="000000" w:themeColor="text1"/>
        </w:rPr>
      </w:pPr>
      <w:r w:rsidRPr="00771E6E">
        <w:rPr>
          <w:rFonts w:eastAsia="Times New Roman" w:cs="Times New Roman"/>
          <w:color w:val="000000" w:themeColor="text1"/>
        </w:rPr>
        <w:lastRenderedPageBreak/>
        <w:t>The second section discusses musical angels in the context of the Magi chapel in Palazzo Medici, the construction and decoration of which are fairly well documented</w:t>
      </w:r>
      <w:r w:rsidRPr="00771E6E">
        <w:rPr>
          <w:rFonts w:eastAsia="Times New Roman" w:cs="Times New Roman"/>
        </w:rPr>
        <w:t xml:space="preserve">. </w:t>
      </w:r>
      <w:r w:rsidRPr="00771E6E">
        <w:rPr>
          <w:rFonts w:eastAsia="Times New Roman" w:cs="Times New Roman"/>
          <w:color w:val="000000" w:themeColor="text1"/>
        </w:rPr>
        <w:t>While very few households would have had such a dedicated space, this serves to demonstrate how such spaces could have been charged with the meanings and messages of musical angels when no expense or extravagance was too great.</w:t>
      </w:r>
    </w:p>
    <w:p w14:paraId="20903357" w14:textId="77777777" w:rsidR="00310CB2" w:rsidRPr="00771E6E" w:rsidRDefault="00310CB2" w:rsidP="00310CB2">
      <w:pPr>
        <w:ind w:firstLine="720"/>
        <w:contextualSpacing/>
        <w:rPr>
          <w:rFonts w:eastAsia="Times New Roman" w:cs="Times New Roman"/>
          <w:color w:val="000000" w:themeColor="text1"/>
        </w:rPr>
      </w:pPr>
      <w:r w:rsidRPr="00771E6E">
        <w:rPr>
          <w:rFonts w:eastAsia="Times New Roman" w:cs="Times New Roman"/>
          <w:color w:val="000000" w:themeColor="text1"/>
        </w:rPr>
        <w:t>Finally, the third section discusses musical angels in domestic furniture, and considers the impact of multi-purpose items in the Florentine household.</w:t>
      </w:r>
    </w:p>
    <w:p w14:paraId="570E56AA" w14:textId="77777777" w:rsidR="00310CB2" w:rsidRPr="00771E6E" w:rsidRDefault="00310CB2" w:rsidP="00182EED"/>
    <w:p w14:paraId="5C1F8B3A" w14:textId="77777777" w:rsidR="00310CB2" w:rsidRPr="00771E6E" w:rsidRDefault="00310CB2" w:rsidP="00182EED"/>
    <w:p w14:paraId="412D173F" w14:textId="77777777" w:rsidR="00310CB2" w:rsidRPr="00771E6E" w:rsidRDefault="00310CB2" w:rsidP="00310CB2">
      <w:pPr>
        <w:pStyle w:val="Subchapter"/>
      </w:pPr>
      <w:bookmarkStart w:id="76" w:name="_Toc4330895"/>
      <w:bookmarkStart w:id="77" w:name="_Toc20167616"/>
      <w:r w:rsidRPr="00771E6E">
        <w:t xml:space="preserve">4.1 Musical Angels </w:t>
      </w:r>
      <w:bookmarkEnd w:id="75"/>
      <w:r w:rsidRPr="00771E6E">
        <w:t>in Paintings and Reproducible Media</w:t>
      </w:r>
      <w:bookmarkEnd w:id="76"/>
      <w:bookmarkEnd w:id="77"/>
    </w:p>
    <w:p w14:paraId="79E1AA4B" w14:textId="77777777" w:rsidR="00310CB2" w:rsidRPr="00771E6E" w:rsidRDefault="00310CB2" w:rsidP="00182EED"/>
    <w:p w14:paraId="614EFA5A" w14:textId="77777777" w:rsidR="00310CB2" w:rsidRPr="00771E6E" w:rsidRDefault="00310CB2" w:rsidP="00310CB2">
      <w:pPr>
        <w:contextualSpacing/>
        <w:rPr>
          <w:rFonts w:eastAsia="Times New Roman" w:cs="Times New Roman"/>
        </w:rPr>
      </w:pPr>
      <w:r w:rsidRPr="00771E6E">
        <w:rPr>
          <w:rFonts w:eastAsia="Times New Roman" w:cs="Times New Roman"/>
        </w:rPr>
        <w:t xml:space="preserve">As shown by the large number of surviving works of art, as well as by archival documents such as inventories and account books compiled either by the artist or by the buyer, images of the Virgin and Child were the most commonplace depictions in the Renaissance home. These images, which commonly featured groups of angels, were so popular that to cater to the huge demand for them, paintings with the Virgin and Child were not only produced locally, but also imported, as demonstrated by an order of </w:t>
      </w:r>
      <w:r w:rsidRPr="00771E6E">
        <w:rPr>
          <w:rFonts w:eastAsia="Times New Roman" w:cs="Times New Roman"/>
          <w:noProof/>
        </w:rPr>
        <w:t>seven hundreds icons from Crete placed by Venetian merchants in 1499.</w:t>
      </w:r>
      <w:r w:rsidRPr="00771E6E">
        <w:rPr>
          <w:rStyle w:val="FootnoteReference"/>
        </w:rPr>
        <w:footnoteReference w:id="710"/>
      </w:r>
      <w:r w:rsidRPr="00771E6E">
        <w:rPr>
          <w:rFonts w:eastAsia="Times New Roman" w:cs="Times New Roman"/>
          <w:noProof/>
        </w:rPr>
        <w:t xml:space="preserve"> </w:t>
      </w:r>
      <w:r w:rsidRPr="00771E6E">
        <w:rPr>
          <w:rFonts w:eastAsia="Times New Roman" w:cs="Times New Roman"/>
        </w:rPr>
        <w:t xml:space="preserve">Depictions of the Virgin and Child were produced in a wide variety of formats and media, to suit the needs of a diversified market, and provided both a focus for domestic devotional practices and role models to imitate. As one might expect, it is in the context of these devotional depictions that musical angels appear most often in the domestic environment. </w:t>
      </w:r>
    </w:p>
    <w:p w14:paraId="2DE73952"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 xml:space="preserve">Some families possessed the means and the inclination to provide a dedicated space in the home set aside specifically for personal devotion. </w:t>
      </w:r>
      <w:r w:rsidRPr="00771E6E">
        <w:rPr>
          <w:rFonts w:eastAsia="Times New Roman" w:cs="Times New Roman"/>
          <w:color w:val="000000" w:themeColor="text1"/>
        </w:rPr>
        <w:t>Such a space might take the form of a permanent private chapel – which will be the focus of the next section – or alternatively a small, portable altar in the form of a consecrated stone could be procured, provided that the owner was granted a papal or episcopal licen</w:t>
      </w:r>
      <w:r w:rsidR="007535D7" w:rsidRPr="00771E6E">
        <w:rPr>
          <w:rFonts w:eastAsia="Times New Roman" w:cs="Times New Roman"/>
          <w:color w:val="000000" w:themeColor="text1"/>
        </w:rPr>
        <w:t>s</w:t>
      </w:r>
      <w:r w:rsidRPr="00771E6E">
        <w:rPr>
          <w:rFonts w:eastAsia="Times New Roman" w:cs="Times New Roman"/>
          <w:color w:val="000000" w:themeColor="text1"/>
        </w:rPr>
        <w:t>e. However, it seems that these instances were relatively rare, and in most dwellings sacred and secular spaces would not have been clearly defined.</w:t>
      </w:r>
      <w:r w:rsidRPr="00771E6E">
        <w:rPr>
          <w:rStyle w:val="FootnoteReference"/>
        </w:rPr>
        <w:footnoteReference w:id="711"/>
      </w:r>
      <w:r w:rsidRPr="00771E6E">
        <w:rPr>
          <w:rStyle w:val="CommentReference"/>
        </w:rPr>
        <w:t xml:space="preserve"> </w:t>
      </w:r>
      <w:r w:rsidRPr="00771E6E">
        <w:rPr>
          <w:rFonts w:eastAsia="Times New Roman" w:cs="Times New Roman"/>
          <w:color w:val="000000" w:themeColor="text1"/>
        </w:rPr>
        <w:t xml:space="preserve"> </w:t>
      </w:r>
      <w:proofErr w:type="spellStart"/>
      <w:r w:rsidRPr="00771E6E">
        <w:rPr>
          <w:rFonts w:eastAsia="Times New Roman" w:cs="Times New Roman"/>
          <w:i/>
        </w:rPr>
        <w:t>Camere</w:t>
      </w:r>
      <w:proofErr w:type="spellEnd"/>
      <w:r w:rsidRPr="00771E6E">
        <w:rPr>
          <w:rFonts w:eastAsia="Times New Roman" w:cs="Times New Roman"/>
        </w:rPr>
        <w:t xml:space="preserve"> (bedrooms) were commonly decorated with works of art that were designed to perform both a devotional and a didactic function. There is also evidence that such exemplary devotional images were displayed in children’s bedrooms. </w:t>
      </w:r>
      <w:r w:rsidRPr="00771E6E">
        <w:rPr>
          <w:rFonts w:eastAsia="Times New Roman" w:cs="Times New Roman"/>
        </w:rPr>
        <w:lastRenderedPageBreak/>
        <w:t xml:space="preserve">The bedroom of the ten-year-old </w:t>
      </w:r>
      <w:proofErr w:type="spellStart"/>
      <w:r w:rsidRPr="00771E6E">
        <w:rPr>
          <w:rFonts w:eastAsia="Times New Roman" w:cs="Times New Roman"/>
        </w:rPr>
        <w:t>Giovannino</w:t>
      </w:r>
      <w:proofErr w:type="spellEnd"/>
      <w:r w:rsidRPr="00771E6E">
        <w:rPr>
          <w:rFonts w:eastAsia="Times New Roman" w:cs="Times New Roman"/>
        </w:rPr>
        <w:t>, son of Giovanni di Francesco Tornabuoni, for example, was furnished with images of the Virgin Mary and a tabernacle.</w:t>
      </w:r>
      <w:r w:rsidRPr="00771E6E">
        <w:rPr>
          <w:rStyle w:val="FootnoteReference"/>
        </w:rPr>
        <w:footnoteReference w:id="712"/>
      </w:r>
      <w:r w:rsidRPr="00771E6E">
        <w:rPr>
          <w:rFonts w:eastAsia="Times New Roman" w:cs="Times New Roman"/>
        </w:rPr>
        <w:t xml:space="preserve"> Such images could, of course, include depictions of angels, as exemplified in the case of the bedroom of Bartolomeo </w:t>
      </w:r>
      <w:proofErr w:type="spellStart"/>
      <w:r w:rsidRPr="00771E6E">
        <w:rPr>
          <w:rFonts w:eastAsia="Times New Roman" w:cs="Times New Roman"/>
        </w:rPr>
        <w:t>Sassetti’s</w:t>
      </w:r>
      <w:proofErr w:type="spellEnd"/>
      <w:r w:rsidRPr="00771E6E">
        <w:rPr>
          <w:rFonts w:eastAsia="Times New Roman" w:cs="Times New Roman"/>
        </w:rPr>
        <w:t xml:space="preserve"> son, for which the boy’s father commissioned an artist named Lorenzo to paint a “Nostra Donna col </w:t>
      </w:r>
      <w:proofErr w:type="spellStart"/>
      <w:r w:rsidRPr="00771E6E">
        <w:rPr>
          <w:rFonts w:eastAsia="Times New Roman" w:cs="Times New Roman"/>
        </w:rPr>
        <w:t>Banbino</w:t>
      </w:r>
      <w:proofErr w:type="spellEnd"/>
      <w:r w:rsidRPr="00771E6E">
        <w:rPr>
          <w:rFonts w:eastAsia="Times New Roman" w:cs="Times New Roman"/>
        </w:rPr>
        <w:t xml:space="preserve"> in </w:t>
      </w:r>
      <w:proofErr w:type="spellStart"/>
      <w:r w:rsidRPr="00771E6E">
        <w:rPr>
          <w:rFonts w:eastAsia="Times New Roman" w:cs="Times New Roman"/>
        </w:rPr>
        <w:t>collo</w:t>
      </w:r>
      <w:proofErr w:type="spellEnd"/>
      <w:r w:rsidRPr="00771E6E">
        <w:rPr>
          <w:rFonts w:eastAsia="Times New Roman" w:cs="Times New Roman"/>
        </w:rPr>
        <w:t xml:space="preserve"> e </w:t>
      </w:r>
      <w:proofErr w:type="spellStart"/>
      <w:r w:rsidRPr="00771E6E">
        <w:rPr>
          <w:rFonts w:eastAsia="Times New Roman" w:cs="Times New Roman"/>
        </w:rPr>
        <w:t>uno</w:t>
      </w:r>
      <w:proofErr w:type="spellEnd"/>
      <w:r w:rsidRPr="00771E6E">
        <w:rPr>
          <w:rFonts w:eastAsia="Times New Roman" w:cs="Times New Roman"/>
        </w:rPr>
        <w:t xml:space="preserve"> </w:t>
      </w:r>
      <w:proofErr w:type="spellStart"/>
      <w:r w:rsidRPr="00771E6E">
        <w:rPr>
          <w:rFonts w:eastAsia="Times New Roman" w:cs="Times New Roman"/>
        </w:rPr>
        <w:t>angelo</w:t>
      </w:r>
      <w:proofErr w:type="spellEnd"/>
      <w:r w:rsidRPr="00771E6E">
        <w:rPr>
          <w:rFonts w:eastAsia="Times New Roman" w:cs="Times New Roman"/>
        </w:rPr>
        <w:t xml:space="preserve"> da </w:t>
      </w:r>
      <w:proofErr w:type="spellStart"/>
      <w:r w:rsidRPr="00771E6E">
        <w:rPr>
          <w:rFonts w:eastAsia="Times New Roman" w:cs="Times New Roman"/>
        </w:rPr>
        <w:t>llato</w:t>
      </w:r>
      <w:proofErr w:type="spellEnd"/>
      <w:r w:rsidRPr="00771E6E">
        <w:rPr>
          <w:rFonts w:eastAsia="Times New Roman" w:cs="Times New Roman"/>
        </w:rPr>
        <w:t>” (Our Lady with the Child at her neck and an angel at her side).</w:t>
      </w:r>
      <w:r w:rsidRPr="00771E6E">
        <w:rPr>
          <w:rStyle w:val="FootnoteReference"/>
        </w:rPr>
        <w:footnoteReference w:id="713"/>
      </w:r>
      <w:r w:rsidRPr="00771E6E">
        <w:rPr>
          <w:rFonts w:eastAsia="Times New Roman" w:cs="Times New Roman"/>
        </w:rPr>
        <w:t xml:space="preserve"> As suggested by Stephanie R. Miller, the decoration of children’s bedrooms was instrumental in the delivery of moral lessons.</w:t>
      </w:r>
      <w:r w:rsidRPr="00771E6E">
        <w:rPr>
          <w:rStyle w:val="FootnoteReference"/>
        </w:rPr>
        <w:footnoteReference w:id="714"/>
      </w:r>
    </w:p>
    <w:p w14:paraId="1A8EC47A"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 xml:space="preserve">A small lunette with a similar depiction of the Virgin with the Child and two angels by </w:t>
      </w:r>
      <w:proofErr w:type="spellStart"/>
      <w:r w:rsidRPr="00771E6E">
        <w:rPr>
          <w:rFonts w:eastAsia="Times New Roman" w:cs="Times New Roman"/>
        </w:rPr>
        <w:t>Pesellino</w:t>
      </w:r>
      <w:proofErr w:type="spellEnd"/>
      <w:r w:rsidRPr="00771E6E">
        <w:rPr>
          <w:rFonts w:eastAsia="Times New Roman" w:cs="Times New Roman"/>
        </w:rPr>
        <w:t xml:space="preserve"> could be found in the room of “</w:t>
      </w:r>
      <w:proofErr w:type="spellStart"/>
      <w:r w:rsidRPr="00771E6E">
        <w:rPr>
          <w:rFonts w:eastAsia="Times New Roman" w:cs="Times New Roman"/>
        </w:rPr>
        <w:t>Monsignore</w:t>
      </w:r>
      <w:proofErr w:type="spellEnd"/>
      <w:r w:rsidRPr="00771E6E">
        <w:rPr>
          <w:rFonts w:eastAsia="Times New Roman" w:cs="Times New Roman"/>
        </w:rPr>
        <w:t xml:space="preserve">,” according to the inventory of Lorenzo </w:t>
      </w:r>
      <w:proofErr w:type="spellStart"/>
      <w:r w:rsidRPr="00771E6E">
        <w:rPr>
          <w:rFonts w:eastAsia="Times New Roman" w:cs="Times New Roman"/>
        </w:rPr>
        <w:t>il</w:t>
      </w:r>
      <w:proofErr w:type="spellEnd"/>
      <w:r w:rsidRPr="00771E6E">
        <w:rPr>
          <w:rFonts w:eastAsia="Times New Roman" w:cs="Times New Roman"/>
        </w:rPr>
        <w:t xml:space="preserve"> Magnifico’s possessions carried out following his death, in 1492.</w:t>
      </w:r>
      <w:r w:rsidRPr="00771E6E">
        <w:rPr>
          <w:rStyle w:val="FootnoteReference"/>
        </w:rPr>
        <w:footnoteReference w:id="715"/>
      </w:r>
      <w:r w:rsidRPr="00771E6E">
        <w:rPr>
          <w:rFonts w:eastAsia="Times New Roman" w:cs="Times New Roman"/>
        </w:rPr>
        <w:t xml:space="preserve"> The designation of this chamber indicates that it was originally occupied by Lorenzo’s son Giovanni, who was later to become Pope Leo X. However, at the time that the inventory was taken another of Lorenzo’s sons, the then thirteen-year old Giuliano, was residing in these quarters, as his older brother had recently been consecrated as cardinal and had left the household.</w:t>
      </w:r>
      <w:r w:rsidRPr="00771E6E">
        <w:rPr>
          <w:rStyle w:val="FootnoteReference"/>
        </w:rPr>
        <w:footnoteReference w:id="716"/>
      </w:r>
      <w:r w:rsidRPr="00771E6E">
        <w:rPr>
          <w:rFonts w:eastAsia="Times New Roman" w:cs="Times New Roman"/>
        </w:rPr>
        <w:t xml:space="preserve"> The fact that this room was occupied first by the young Giovanni, and then by Giuliano, clearly indicates that these subjects were deemed appropriate for a space inhabited by children, and, as well as being the focus of their personal devotional activities, would have provided them with a source of positive moral examples. </w:t>
      </w:r>
    </w:p>
    <w:p w14:paraId="72142CF2" w14:textId="77777777" w:rsidR="00310CB2" w:rsidRPr="00771E6E" w:rsidRDefault="00310CB2" w:rsidP="00310CB2">
      <w:pPr>
        <w:ind w:firstLine="720"/>
        <w:contextualSpacing/>
        <w:rPr>
          <w:rFonts w:eastAsia="Times New Roman" w:cs="Times New Roman"/>
        </w:rPr>
      </w:pPr>
      <w:r w:rsidRPr="00771E6E">
        <w:rPr>
          <w:rFonts w:eastAsia="Times New Roman" w:cs="Times New Roman"/>
          <w:color w:val="000000" w:themeColor="text1"/>
        </w:rPr>
        <w:t xml:space="preserve">Sacred spaces within the house, either officially consecrated by a member of the clergy or otherwise, were usually adorned by young members of the household. Giovanni </w:t>
      </w:r>
      <w:proofErr w:type="spellStart"/>
      <w:r w:rsidRPr="00771E6E">
        <w:rPr>
          <w:rFonts w:eastAsia="Times New Roman" w:cs="Times New Roman"/>
          <w:color w:val="000000" w:themeColor="text1"/>
        </w:rPr>
        <w:t>Dominici</w:t>
      </w:r>
      <w:proofErr w:type="spellEnd"/>
      <w:r w:rsidRPr="00771E6E">
        <w:rPr>
          <w:rFonts w:eastAsia="Times New Roman" w:cs="Times New Roman"/>
          <w:color w:val="000000" w:themeColor="text1"/>
        </w:rPr>
        <w:t xml:space="preserve"> encouraged the readers of his manual to let their children interact with these devotional arrangements, as the priest would in a Church:</w:t>
      </w:r>
    </w:p>
    <w:p w14:paraId="0B0D3BB3" w14:textId="77777777" w:rsidR="00310CB2" w:rsidRPr="00771E6E" w:rsidRDefault="00310CB2" w:rsidP="00310CB2">
      <w:pPr>
        <w:ind w:left="720"/>
        <w:contextualSpacing/>
        <w:rPr>
          <w:rFonts w:eastAsia="Times New Roman" w:cs="Times New Roman"/>
          <w:b/>
          <w:color w:val="000000" w:themeColor="text1"/>
        </w:rPr>
      </w:pPr>
    </w:p>
    <w:p w14:paraId="15B7F834" w14:textId="77777777" w:rsidR="00310CB2" w:rsidRPr="00771E6E" w:rsidRDefault="00310CB2" w:rsidP="00310CB2">
      <w:pPr>
        <w:pStyle w:val="IntenseQuote"/>
        <w:rPr>
          <w:b/>
          <w:color w:val="000000" w:themeColor="text1"/>
        </w:rPr>
      </w:pPr>
      <w:r w:rsidRPr="00771E6E">
        <w:t xml:space="preserve">Create a little altar or two in your house, dedicated to the </w:t>
      </w:r>
      <w:proofErr w:type="spellStart"/>
      <w:r w:rsidRPr="00771E6E">
        <w:t>Saviour</w:t>
      </w:r>
      <w:proofErr w:type="spellEnd"/>
      <w:r w:rsidRPr="00771E6E">
        <w:t xml:space="preserve">, whose feast is every Sunday. Put three or four different images there, and let him [your son] or others [with him] be their acolytes, and show them how they should adorn this little chapel in different ways on each feast day. Sometimes, they will busy themselves making garlands of flowers or plants and crown Jesus [with these], adore the </w:t>
      </w:r>
      <w:r w:rsidRPr="00771E6E">
        <w:lastRenderedPageBreak/>
        <w:t>painted [image of the] Virgin Mary, make little candles … sing as they can, [or] attempt to say Mass.</w:t>
      </w:r>
      <w:r w:rsidRPr="00771E6E">
        <w:rPr>
          <w:rStyle w:val="FootnoteReference"/>
        </w:rPr>
        <w:footnoteReference w:id="717"/>
      </w:r>
      <w:r w:rsidRPr="00771E6E">
        <w:rPr>
          <w:color w:val="000000" w:themeColor="text1"/>
        </w:rPr>
        <w:t xml:space="preserve"> </w:t>
      </w:r>
    </w:p>
    <w:p w14:paraId="4DB9A2E1" w14:textId="77777777" w:rsidR="00310CB2" w:rsidRPr="00771E6E" w:rsidRDefault="00310CB2" w:rsidP="00310CB2">
      <w:pPr>
        <w:contextualSpacing/>
        <w:rPr>
          <w:rFonts w:eastAsia="Times New Roman" w:cs="Times New Roman"/>
        </w:rPr>
      </w:pPr>
    </w:p>
    <w:p w14:paraId="65AA7039" w14:textId="77777777" w:rsidR="00310CB2" w:rsidRPr="00771E6E" w:rsidRDefault="00310CB2" w:rsidP="00310CB2">
      <w:pPr>
        <w:contextualSpacing/>
        <w:rPr>
          <w:rFonts w:eastAsia="Times New Roman" w:cs="Times New Roman"/>
        </w:rPr>
      </w:pPr>
      <w:r w:rsidRPr="00771E6E">
        <w:rPr>
          <w:rFonts w:eastAsia="Times New Roman" w:cs="Times New Roman"/>
        </w:rPr>
        <w:t>This practice seems to have been fairly common, as we know that as a young boy even Gerolamo Savonarola entertained himself by setting up small altars.</w:t>
      </w:r>
      <w:r w:rsidRPr="00771E6E">
        <w:rPr>
          <w:rStyle w:val="FootnoteReference"/>
        </w:rPr>
        <w:footnoteReference w:id="718"/>
      </w:r>
      <w:r w:rsidRPr="00771E6E">
        <w:rPr>
          <w:rFonts w:eastAsia="Times New Roman" w:cs="Times New Roman"/>
        </w:rPr>
        <w:t xml:space="preserve"> Girls were also invited to engage with this type of activity. The manual for girls entitled </w:t>
      </w:r>
      <w:r w:rsidRPr="00771E6E">
        <w:rPr>
          <w:rFonts w:eastAsia="Times New Roman" w:cs="Times New Roman"/>
          <w:i/>
        </w:rPr>
        <w:t xml:space="preserve">Decor </w:t>
      </w:r>
      <w:proofErr w:type="spellStart"/>
      <w:r w:rsidRPr="00771E6E">
        <w:rPr>
          <w:rFonts w:eastAsia="Times New Roman" w:cs="Times New Roman"/>
          <w:i/>
        </w:rPr>
        <w:t>Puellarum</w:t>
      </w:r>
      <w:proofErr w:type="spellEnd"/>
      <w:r w:rsidRPr="00771E6E">
        <w:rPr>
          <w:rFonts w:eastAsia="Times New Roman" w:cs="Times New Roman"/>
        </w:rPr>
        <w:t xml:space="preserve"> (On the Custom of Girls), published in Venice in 1471, recommends that girls “make an altar, and devote yourself to adorning it with beautiful and devout images, and with lovely decorations made out of embroidery, or else place some vases on it.”</w:t>
      </w:r>
      <w:r w:rsidRPr="00771E6E">
        <w:rPr>
          <w:rStyle w:val="FootnoteReference"/>
        </w:rPr>
        <w:footnoteReference w:id="719"/>
      </w:r>
      <w:r w:rsidRPr="00771E6E">
        <w:rPr>
          <w:rFonts w:eastAsia="Times New Roman" w:cs="Times New Roman"/>
        </w:rPr>
        <w:t xml:space="preserve"> These practices would have likely served to encourage children to develop an interest in Christian practices, shaping play time as an educational activity.</w:t>
      </w:r>
    </w:p>
    <w:p w14:paraId="56A0166B"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 xml:space="preserve">While it is apparent that religious imagery, and angels in particular, were present in a number of locations around the home, it is usually very difficult to assign specific paintings to particular rooms; but in one case at least we can be almost certain which room was the intended destination for a devotional picture. Piero </w:t>
      </w:r>
      <w:proofErr w:type="spellStart"/>
      <w:r w:rsidRPr="00771E6E">
        <w:rPr>
          <w:rFonts w:eastAsia="Times New Roman" w:cs="Times New Roman"/>
        </w:rPr>
        <w:t>della</w:t>
      </w:r>
      <w:proofErr w:type="spellEnd"/>
      <w:r w:rsidRPr="00771E6E">
        <w:rPr>
          <w:rFonts w:eastAsia="Times New Roman" w:cs="Times New Roman"/>
        </w:rPr>
        <w:t xml:space="preserve"> Francesca’s</w:t>
      </w:r>
      <w:r w:rsidRPr="00771E6E">
        <w:rPr>
          <w:rFonts w:eastAsia="Times New Roman" w:cs="Times New Roman"/>
          <w:color w:val="000000" w:themeColor="text1"/>
          <w:lang w:val="it-IT"/>
        </w:rPr>
        <w:t xml:space="preserve"> </w:t>
      </w:r>
      <w:proofErr w:type="spellStart"/>
      <w:r w:rsidRPr="00771E6E">
        <w:rPr>
          <w:rFonts w:eastAsia="Times New Roman" w:cs="Times New Roman"/>
          <w:i/>
          <w:color w:val="000000" w:themeColor="text1"/>
          <w:lang w:val="it-IT"/>
        </w:rPr>
        <w:t>Nativity</w:t>
      </w:r>
      <w:proofErr w:type="spellEnd"/>
      <w:r w:rsidRPr="00771E6E">
        <w:rPr>
          <w:rFonts w:eastAsia="Times New Roman" w:cs="Times New Roman"/>
        </w:rPr>
        <w:t>, now kept in the National Gallery, London, was painted by the artist towards the end of his life, around 1480 (fig. 4.1).</w:t>
      </w:r>
      <w:r w:rsidRPr="00771E6E">
        <w:rPr>
          <w:rStyle w:val="FootnoteReference"/>
        </w:rPr>
        <w:footnoteReference w:id="720"/>
      </w:r>
      <w:r w:rsidRPr="00771E6E">
        <w:rPr>
          <w:rFonts w:eastAsia="Times New Roman" w:cs="Times New Roman"/>
        </w:rPr>
        <w:t xml:space="preserve"> This painting is listed in an inventory compiled by Piero’s nephew Bartolomeo in 1500, which recorded the possessions of another of Piero’s nephews, Francesco di Marco. This records that the painting hung in the chamber occupied by Francesco’s widow, </w:t>
      </w:r>
      <w:proofErr w:type="spellStart"/>
      <w:r w:rsidRPr="00771E6E">
        <w:rPr>
          <w:rFonts w:eastAsia="Times New Roman" w:cs="Times New Roman"/>
        </w:rPr>
        <w:t>Laudomia</w:t>
      </w:r>
      <w:proofErr w:type="spellEnd"/>
      <w:r w:rsidRPr="00771E6E">
        <w:rPr>
          <w:rFonts w:eastAsia="Times New Roman" w:cs="Times New Roman"/>
        </w:rPr>
        <w:t>, until she remarried.</w:t>
      </w:r>
      <w:r w:rsidRPr="00771E6E">
        <w:rPr>
          <w:rStyle w:val="FootnoteReference"/>
        </w:rPr>
        <w:footnoteReference w:id="721"/>
      </w:r>
      <w:r w:rsidRPr="00771E6E">
        <w:rPr>
          <w:rFonts w:eastAsia="Times New Roman" w:cs="Times New Roman"/>
        </w:rPr>
        <w:t xml:space="preserve"> Despite being badly damaged by heavy restoration work, the painting’s content is still clearly legible. Piero set the scene in Borgo </w:t>
      </w:r>
      <w:proofErr w:type="spellStart"/>
      <w:r w:rsidRPr="00771E6E">
        <w:rPr>
          <w:rFonts w:eastAsia="Times New Roman" w:cs="Times New Roman"/>
        </w:rPr>
        <w:t>Sansepolcro</w:t>
      </w:r>
      <w:proofErr w:type="spellEnd"/>
      <w:r w:rsidRPr="00771E6E">
        <w:rPr>
          <w:rFonts w:eastAsia="Times New Roman" w:cs="Times New Roman"/>
        </w:rPr>
        <w:t xml:space="preserve">, his native town, the location at which the painting was inventoried in 1500, and where it remained at least until the mid-nineteenth-century, as we learn from one </w:t>
      </w:r>
      <w:r w:rsidRPr="00771E6E">
        <w:rPr>
          <w:rFonts w:eastAsia="Times New Roman" w:cs="Times New Roman"/>
        </w:rPr>
        <w:lastRenderedPageBreak/>
        <w:t xml:space="preserve">of </w:t>
      </w:r>
      <w:proofErr w:type="spellStart"/>
      <w:r w:rsidRPr="00771E6E">
        <w:rPr>
          <w:rFonts w:eastAsia="Times New Roman" w:cs="Times New Roman"/>
        </w:rPr>
        <w:t>Milanesi’s</w:t>
      </w:r>
      <w:proofErr w:type="spellEnd"/>
      <w:r w:rsidRPr="00771E6E">
        <w:rPr>
          <w:rFonts w:eastAsia="Times New Roman" w:cs="Times New Roman"/>
        </w:rPr>
        <w:t xml:space="preserve"> comments on Vasari’s </w:t>
      </w:r>
      <w:r w:rsidRPr="00771E6E">
        <w:rPr>
          <w:rFonts w:eastAsia="Times New Roman" w:cs="Times New Roman"/>
          <w:i/>
        </w:rPr>
        <w:t>Lives</w:t>
      </w:r>
      <w:r w:rsidRPr="00771E6E">
        <w:rPr>
          <w:rFonts w:eastAsia="Times New Roman" w:cs="Times New Roman"/>
        </w:rPr>
        <w:t>.</w:t>
      </w:r>
      <w:r w:rsidRPr="00771E6E">
        <w:rPr>
          <w:rStyle w:val="FootnoteReference"/>
        </w:rPr>
        <w:footnoteReference w:id="722"/>
      </w:r>
      <w:r w:rsidRPr="00771E6E">
        <w:rPr>
          <w:rFonts w:eastAsia="Times New Roman" w:cs="Times New Roman"/>
        </w:rPr>
        <w:t xml:space="preserve"> Here, the Virgin is adoring the Infant Christ, while Joseph is sitting nearby, in the presence of two visiting shepherds and five musical angels. The group of angels is standing on the ground just behind the Child; two of them play lutes, one is playing a </w:t>
      </w:r>
      <w:proofErr w:type="spellStart"/>
      <w:r w:rsidRPr="00771E6E">
        <w:rPr>
          <w:rFonts w:eastAsia="Times New Roman" w:cs="Times New Roman"/>
        </w:rPr>
        <w:t>viella</w:t>
      </w:r>
      <w:proofErr w:type="spellEnd"/>
      <w:r w:rsidRPr="00771E6E">
        <w:rPr>
          <w:rFonts w:eastAsia="Times New Roman" w:cs="Times New Roman"/>
        </w:rPr>
        <w:t xml:space="preserve"> and two are singing. While the angels playing musical instruments are dressed plainly, the two singers behind them have more elaborate clothing, which recalls deacons’ vestments.</w:t>
      </w:r>
      <w:r w:rsidRPr="00771E6E">
        <w:rPr>
          <w:rStyle w:val="FootnoteReference"/>
        </w:rPr>
        <w:footnoteReference w:id="723"/>
      </w:r>
      <w:r w:rsidRPr="00771E6E">
        <w:rPr>
          <w:rFonts w:eastAsia="Times New Roman" w:cs="Times New Roman"/>
        </w:rPr>
        <w:t xml:space="preserve"> There is nothing to specifically indicate which song the angels might be singing, but there is little doubt that they are intended to be singing the </w:t>
      </w:r>
      <w:r w:rsidRPr="00771E6E">
        <w:rPr>
          <w:rFonts w:eastAsia="Times New Roman" w:cs="Times New Roman"/>
          <w:i/>
        </w:rPr>
        <w:t>Gloria</w:t>
      </w:r>
      <w:r w:rsidRPr="00771E6E">
        <w:rPr>
          <w:rFonts w:eastAsia="Times New Roman" w:cs="Times New Roman"/>
        </w:rPr>
        <w:t>, which, as discussed earlier, is nearly always the case in paintings of the Nativity.</w:t>
      </w:r>
      <w:r w:rsidRPr="00771E6E">
        <w:rPr>
          <w:rStyle w:val="FootnoteReference"/>
        </w:rPr>
        <w:footnoteReference w:id="724"/>
      </w:r>
    </w:p>
    <w:p w14:paraId="5688ED4C"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 xml:space="preserve">It has been suggested that this painting might have either been a wedding gift for Francesco and </w:t>
      </w:r>
      <w:proofErr w:type="spellStart"/>
      <w:r w:rsidRPr="00771E6E">
        <w:rPr>
          <w:rFonts w:eastAsia="Times New Roman" w:cs="Times New Roman"/>
        </w:rPr>
        <w:t>Laudomia</w:t>
      </w:r>
      <w:proofErr w:type="spellEnd"/>
      <w:r w:rsidRPr="00771E6E">
        <w:rPr>
          <w:rFonts w:eastAsia="Times New Roman" w:cs="Times New Roman"/>
        </w:rPr>
        <w:t>, or perhaps a picture that the artist made for himself, although it does not seem to have been kept in his own room.</w:t>
      </w:r>
      <w:r w:rsidRPr="00771E6E">
        <w:rPr>
          <w:rStyle w:val="FootnoteReference"/>
        </w:rPr>
        <w:footnoteReference w:id="725"/>
      </w:r>
      <w:r w:rsidRPr="00771E6E">
        <w:rPr>
          <w:rFonts w:eastAsia="Times New Roman" w:cs="Times New Roman"/>
        </w:rPr>
        <w:t xml:space="preserve"> If we take this to be a wedding gift, the highly </w:t>
      </w:r>
      <w:proofErr w:type="spellStart"/>
      <w:r w:rsidRPr="00771E6E">
        <w:rPr>
          <w:rFonts w:eastAsia="Times New Roman" w:cs="Times New Roman"/>
        </w:rPr>
        <w:t>humanised</w:t>
      </w:r>
      <w:proofErr w:type="spellEnd"/>
      <w:r w:rsidRPr="00771E6E">
        <w:rPr>
          <w:rFonts w:eastAsia="Times New Roman" w:cs="Times New Roman"/>
        </w:rPr>
        <w:t xml:space="preserve"> wingless angels, or “peasant boys” as Marylin Lavin termed them, were certainly figures in which children could identify themselves, even more so because the landscape would have been so clearly </w:t>
      </w:r>
      <w:proofErr w:type="spellStart"/>
      <w:r w:rsidRPr="00771E6E">
        <w:rPr>
          <w:rFonts w:eastAsia="Times New Roman" w:cs="Times New Roman"/>
        </w:rPr>
        <w:t>recognisable</w:t>
      </w:r>
      <w:proofErr w:type="spellEnd"/>
      <w:r w:rsidRPr="00771E6E">
        <w:rPr>
          <w:rFonts w:eastAsia="Times New Roman" w:cs="Times New Roman"/>
        </w:rPr>
        <w:t>.</w:t>
      </w:r>
      <w:r w:rsidRPr="00771E6E">
        <w:rPr>
          <w:rStyle w:val="FootnoteReference"/>
        </w:rPr>
        <w:footnoteReference w:id="726"/>
      </w:r>
    </w:p>
    <w:p w14:paraId="5E046210"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Nevertheless, personal gifts from the artist were an exceptional way in which devotional paintings could reach a domestic space. In fact, domestic paintings would often have been produced by the same workshops that provided painted furniture for the bedchamber.</w:t>
      </w:r>
      <w:r w:rsidRPr="00771E6E">
        <w:rPr>
          <w:rFonts w:eastAsia="Times New Roman" w:cs="Times New Roman"/>
          <w:color w:val="000000" w:themeColor="text1"/>
        </w:rPr>
        <w:t xml:space="preserve"> Ellen </w:t>
      </w:r>
      <w:proofErr w:type="spellStart"/>
      <w:r w:rsidRPr="00771E6E">
        <w:rPr>
          <w:rFonts w:eastAsia="Times New Roman" w:cs="Times New Roman"/>
          <w:color w:val="000000" w:themeColor="text1"/>
        </w:rPr>
        <w:t>Callmann’s</w:t>
      </w:r>
      <w:proofErr w:type="spellEnd"/>
      <w:r w:rsidRPr="00771E6E">
        <w:rPr>
          <w:rFonts w:eastAsia="Times New Roman" w:cs="Times New Roman"/>
          <w:color w:val="000000" w:themeColor="text1"/>
        </w:rPr>
        <w:t xml:space="preserve"> studies helped </w:t>
      </w:r>
      <w:proofErr w:type="spellStart"/>
      <w:r w:rsidRPr="00771E6E">
        <w:rPr>
          <w:rFonts w:eastAsia="Times New Roman" w:cs="Times New Roman"/>
          <w:color w:val="000000" w:themeColor="text1"/>
        </w:rPr>
        <w:t>recognise</w:t>
      </w:r>
      <w:proofErr w:type="spellEnd"/>
      <w:r w:rsidRPr="00771E6E">
        <w:rPr>
          <w:rFonts w:eastAsia="Times New Roman" w:cs="Times New Roman"/>
          <w:color w:val="000000" w:themeColor="text1"/>
        </w:rPr>
        <w:t xml:space="preserve"> </w:t>
      </w:r>
      <w:r w:rsidRPr="00771E6E">
        <w:rPr>
          <w:rFonts w:eastAsia="Times New Roman" w:cs="Times New Roman"/>
        </w:rPr>
        <w:t>Apollonio di Giovanni</w:t>
      </w:r>
      <w:r w:rsidRPr="00771E6E">
        <w:rPr>
          <w:rFonts w:eastAsia="Times New Roman" w:cs="Times New Roman"/>
          <w:b/>
        </w:rPr>
        <w:t xml:space="preserve"> </w:t>
      </w:r>
      <w:r w:rsidRPr="00771E6E">
        <w:rPr>
          <w:rFonts w:eastAsia="Times New Roman" w:cs="Times New Roman"/>
          <w:color w:val="000000" w:themeColor="text1"/>
        </w:rPr>
        <w:t xml:space="preserve">as an artist who was quite capable of decorating entire rooms, rather than merely </w:t>
      </w:r>
      <w:proofErr w:type="spellStart"/>
      <w:r w:rsidRPr="00771E6E">
        <w:rPr>
          <w:rFonts w:eastAsia="Times New Roman" w:cs="Times New Roman"/>
          <w:color w:val="000000" w:themeColor="text1"/>
        </w:rPr>
        <w:t>specialising</w:t>
      </w:r>
      <w:proofErr w:type="spellEnd"/>
      <w:r w:rsidRPr="00771E6E">
        <w:rPr>
          <w:rFonts w:eastAsia="Times New Roman" w:cs="Times New Roman"/>
          <w:color w:val="000000" w:themeColor="text1"/>
        </w:rPr>
        <w:t xml:space="preserve"> in </w:t>
      </w:r>
      <w:r w:rsidRPr="00771E6E">
        <w:rPr>
          <w:rFonts w:eastAsia="Times New Roman" w:cs="Times New Roman"/>
          <w:i/>
          <w:color w:val="000000" w:themeColor="text1"/>
        </w:rPr>
        <w:t>cassone</w:t>
      </w:r>
      <w:r w:rsidRPr="00771E6E">
        <w:rPr>
          <w:rFonts w:eastAsia="Times New Roman" w:cs="Times New Roman"/>
          <w:color w:val="000000" w:themeColor="text1"/>
        </w:rPr>
        <w:t xml:space="preserve"> painting as originally thought. In fact, the workshop he shared with his partner Marco del </w:t>
      </w:r>
      <w:proofErr w:type="spellStart"/>
      <w:r w:rsidRPr="00771E6E">
        <w:rPr>
          <w:rFonts w:eastAsia="Times New Roman" w:cs="Times New Roman"/>
          <w:color w:val="000000" w:themeColor="text1"/>
        </w:rPr>
        <w:t>Buono</w:t>
      </w:r>
      <w:proofErr w:type="spellEnd"/>
      <w:r w:rsidRPr="00771E6E">
        <w:rPr>
          <w:rFonts w:eastAsia="Times New Roman" w:cs="Times New Roman"/>
          <w:color w:val="000000" w:themeColor="text1"/>
        </w:rPr>
        <w:t xml:space="preserve"> produced a variety of artistic ornamentation for domestic spaces, encompassing furniture painting, frescoes, devotional panels in different formats (including </w:t>
      </w:r>
      <w:r w:rsidRPr="00771E6E">
        <w:rPr>
          <w:rFonts w:eastAsia="Times New Roman" w:cs="Times New Roman"/>
          <w:i/>
          <w:color w:val="000000" w:themeColor="text1"/>
        </w:rPr>
        <w:t>tondi</w:t>
      </w:r>
      <w:r w:rsidRPr="00771E6E">
        <w:rPr>
          <w:rFonts w:eastAsia="Times New Roman" w:cs="Times New Roman"/>
          <w:color w:val="000000" w:themeColor="text1"/>
        </w:rPr>
        <w:t xml:space="preserve">), </w:t>
      </w:r>
      <w:r w:rsidRPr="00771E6E">
        <w:rPr>
          <w:rFonts w:eastAsia="Times New Roman" w:cs="Times New Roman"/>
          <w:i/>
          <w:color w:val="000000" w:themeColor="text1"/>
        </w:rPr>
        <w:t>deschi da parto</w:t>
      </w:r>
      <w:r w:rsidRPr="00771E6E">
        <w:rPr>
          <w:rFonts w:eastAsia="Times New Roman" w:cs="Times New Roman"/>
          <w:color w:val="000000" w:themeColor="text1"/>
        </w:rPr>
        <w:t xml:space="preserve"> and even manuscript miniatures.</w:t>
      </w:r>
      <w:r w:rsidRPr="00771E6E">
        <w:rPr>
          <w:rStyle w:val="FootnoteReference"/>
        </w:rPr>
        <w:footnoteReference w:id="727"/>
      </w:r>
      <w:r w:rsidRPr="00771E6E">
        <w:rPr>
          <w:rFonts w:eastAsia="Times New Roman" w:cs="Times New Roman"/>
          <w:color w:val="000000" w:themeColor="text1"/>
        </w:rPr>
        <w:t xml:space="preserve"> For the house of Bernardo di </w:t>
      </w:r>
      <w:proofErr w:type="spellStart"/>
      <w:r w:rsidRPr="00771E6E">
        <w:rPr>
          <w:rFonts w:eastAsia="Times New Roman" w:cs="Times New Roman"/>
          <w:color w:val="000000" w:themeColor="text1"/>
        </w:rPr>
        <w:t>Stoldo</w:t>
      </w:r>
      <w:proofErr w:type="spellEnd"/>
      <w:r w:rsidRPr="00771E6E">
        <w:rPr>
          <w:rFonts w:eastAsia="Times New Roman" w:cs="Times New Roman"/>
          <w:color w:val="000000" w:themeColor="text1"/>
        </w:rPr>
        <w:t xml:space="preserve"> </w:t>
      </w:r>
      <w:proofErr w:type="spellStart"/>
      <w:r w:rsidRPr="00771E6E">
        <w:rPr>
          <w:rFonts w:eastAsia="Times New Roman" w:cs="Times New Roman"/>
          <w:color w:val="000000" w:themeColor="text1"/>
        </w:rPr>
        <w:t>Rinieri</w:t>
      </w:r>
      <w:proofErr w:type="spellEnd"/>
      <w:r w:rsidRPr="00771E6E">
        <w:rPr>
          <w:rFonts w:eastAsia="Times New Roman" w:cs="Times New Roman"/>
          <w:color w:val="000000" w:themeColor="text1"/>
        </w:rPr>
        <w:t xml:space="preserve"> and his wife </w:t>
      </w:r>
      <w:proofErr w:type="spellStart"/>
      <w:r w:rsidRPr="00771E6E">
        <w:rPr>
          <w:rFonts w:eastAsia="Times New Roman" w:cs="Times New Roman"/>
          <w:color w:val="000000" w:themeColor="text1"/>
        </w:rPr>
        <w:t>Bartolommea</w:t>
      </w:r>
      <w:proofErr w:type="spellEnd"/>
      <w:r w:rsidRPr="00771E6E">
        <w:rPr>
          <w:rFonts w:eastAsia="Times New Roman" w:cs="Times New Roman"/>
          <w:color w:val="000000" w:themeColor="text1"/>
        </w:rPr>
        <w:t xml:space="preserve"> di </w:t>
      </w:r>
      <w:proofErr w:type="spellStart"/>
      <w:r w:rsidRPr="00771E6E">
        <w:rPr>
          <w:rFonts w:eastAsia="Times New Roman" w:cs="Times New Roman"/>
          <w:color w:val="000000" w:themeColor="text1"/>
        </w:rPr>
        <w:t>Dietisalvi</w:t>
      </w:r>
      <w:proofErr w:type="spellEnd"/>
      <w:r w:rsidRPr="00771E6E">
        <w:rPr>
          <w:rFonts w:eastAsia="Times New Roman" w:cs="Times New Roman"/>
          <w:color w:val="000000" w:themeColor="text1"/>
        </w:rPr>
        <w:t xml:space="preserve"> di </w:t>
      </w:r>
      <w:proofErr w:type="spellStart"/>
      <w:r w:rsidRPr="00771E6E">
        <w:rPr>
          <w:rFonts w:eastAsia="Times New Roman" w:cs="Times New Roman"/>
          <w:color w:val="000000" w:themeColor="text1"/>
        </w:rPr>
        <w:t>Nerone</w:t>
      </w:r>
      <w:proofErr w:type="spellEnd"/>
      <w:r w:rsidRPr="00771E6E">
        <w:rPr>
          <w:rFonts w:eastAsia="Times New Roman" w:cs="Times New Roman"/>
          <w:color w:val="000000" w:themeColor="text1"/>
        </w:rPr>
        <w:t xml:space="preserve"> </w:t>
      </w:r>
      <w:proofErr w:type="spellStart"/>
      <w:r w:rsidRPr="00771E6E">
        <w:rPr>
          <w:rFonts w:eastAsia="Times New Roman" w:cs="Times New Roman"/>
          <w:color w:val="000000" w:themeColor="text1"/>
        </w:rPr>
        <w:t>Dietisalvi</w:t>
      </w:r>
      <w:proofErr w:type="spellEnd"/>
      <w:r w:rsidRPr="00771E6E">
        <w:rPr>
          <w:rFonts w:eastAsia="Times New Roman" w:cs="Times New Roman"/>
          <w:color w:val="000000" w:themeColor="text1"/>
        </w:rPr>
        <w:t xml:space="preserve">, Apollonio created a number of different works over the years 1457-1460, including a lunette that was designed to be located over the head of the bed. This type of object would have likely been painted with a devotional image, as </w:t>
      </w:r>
      <w:proofErr w:type="spellStart"/>
      <w:r w:rsidRPr="00771E6E">
        <w:rPr>
          <w:rFonts w:eastAsia="Times New Roman" w:cs="Times New Roman"/>
          <w:color w:val="000000" w:themeColor="text1"/>
        </w:rPr>
        <w:t>Callmann</w:t>
      </w:r>
      <w:proofErr w:type="spellEnd"/>
      <w:r w:rsidRPr="00771E6E">
        <w:rPr>
          <w:rFonts w:eastAsia="Times New Roman" w:cs="Times New Roman"/>
          <w:color w:val="000000" w:themeColor="text1"/>
        </w:rPr>
        <w:t xml:space="preserve"> convincingly suggests, although today it is virtually impossible to distinguish lunettes with religious subjects </w:t>
      </w:r>
      <w:r w:rsidRPr="00771E6E">
        <w:rPr>
          <w:rFonts w:eastAsia="Times New Roman" w:cs="Times New Roman"/>
          <w:color w:val="000000" w:themeColor="text1"/>
        </w:rPr>
        <w:lastRenderedPageBreak/>
        <w:t>created for bedrooms from those that adorn the upper part of altarpieces, unless documents are found.</w:t>
      </w:r>
      <w:r w:rsidRPr="00771E6E">
        <w:rPr>
          <w:rStyle w:val="FootnoteReference"/>
        </w:rPr>
        <w:footnoteReference w:id="728"/>
      </w:r>
    </w:p>
    <w:p w14:paraId="6932D767" w14:textId="77777777" w:rsidR="00310CB2" w:rsidRPr="00771E6E" w:rsidRDefault="00310CB2" w:rsidP="00310CB2">
      <w:pPr>
        <w:ind w:firstLine="720"/>
        <w:contextualSpacing/>
        <w:rPr>
          <w:rFonts w:eastAsia="Times New Roman" w:cs="Times New Roman"/>
          <w:color w:val="000000" w:themeColor="text1"/>
        </w:rPr>
      </w:pPr>
      <w:proofErr w:type="spellStart"/>
      <w:r w:rsidRPr="00771E6E">
        <w:rPr>
          <w:rFonts w:eastAsia="Times New Roman" w:cs="Times New Roman"/>
          <w:color w:val="000000" w:themeColor="text1"/>
        </w:rPr>
        <w:t>Apollonio’s</w:t>
      </w:r>
      <w:proofErr w:type="spellEnd"/>
      <w:r w:rsidRPr="00771E6E">
        <w:rPr>
          <w:rFonts w:eastAsia="Times New Roman" w:cs="Times New Roman"/>
          <w:color w:val="000000" w:themeColor="text1"/>
        </w:rPr>
        <w:t xml:space="preserve"> workshop produced objects decorated with literary subjects, such as scenes from Virgil’s </w:t>
      </w:r>
      <w:r w:rsidRPr="00771E6E">
        <w:rPr>
          <w:rFonts w:eastAsia="Times New Roman" w:cs="Times New Roman"/>
          <w:i/>
          <w:color w:val="000000" w:themeColor="text1"/>
        </w:rPr>
        <w:t>Aeneid</w:t>
      </w:r>
      <w:r w:rsidRPr="00771E6E">
        <w:rPr>
          <w:rFonts w:eastAsia="Times New Roman" w:cs="Times New Roman"/>
          <w:color w:val="000000" w:themeColor="text1"/>
        </w:rPr>
        <w:t xml:space="preserve"> and from Petrarch’s </w:t>
      </w:r>
      <w:r w:rsidRPr="00771E6E">
        <w:rPr>
          <w:rFonts w:eastAsia="Times New Roman" w:cs="Times New Roman"/>
          <w:i/>
          <w:color w:val="000000" w:themeColor="text1"/>
        </w:rPr>
        <w:t>Triumphs</w:t>
      </w:r>
      <w:r w:rsidRPr="00771E6E">
        <w:rPr>
          <w:rFonts w:eastAsia="Times New Roman" w:cs="Times New Roman"/>
          <w:color w:val="000000" w:themeColor="text1"/>
        </w:rPr>
        <w:t xml:space="preserve">, as well as panels with sacred images for devotional purposes, a vein of domestic art which is rich in musical subjects. In a panel with the Virgin and Child enthroned from the late 1430s or the early 1440s, which was formerly in Bergamo and whose whereabouts are currently unknown (fig. 4.2), the Virgin and Child are shown flanked by two praying angels who are standing next to the throne, one on each side, while two musical angels sit at its base playing a harp and a </w:t>
      </w:r>
      <w:proofErr w:type="spellStart"/>
      <w:r w:rsidRPr="00771E6E">
        <w:rPr>
          <w:rFonts w:eastAsia="Times New Roman" w:cs="Times New Roman"/>
          <w:color w:val="000000" w:themeColor="text1"/>
        </w:rPr>
        <w:t>viella</w:t>
      </w:r>
      <w:proofErr w:type="spellEnd"/>
      <w:r w:rsidRPr="00771E6E">
        <w:rPr>
          <w:rFonts w:eastAsia="Times New Roman" w:cs="Times New Roman"/>
          <w:color w:val="000000" w:themeColor="text1"/>
        </w:rPr>
        <w:t xml:space="preserve">. </w:t>
      </w:r>
      <w:proofErr w:type="spellStart"/>
      <w:r w:rsidRPr="00771E6E">
        <w:rPr>
          <w:rFonts w:eastAsia="Times New Roman" w:cs="Times New Roman"/>
          <w:color w:val="000000" w:themeColor="text1"/>
        </w:rPr>
        <w:t>Callmann</w:t>
      </w:r>
      <w:proofErr w:type="spellEnd"/>
      <w:r w:rsidRPr="00771E6E">
        <w:rPr>
          <w:rFonts w:eastAsia="Times New Roman" w:cs="Times New Roman"/>
          <w:color w:val="000000" w:themeColor="text1"/>
        </w:rPr>
        <w:t xml:space="preserve"> has noticed that the figure of the infant Christ and the childlike angels in this painting, which are typical of </w:t>
      </w:r>
      <w:proofErr w:type="spellStart"/>
      <w:r w:rsidRPr="00771E6E">
        <w:rPr>
          <w:rFonts w:eastAsia="Times New Roman" w:cs="Times New Roman"/>
          <w:color w:val="000000" w:themeColor="text1"/>
        </w:rPr>
        <w:t>Apollonio’s</w:t>
      </w:r>
      <w:proofErr w:type="spellEnd"/>
      <w:r w:rsidRPr="00771E6E">
        <w:rPr>
          <w:rFonts w:eastAsia="Times New Roman" w:cs="Times New Roman"/>
          <w:color w:val="000000" w:themeColor="text1"/>
        </w:rPr>
        <w:t xml:space="preserve"> style, resemble the two </w:t>
      </w:r>
      <w:r w:rsidRPr="00771E6E">
        <w:rPr>
          <w:rFonts w:eastAsia="Times New Roman" w:cs="Times New Roman"/>
          <w:i/>
          <w:color w:val="000000" w:themeColor="text1"/>
        </w:rPr>
        <w:t>putti</w:t>
      </w:r>
      <w:r w:rsidRPr="00771E6E">
        <w:rPr>
          <w:rFonts w:eastAsia="Times New Roman" w:cs="Times New Roman"/>
          <w:color w:val="000000" w:themeColor="text1"/>
        </w:rPr>
        <w:t xml:space="preserve"> playing with poppy pods depicted on the reverse of his </w:t>
      </w:r>
      <w:r w:rsidRPr="00771E6E">
        <w:rPr>
          <w:rFonts w:eastAsia="Times New Roman" w:cs="Times New Roman"/>
          <w:i/>
          <w:color w:val="000000" w:themeColor="text1"/>
        </w:rPr>
        <w:t>desco da parto</w:t>
      </w:r>
      <w:r w:rsidRPr="00771E6E">
        <w:rPr>
          <w:rFonts w:eastAsia="Times New Roman" w:cs="Times New Roman"/>
          <w:color w:val="000000" w:themeColor="text1"/>
        </w:rPr>
        <w:t>, now in the North Carolina Museum of Art (fig. 4.3).</w:t>
      </w:r>
      <w:r w:rsidRPr="00771E6E">
        <w:rPr>
          <w:rStyle w:val="FootnoteReference"/>
        </w:rPr>
        <w:footnoteReference w:id="729"/>
      </w:r>
      <w:r w:rsidRPr="00771E6E">
        <w:rPr>
          <w:rFonts w:eastAsia="Times New Roman" w:cs="Times New Roman"/>
          <w:color w:val="000000" w:themeColor="text1"/>
        </w:rPr>
        <w:t xml:space="preserve"> The Bergamo painting has been identified as the prototype for a number of compositions of the same type from the same period, one of which was formerly in the </w:t>
      </w:r>
      <w:proofErr w:type="spellStart"/>
      <w:r w:rsidRPr="00771E6E">
        <w:rPr>
          <w:rFonts w:eastAsia="Times New Roman" w:cs="Times New Roman"/>
          <w:color w:val="000000" w:themeColor="text1"/>
        </w:rPr>
        <w:t>Toscanelli</w:t>
      </w:r>
      <w:proofErr w:type="spellEnd"/>
      <w:r w:rsidRPr="00771E6E">
        <w:rPr>
          <w:rFonts w:eastAsia="Times New Roman" w:cs="Times New Roman"/>
          <w:color w:val="000000" w:themeColor="text1"/>
        </w:rPr>
        <w:t xml:space="preserve"> collection (fig. 4.4). This painting has a very similar composition with the Virgin and Child on a throne surrounded by angels, although in this case all four angels are playing musical instruments (a </w:t>
      </w:r>
      <w:proofErr w:type="spellStart"/>
      <w:r w:rsidRPr="00771E6E">
        <w:rPr>
          <w:rFonts w:eastAsia="Times New Roman" w:cs="Times New Roman"/>
          <w:color w:val="000000" w:themeColor="text1"/>
        </w:rPr>
        <w:t>viella</w:t>
      </w:r>
      <w:proofErr w:type="spellEnd"/>
      <w:r w:rsidRPr="00771E6E">
        <w:rPr>
          <w:rFonts w:eastAsia="Times New Roman" w:cs="Times New Roman"/>
          <w:color w:val="000000" w:themeColor="text1"/>
        </w:rPr>
        <w:t xml:space="preserve"> and cymbals for the standing angels, and a lute and a harp for those sitting on the base of the throne).</w:t>
      </w:r>
      <w:r w:rsidRPr="00771E6E">
        <w:rPr>
          <w:rStyle w:val="FootnoteReference"/>
        </w:rPr>
        <w:footnoteReference w:id="730"/>
      </w:r>
      <w:r w:rsidRPr="00771E6E">
        <w:rPr>
          <w:rFonts w:eastAsia="Times New Roman" w:cs="Times New Roman"/>
          <w:color w:val="000000" w:themeColor="text1"/>
        </w:rPr>
        <w:t xml:space="preserve"> </w:t>
      </w:r>
    </w:p>
    <w:p w14:paraId="5E7E7138" w14:textId="77777777" w:rsidR="00310CB2" w:rsidRPr="00771E6E" w:rsidRDefault="00310CB2" w:rsidP="00310CB2">
      <w:pPr>
        <w:ind w:firstLine="720"/>
        <w:contextualSpacing/>
        <w:rPr>
          <w:rFonts w:eastAsia="Times New Roman" w:cs="Times New Roman"/>
          <w:color w:val="000000" w:themeColor="text1"/>
        </w:rPr>
      </w:pPr>
      <w:r w:rsidRPr="00771E6E">
        <w:rPr>
          <w:rFonts w:eastAsia="Times New Roman" w:cs="Times New Roman"/>
          <w:color w:val="000000" w:themeColor="text1"/>
        </w:rPr>
        <w:t xml:space="preserve">This was not the only compositional type developed by the Apollonio workshop to feature musical angels. In a later panel </w:t>
      </w:r>
      <w:r w:rsidRPr="00771E6E">
        <w:rPr>
          <w:rFonts w:eastAsia="Times New Roman" w:cs="Times New Roman"/>
          <w:color w:val="000000" w:themeColor="text1"/>
          <w:lang w:val="it-IT"/>
        </w:rPr>
        <w:t xml:space="preserve">with the </w:t>
      </w:r>
      <w:r w:rsidRPr="00771E6E">
        <w:rPr>
          <w:rFonts w:eastAsia="Times New Roman" w:cs="Times New Roman"/>
          <w:color w:val="000000" w:themeColor="text1"/>
        </w:rPr>
        <w:t xml:space="preserve">Virgin and Child and four angels from around 1450, now kept in the Doris </w:t>
      </w:r>
      <w:proofErr w:type="spellStart"/>
      <w:r w:rsidRPr="00771E6E">
        <w:rPr>
          <w:rFonts w:eastAsia="Times New Roman" w:cs="Times New Roman"/>
          <w:color w:val="000000" w:themeColor="text1"/>
        </w:rPr>
        <w:t>Ulmann</w:t>
      </w:r>
      <w:proofErr w:type="spellEnd"/>
      <w:r w:rsidRPr="00771E6E">
        <w:rPr>
          <w:rFonts w:eastAsia="Times New Roman" w:cs="Times New Roman"/>
          <w:color w:val="000000" w:themeColor="text1"/>
        </w:rPr>
        <w:t xml:space="preserve"> Galleries, Berea College, Berea (KY)</w:t>
      </w:r>
      <w:r w:rsidRPr="00771E6E">
        <w:rPr>
          <w:rFonts w:eastAsia="Times New Roman" w:cs="Times New Roman"/>
          <w:color w:val="000000" w:themeColor="text1"/>
          <w:lang w:val="it-IT"/>
        </w:rPr>
        <w:t xml:space="preserve">, </w:t>
      </w:r>
      <w:r w:rsidRPr="00771E6E">
        <w:rPr>
          <w:rFonts w:eastAsia="Times New Roman" w:cs="Times New Roman"/>
          <w:color w:val="000000" w:themeColor="text1"/>
        </w:rPr>
        <w:t xml:space="preserve">all four angels are standing, with two of them peering from behind the throne to catch a glimpse of the Infant Christ, while the other two are playing a lute and a </w:t>
      </w:r>
      <w:proofErr w:type="spellStart"/>
      <w:r w:rsidRPr="00771E6E">
        <w:rPr>
          <w:rFonts w:eastAsia="Times New Roman" w:cs="Times New Roman"/>
          <w:color w:val="000000" w:themeColor="text1"/>
        </w:rPr>
        <w:t>viella</w:t>
      </w:r>
      <w:proofErr w:type="spellEnd"/>
      <w:r w:rsidRPr="00771E6E">
        <w:rPr>
          <w:rFonts w:eastAsia="Times New Roman" w:cs="Times New Roman"/>
          <w:color w:val="000000" w:themeColor="text1"/>
        </w:rPr>
        <w:t xml:space="preserve"> in front of the throne (fig. 4.5). The pictures produced in this phase of </w:t>
      </w:r>
      <w:proofErr w:type="spellStart"/>
      <w:r w:rsidRPr="00771E6E">
        <w:rPr>
          <w:rFonts w:eastAsia="Times New Roman" w:cs="Times New Roman"/>
          <w:color w:val="000000" w:themeColor="text1"/>
        </w:rPr>
        <w:t>Apollonio’s</w:t>
      </w:r>
      <w:proofErr w:type="spellEnd"/>
      <w:r w:rsidRPr="00771E6E">
        <w:rPr>
          <w:rFonts w:eastAsia="Times New Roman" w:cs="Times New Roman"/>
          <w:color w:val="000000" w:themeColor="text1"/>
        </w:rPr>
        <w:t xml:space="preserve"> career demonstrate that he had been heavily influenced by Fra Filippo Lippi, which can be seen particularly in the gracefulness of the figures and tenderness of the scene.</w:t>
      </w:r>
      <w:r w:rsidRPr="00771E6E">
        <w:rPr>
          <w:rStyle w:val="FootnoteReference"/>
        </w:rPr>
        <w:footnoteReference w:id="731"/>
      </w:r>
      <w:r w:rsidRPr="00771E6E">
        <w:rPr>
          <w:rFonts w:eastAsia="Times New Roman" w:cs="Times New Roman"/>
          <w:color w:val="000000" w:themeColor="text1"/>
        </w:rPr>
        <w:t xml:space="preserve"> These qualities are also present, for example, in the panel kept at Villa I </w:t>
      </w:r>
      <w:proofErr w:type="spellStart"/>
      <w:r w:rsidRPr="00771E6E">
        <w:rPr>
          <w:rFonts w:eastAsia="Times New Roman" w:cs="Times New Roman"/>
          <w:color w:val="000000" w:themeColor="text1"/>
        </w:rPr>
        <w:t>Tatti</w:t>
      </w:r>
      <w:proofErr w:type="spellEnd"/>
      <w:r w:rsidRPr="00771E6E">
        <w:rPr>
          <w:rFonts w:eastAsia="Times New Roman" w:cs="Times New Roman"/>
          <w:color w:val="000000" w:themeColor="text1"/>
        </w:rPr>
        <w:t xml:space="preserve"> in Florence, which includes just two angels sitting at the Virgin’s feet, who are also playing a lute and a </w:t>
      </w:r>
      <w:proofErr w:type="spellStart"/>
      <w:r w:rsidRPr="00771E6E">
        <w:rPr>
          <w:rFonts w:eastAsia="Times New Roman" w:cs="Times New Roman"/>
          <w:color w:val="000000" w:themeColor="text1"/>
        </w:rPr>
        <w:t>viella</w:t>
      </w:r>
      <w:proofErr w:type="spellEnd"/>
      <w:r w:rsidRPr="00771E6E">
        <w:rPr>
          <w:rFonts w:eastAsia="Times New Roman" w:cs="Times New Roman"/>
          <w:color w:val="000000" w:themeColor="text1"/>
        </w:rPr>
        <w:t xml:space="preserve"> (fig. 4.6). Although it has a slightly different composition, the Apollonio Virgin and Child now in the Harvard Art Museum is similarly graceful, with the main figures standing behind a parapet together </w:t>
      </w:r>
      <w:r w:rsidRPr="00771E6E">
        <w:rPr>
          <w:rFonts w:eastAsia="Times New Roman" w:cs="Times New Roman"/>
          <w:color w:val="000000" w:themeColor="text1"/>
        </w:rPr>
        <w:lastRenderedPageBreak/>
        <w:t xml:space="preserve">with two angels playing a portative organ and a recorder, while two further angels are again playing a lute and a </w:t>
      </w:r>
      <w:proofErr w:type="spellStart"/>
      <w:r w:rsidRPr="00771E6E">
        <w:rPr>
          <w:rFonts w:eastAsia="Times New Roman" w:cs="Times New Roman"/>
          <w:color w:val="000000" w:themeColor="text1"/>
        </w:rPr>
        <w:t>viella</w:t>
      </w:r>
      <w:proofErr w:type="spellEnd"/>
      <w:r w:rsidRPr="00771E6E">
        <w:rPr>
          <w:rFonts w:eastAsia="Times New Roman" w:cs="Times New Roman"/>
          <w:color w:val="000000" w:themeColor="text1"/>
        </w:rPr>
        <w:t xml:space="preserve"> in front (fig. 4.7).</w:t>
      </w:r>
      <w:r w:rsidRPr="00771E6E">
        <w:rPr>
          <w:rStyle w:val="FootnoteReference"/>
        </w:rPr>
        <w:footnoteReference w:id="732"/>
      </w:r>
    </w:p>
    <w:p w14:paraId="33CA5347" w14:textId="77777777" w:rsidR="00310CB2" w:rsidRPr="00771E6E" w:rsidRDefault="00310CB2" w:rsidP="00310CB2">
      <w:pPr>
        <w:ind w:firstLine="720"/>
        <w:contextualSpacing/>
        <w:rPr>
          <w:rFonts w:eastAsia="Times New Roman" w:cs="Times New Roman"/>
          <w:color w:val="000000" w:themeColor="text1"/>
        </w:rPr>
      </w:pPr>
      <w:r w:rsidRPr="00771E6E">
        <w:rPr>
          <w:rFonts w:eastAsia="Times New Roman" w:cs="Times New Roman"/>
          <w:color w:val="000000" w:themeColor="text1"/>
        </w:rPr>
        <w:t xml:space="preserve">Painters in </w:t>
      </w:r>
      <w:proofErr w:type="spellStart"/>
      <w:r w:rsidRPr="00771E6E">
        <w:rPr>
          <w:rFonts w:eastAsia="Times New Roman" w:cs="Times New Roman"/>
          <w:color w:val="000000" w:themeColor="text1"/>
        </w:rPr>
        <w:t>Apollonio’s</w:t>
      </w:r>
      <w:proofErr w:type="spellEnd"/>
      <w:r w:rsidRPr="00771E6E">
        <w:rPr>
          <w:rFonts w:eastAsia="Times New Roman" w:cs="Times New Roman"/>
          <w:color w:val="000000" w:themeColor="text1"/>
        </w:rPr>
        <w:t xml:space="preserve"> workshop would make use of the same drawings as models for figures appearing in a number of different works, both for those in </w:t>
      </w:r>
      <w:r w:rsidRPr="00771E6E">
        <w:rPr>
          <w:rFonts w:eastAsia="Times New Roman" w:cs="Times New Roman"/>
          <w:i/>
          <w:color w:val="000000" w:themeColor="text1"/>
        </w:rPr>
        <w:t>cassone</w:t>
      </w:r>
      <w:r w:rsidRPr="00771E6E">
        <w:rPr>
          <w:rFonts w:eastAsia="Times New Roman" w:cs="Times New Roman"/>
          <w:color w:val="000000" w:themeColor="text1"/>
        </w:rPr>
        <w:t xml:space="preserve"> panels, and in wall-hung devotional art. This likely allowed them to complete the works that the workshop was commissioned to carry out much more quickly, and with less preparatory effort. This practice is particularly noticeable in the figures of musical angels. The figures of the harpist, lutenist and </w:t>
      </w:r>
      <w:proofErr w:type="spellStart"/>
      <w:r w:rsidRPr="00771E6E">
        <w:rPr>
          <w:rFonts w:eastAsia="Times New Roman" w:cs="Times New Roman"/>
          <w:color w:val="000000" w:themeColor="text1"/>
        </w:rPr>
        <w:t>viella</w:t>
      </w:r>
      <w:proofErr w:type="spellEnd"/>
      <w:r w:rsidRPr="00771E6E">
        <w:rPr>
          <w:rFonts w:eastAsia="Times New Roman" w:cs="Times New Roman"/>
          <w:color w:val="000000" w:themeColor="text1"/>
        </w:rPr>
        <w:t xml:space="preserve"> player in the </w:t>
      </w:r>
      <w:proofErr w:type="spellStart"/>
      <w:r w:rsidRPr="00771E6E">
        <w:rPr>
          <w:rFonts w:eastAsia="Times New Roman" w:cs="Times New Roman"/>
          <w:color w:val="000000" w:themeColor="text1"/>
        </w:rPr>
        <w:t>Toscanelli</w:t>
      </w:r>
      <w:proofErr w:type="spellEnd"/>
      <w:r w:rsidRPr="00771E6E">
        <w:rPr>
          <w:rFonts w:eastAsia="Times New Roman" w:cs="Times New Roman"/>
          <w:color w:val="000000" w:themeColor="text1"/>
        </w:rPr>
        <w:t xml:space="preserve"> panel reappear respectively in the panels in Bergamo, Villa I </w:t>
      </w:r>
      <w:proofErr w:type="spellStart"/>
      <w:r w:rsidRPr="00771E6E">
        <w:rPr>
          <w:rFonts w:eastAsia="Times New Roman" w:cs="Times New Roman"/>
          <w:color w:val="000000" w:themeColor="text1"/>
        </w:rPr>
        <w:t>Tatti</w:t>
      </w:r>
      <w:proofErr w:type="spellEnd"/>
      <w:r w:rsidRPr="00771E6E">
        <w:rPr>
          <w:rFonts w:eastAsia="Times New Roman" w:cs="Times New Roman"/>
          <w:color w:val="000000" w:themeColor="text1"/>
        </w:rPr>
        <w:t>, and Berea.</w:t>
      </w:r>
      <w:r w:rsidRPr="00771E6E">
        <w:rPr>
          <w:rStyle w:val="FootnoteReference"/>
        </w:rPr>
        <w:footnoteReference w:id="733"/>
      </w:r>
      <w:r w:rsidRPr="00771E6E">
        <w:rPr>
          <w:rFonts w:eastAsia="Times New Roman" w:cs="Times New Roman"/>
          <w:color w:val="000000" w:themeColor="text1"/>
        </w:rPr>
        <w:t xml:space="preserve"> The latter, however, appears to have been mechanically copied from a model by a distracted assistant in </w:t>
      </w:r>
      <w:proofErr w:type="spellStart"/>
      <w:r w:rsidRPr="00771E6E">
        <w:rPr>
          <w:rFonts w:eastAsia="Times New Roman" w:cs="Times New Roman"/>
          <w:color w:val="000000" w:themeColor="text1"/>
        </w:rPr>
        <w:t>Apollonio’s</w:t>
      </w:r>
      <w:proofErr w:type="spellEnd"/>
      <w:r w:rsidRPr="00771E6E">
        <w:rPr>
          <w:rFonts w:eastAsia="Times New Roman" w:cs="Times New Roman"/>
          <w:color w:val="000000" w:themeColor="text1"/>
        </w:rPr>
        <w:t xml:space="preserve"> workshop, as the figure was undoubtedly meant to be reversed so the musical angel would be looking towards the Virgin and Child.</w:t>
      </w:r>
      <w:r w:rsidRPr="00771E6E">
        <w:rPr>
          <w:rStyle w:val="FootnoteReference"/>
        </w:rPr>
        <w:footnoteReference w:id="734"/>
      </w:r>
      <w:r w:rsidRPr="00771E6E">
        <w:rPr>
          <w:rFonts w:eastAsia="Times New Roman" w:cs="Times New Roman"/>
          <w:color w:val="000000" w:themeColor="text1"/>
        </w:rPr>
        <w:t xml:space="preserve"> </w:t>
      </w:r>
    </w:p>
    <w:p w14:paraId="73E98DC7" w14:textId="77777777" w:rsidR="00310CB2" w:rsidRPr="00771E6E" w:rsidRDefault="00310CB2" w:rsidP="00310CB2">
      <w:pPr>
        <w:ind w:firstLine="720"/>
        <w:contextualSpacing/>
        <w:rPr>
          <w:rFonts w:eastAsia="Times New Roman" w:cs="Times New Roman"/>
          <w:color w:val="000000" w:themeColor="text1"/>
        </w:rPr>
      </w:pPr>
      <w:r w:rsidRPr="00771E6E">
        <w:rPr>
          <w:rFonts w:eastAsia="Times New Roman" w:cs="Times New Roman"/>
          <w:color w:val="000000" w:themeColor="text1"/>
        </w:rPr>
        <w:t xml:space="preserve">The majority of these examples from </w:t>
      </w:r>
      <w:proofErr w:type="spellStart"/>
      <w:r w:rsidRPr="00771E6E">
        <w:rPr>
          <w:rFonts w:eastAsia="Times New Roman" w:cs="Times New Roman"/>
          <w:color w:val="000000" w:themeColor="text1"/>
        </w:rPr>
        <w:t>Apollonio’s</w:t>
      </w:r>
      <w:proofErr w:type="spellEnd"/>
      <w:r w:rsidRPr="00771E6E">
        <w:rPr>
          <w:rFonts w:eastAsia="Times New Roman" w:cs="Times New Roman"/>
          <w:color w:val="000000" w:themeColor="text1"/>
        </w:rPr>
        <w:t xml:space="preserve"> workshop show two musical angels (although in two cases they are accompanied by a further two non-musical angels); the four angels appearing in the version in the Harvard Art Museum are rather exceptional. The </w:t>
      </w:r>
      <w:proofErr w:type="spellStart"/>
      <w:r w:rsidRPr="00771E6E">
        <w:rPr>
          <w:rFonts w:eastAsia="Times New Roman" w:cs="Times New Roman"/>
          <w:color w:val="000000" w:themeColor="text1"/>
        </w:rPr>
        <w:t>viella</w:t>
      </w:r>
      <w:proofErr w:type="spellEnd"/>
      <w:r w:rsidRPr="00771E6E">
        <w:rPr>
          <w:rFonts w:eastAsia="Times New Roman" w:cs="Times New Roman"/>
          <w:color w:val="000000" w:themeColor="text1"/>
        </w:rPr>
        <w:t xml:space="preserve"> is common to all of the panels and is the only instrument to be also depicted showing its back, in the Harvard panel. </w:t>
      </w:r>
      <w:r w:rsidRPr="00771E6E">
        <w:rPr>
          <w:rFonts w:eastAsia="Times New Roman" w:cs="Times New Roman"/>
        </w:rPr>
        <w:t xml:space="preserve">It is precisely in these types of depictions that </w:t>
      </w:r>
      <w:r w:rsidRPr="00771E6E">
        <w:rPr>
          <w:rFonts w:eastAsia="Times New Roman" w:cs="Times New Roman"/>
          <w:color w:val="000000" w:themeColor="text1"/>
        </w:rPr>
        <w:t xml:space="preserve">children in wealthy households would have been able to </w:t>
      </w:r>
      <w:proofErr w:type="spellStart"/>
      <w:r w:rsidRPr="00771E6E">
        <w:rPr>
          <w:rFonts w:eastAsia="Times New Roman" w:cs="Times New Roman"/>
          <w:color w:val="000000" w:themeColor="text1"/>
        </w:rPr>
        <w:t>recognise</w:t>
      </w:r>
      <w:proofErr w:type="spellEnd"/>
      <w:r w:rsidRPr="00771E6E">
        <w:rPr>
          <w:rFonts w:eastAsia="Times New Roman" w:cs="Times New Roman"/>
          <w:color w:val="000000" w:themeColor="text1"/>
        </w:rPr>
        <w:t xml:space="preserve"> the same instruments that they were learning to play, or that they themselves or other young citizens played during processions and </w:t>
      </w:r>
      <w:proofErr w:type="spellStart"/>
      <w:r w:rsidRPr="00771E6E">
        <w:rPr>
          <w:rFonts w:eastAsia="Times New Roman" w:cs="Times New Roman"/>
          <w:i/>
          <w:color w:val="000000" w:themeColor="text1"/>
        </w:rPr>
        <w:t>sacre</w:t>
      </w:r>
      <w:proofErr w:type="spellEnd"/>
      <w:r w:rsidRPr="00771E6E">
        <w:rPr>
          <w:rFonts w:eastAsia="Times New Roman" w:cs="Times New Roman"/>
          <w:i/>
          <w:color w:val="000000" w:themeColor="text1"/>
        </w:rPr>
        <w:t xml:space="preserve"> </w:t>
      </w:r>
      <w:proofErr w:type="spellStart"/>
      <w:r w:rsidRPr="00771E6E">
        <w:rPr>
          <w:rFonts w:eastAsia="Times New Roman" w:cs="Times New Roman"/>
          <w:i/>
          <w:color w:val="000000" w:themeColor="text1"/>
        </w:rPr>
        <w:t>rappresentazioni</w:t>
      </w:r>
      <w:proofErr w:type="spellEnd"/>
      <w:r w:rsidRPr="00771E6E">
        <w:rPr>
          <w:rFonts w:eastAsia="Times New Roman" w:cs="Times New Roman"/>
          <w:color w:val="000000" w:themeColor="text1"/>
        </w:rPr>
        <w:t>.</w:t>
      </w:r>
      <w:r w:rsidRPr="00771E6E">
        <w:rPr>
          <w:rStyle w:val="FootnoteReference"/>
        </w:rPr>
        <w:footnoteReference w:id="735"/>
      </w:r>
    </w:p>
    <w:p w14:paraId="61F0F3F7"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 xml:space="preserve">Paintings were not the only artistic pieces commissioned for domestic settings. It is highly likely, for example, that a large number of tin-glazed terracotta reliefs produced by the Della </w:t>
      </w:r>
      <w:proofErr w:type="spellStart"/>
      <w:r w:rsidRPr="00771E6E">
        <w:rPr>
          <w:rFonts w:eastAsia="Times New Roman" w:cs="Times New Roman"/>
        </w:rPr>
        <w:t>Robbias</w:t>
      </w:r>
      <w:proofErr w:type="spellEnd"/>
      <w:r w:rsidRPr="00771E6E">
        <w:rPr>
          <w:rFonts w:eastAsia="Times New Roman" w:cs="Times New Roman"/>
        </w:rPr>
        <w:t>’ workshop were also intended for the home.</w:t>
      </w:r>
      <w:r w:rsidRPr="00771E6E">
        <w:rPr>
          <w:rStyle w:val="FootnoteReference"/>
        </w:rPr>
        <w:footnoteReference w:id="736"/>
      </w:r>
      <w:r w:rsidRPr="00771E6E">
        <w:rPr>
          <w:rFonts w:eastAsia="Times New Roman" w:cs="Times New Roman"/>
        </w:rPr>
        <w:t xml:space="preserve"> This is suggested by a pair of entries in the inventory of Lorenzo </w:t>
      </w:r>
      <w:proofErr w:type="spellStart"/>
      <w:r w:rsidRPr="00771E6E">
        <w:rPr>
          <w:rFonts w:eastAsia="Times New Roman" w:cs="Times New Roman"/>
        </w:rPr>
        <w:t>il</w:t>
      </w:r>
      <w:proofErr w:type="spellEnd"/>
      <w:r w:rsidRPr="00771E6E">
        <w:rPr>
          <w:rFonts w:eastAsia="Times New Roman" w:cs="Times New Roman"/>
        </w:rPr>
        <w:t xml:space="preserve"> Magnifico’s possessions from 1492, which lists “una Nostra Donna di mezzo </w:t>
      </w:r>
      <w:proofErr w:type="spellStart"/>
      <w:r w:rsidRPr="00771E6E">
        <w:rPr>
          <w:rFonts w:eastAsia="Times New Roman" w:cs="Times New Roman"/>
        </w:rPr>
        <w:t>rilievo</w:t>
      </w:r>
      <w:proofErr w:type="spellEnd"/>
      <w:r w:rsidRPr="00771E6E">
        <w:rPr>
          <w:rFonts w:eastAsia="Times New Roman" w:cs="Times New Roman"/>
        </w:rPr>
        <w:t xml:space="preserve"> </w:t>
      </w:r>
      <w:proofErr w:type="spellStart"/>
      <w:r w:rsidRPr="00771E6E">
        <w:rPr>
          <w:rFonts w:eastAsia="Times New Roman" w:cs="Times New Roman"/>
        </w:rPr>
        <w:t>invetriata</w:t>
      </w:r>
      <w:proofErr w:type="spellEnd"/>
      <w:r w:rsidRPr="00771E6E">
        <w:rPr>
          <w:rFonts w:eastAsia="Times New Roman" w:cs="Times New Roman"/>
        </w:rPr>
        <w:t xml:space="preserve"> … </w:t>
      </w:r>
      <w:proofErr w:type="spellStart"/>
      <w:r w:rsidRPr="00771E6E">
        <w:rPr>
          <w:rFonts w:eastAsia="Times New Roman" w:cs="Times New Roman"/>
        </w:rPr>
        <w:t>fitta</w:t>
      </w:r>
      <w:proofErr w:type="spellEnd"/>
      <w:r w:rsidRPr="00771E6E">
        <w:rPr>
          <w:rFonts w:eastAsia="Times New Roman" w:cs="Times New Roman"/>
        </w:rPr>
        <w:t xml:space="preserve"> </w:t>
      </w:r>
      <w:proofErr w:type="spellStart"/>
      <w:r w:rsidRPr="00771E6E">
        <w:rPr>
          <w:rFonts w:eastAsia="Times New Roman" w:cs="Times New Roman"/>
        </w:rPr>
        <w:t>nel</w:t>
      </w:r>
      <w:proofErr w:type="spellEnd"/>
      <w:r w:rsidRPr="00771E6E">
        <w:rPr>
          <w:rFonts w:eastAsia="Times New Roman" w:cs="Times New Roman"/>
        </w:rPr>
        <w:t xml:space="preserve"> </w:t>
      </w:r>
      <w:proofErr w:type="spellStart"/>
      <w:r w:rsidRPr="00771E6E">
        <w:rPr>
          <w:rFonts w:eastAsia="Times New Roman" w:cs="Times New Roman"/>
        </w:rPr>
        <w:t>muro</w:t>
      </w:r>
      <w:proofErr w:type="spellEnd"/>
      <w:r w:rsidRPr="00771E6E">
        <w:rPr>
          <w:rFonts w:eastAsia="Times New Roman" w:cs="Times New Roman"/>
        </w:rPr>
        <w:t>” (one Our Lady in bas-relief and glazed … embedded in the wall) in the mezzanine above the antechamber of Lorenzo’s large bedchamber, and “</w:t>
      </w:r>
      <w:proofErr w:type="spellStart"/>
      <w:r w:rsidRPr="00771E6E">
        <w:rPr>
          <w:rFonts w:eastAsia="Times New Roman" w:cs="Times New Roman"/>
        </w:rPr>
        <w:t>uno</w:t>
      </w:r>
      <w:proofErr w:type="spellEnd"/>
      <w:r w:rsidRPr="00771E6E">
        <w:rPr>
          <w:rFonts w:eastAsia="Times New Roman" w:cs="Times New Roman"/>
        </w:rPr>
        <w:t xml:space="preserve"> </w:t>
      </w:r>
      <w:proofErr w:type="spellStart"/>
      <w:r w:rsidRPr="00771E6E">
        <w:rPr>
          <w:rFonts w:eastAsia="Times New Roman" w:cs="Times New Roman"/>
        </w:rPr>
        <w:t>colmo</w:t>
      </w:r>
      <w:proofErr w:type="spellEnd"/>
      <w:r w:rsidRPr="00771E6E">
        <w:rPr>
          <w:rFonts w:eastAsia="Times New Roman" w:cs="Times New Roman"/>
        </w:rPr>
        <w:t xml:space="preserve"> di </w:t>
      </w:r>
      <w:proofErr w:type="spellStart"/>
      <w:r w:rsidRPr="00771E6E">
        <w:rPr>
          <w:rFonts w:eastAsia="Times New Roman" w:cs="Times New Roman"/>
        </w:rPr>
        <w:t>tabernacolo</w:t>
      </w:r>
      <w:proofErr w:type="spellEnd"/>
      <w:r w:rsidRPr="00771E6E">
        <w:rPr>
          <w:rFonts w:eastAsia="Times New Roman" w:cs="Times New Roman"/>
        </w:rPr>
        <w:t xml:space="preserve"> di </w:t>
      </w:r>
      <w:proofErr w:type="spellStart"/>
      <w:r w:rsidRPr="00771E6E">
        <w:rPr>
          <w:rFonts w:eastAsia="Times New Roman" w:cs="Times New Roman"/>
        </w:rPr>
        <w:t>legname</w:t>
      </w:r>
      <w:proofErr w:type="spellEnd"/>
      <w:r w:rsidRPr="00771E6E">
        <w:rPr>
          <w:rFonts w:eastAsia="Times New Roman" w:cs="Times New Roman"/>
        </w:rPr>
        <w:t xml:space="preserve"> con </w:t>
      </w:r>
      <w:proofErr w:type="spellStart"/>
      <w:r w:rsidRPr="00771E6E">
        <w:rPr>
          <w:rFonts w:eastAsia="Times New Roman" w:cs="Times New Roman"/>
        </w:rPr>
        <w:t>più</w:t>
      </w:r>
      <w:proofErr w:type="spellEnd"/>
      <w:r w:rsidRPr="00771E6E">
        <w:rPr>
          <w:rFonts w:eastAsia="Times New Roman" w:cs="Times New Roman"/>
        </w:rPr>
        <w:t xml:space="preserve"> </w:t>
      </w:r>
      <w:proofErr w:type="spellStart"/>
      <w:r w:rsidRPr="00771E6E">
        <w:rPr>
          <w:rFonts w:eastAsia="Times New Roman" w:cs="Times New Roman"/>
        </w:rPr>
        <w:t>ornamenti</w:t>
      </w:r>
      <w:proofErr w:type="spellEnd"/>
      <w:r w:rsidRPr="00771E6E">
        <w:rPr>
          <w:rFonts w:eastAsia="Times New Roman" w:cs="Times New Roman"/>
        </w:rPr>
        <w:t xml:space="preserve"> </w:t>
      </w:r>
      <w:proofErr w:type="spellStart"/>
      <w:r w:rsidRPr="00771E6E">
        <w:rPr>
          <w:rFonts w:eastAsia="Times New Roman" w:cs="Times New Roman"/>
        </w:rPr>
        <w:t>d’oro</w:t>
      </w:r>
      <w:proofErr w:type="spellEnd"/>
      <w:r w:rsidRPr="00771E6E">
        <w:rPr>
          <w:rFonts w:eastAsia="Times New Roman" w:cs="Times New Roman"/>
        </w:rPr>
        <w:t xml:space="preserve"> … </w:t>
      </w:r>
      <w:proofErr w:type="spellStart"/>
      <w:r w:rsidRPr="00771E6E">
        <w:rPr>
          <w:rFonts w:eastAsia="Times New Roman" w:cs="Times New Roman"/>
        </w:rPr>
        <w:t>drentovi</w:t>
      </w:r>
      <w:proofErr w:type="spellEnd"/>
      <w:r w:rsidRPr="00771E6E">
        <w:rPr>
          <w:rFonts w:eastAsia="Times New Roman" w:cs="Times New Roman"/>
        </w:rPr>
        <w:t xml:space="preserve"> una Nostra Donna a </w:t>
      </w:r>
      <w:proofErr w:type="spellStart"/>
      <w:r w:rsidRPr="00771E6E">
        <w:rPr>
          <w:rFonts w:eastAsia="Times New Roman" w:cs="Times New Roman"/>
        </w:rPr>
        <w:t>sedere</w:t>
      </w:r>
      <w:proofErr w:type="spellEnd"/>
      <w:r w:rsidRPr="00771E6E">
        <w:rPr>
          <w:rFonts w:eastAsia="Times New Roman" w:cs="Times New Roman"/>
        </w:rPr>
        <w:t xml:space="preserve"> col bambino in </w:t>
      </w:r>
      <w:proofErr w:type="spellStart"/>
      <w:r w:rsidRPr="00771E6E">
        <w:rPr>
          <w:rFonts w:eastAsia="Times New Roman" w:cs="Times New Roman"/>
        </w:rPr>
        <w:t>collo</w:t>
      </w:r>
      <w:proofErr w:type="spellEnd"/>
      <w:r w:rsidRPr="00771E6E">
        <w:rPr>
          <w:rFonts w:eastAsia="Times New Roman" w:cs="Times New Roman"/>
        </w:rPr>
        <w:t xml:space="preserve">, di mezzo </w:t>
      </w:r>
      <w:proofErr w:type="spellStart"/>
      <w:r w:rsidRPr="00771E6E">
        <w:rPr>
          <w:rFonts w:eastAsia="Times New Roman" w:cs="Times New Roman"/>
        </w:rPr>
        <w:t>rilievo</w:t>
      </w:r>
      <w:proofErr w:type="spellEnd"/>
      <w:r w:rsidRPr="00771E6E">
        <w:rPr>
          <w:rFonts w:eastAsia="Times New Roman" w:cs="Times New Roman"/>
        </w:rPr>
        <w:t xml:space="preserve"> et </w:t>
      </w:r>
      <w:proofErr w:type="spellStart"/>
      <w:r w:rsidRPr="00771E6E">
        <w:rPr>
          <w:rFonts w:eastAsia="Times New Roman" w:cs="Times New Roman"/>
        </w:rPr>
        <w:lastRenderedPageBreak/>
        <w:t>invetriato</w:t>
      </w:r>
      <w:proofErr w:type="spellEnd"/>
      <w:r w:rsidRPr="00771E6E">
        <w:rPr>
          <w:rFonts w:eastAsia="Times New Roman" w:cs="Times New Roman"/>
        </w:rPr>
        <w:t xml:space="preserve">” (one </w:t>
      </w:r>
      <w:proofErr w:type="spellStart"/>
      <w:r w:rsidRPr="00771E6E">
        <w:rPr>
          <w:rFonts w:eastAsia="Times New Roman" w:cs="Times New Roman"/>
          <w:i/>
        </w:rPr>
        <w:t>colmo</w:t>
      </w:r>
      <w:proofErr w:type="spellEnd"/>
      <w:r w:rsidRPr="00771E6E">
        <w:rPr>
          <w:rFonts w:eastAsia="Times New Roman" w:cs="Times New Roman"/>
        </w:rPr>
        <w:t xml:space="preserve"> as a tabernacle in wood decorated with gold … with one Our Lady sitting with the Child at her neck, in bas-relief and glazed) in the </w:t>
      </w:r>
      <w:r w:rsidRPr="00771E6E">
        <w:rPr>
          <w:rFonts w:eastAsia="Times New Roman" w:cs="Times New Roman"/>
          <w:i/>
        </w:rPr>
        <w:t xml:space="preserve">Camera del </w:t>
      </w:r>
      <w:proofErr w:type="spellStart"/>
      <w:r w:rsidRPr="00771E6E">
        <w:rPr>
          <w:rFonts w:eastAsia="Times New Roman" w:cs="Times New Roman"/>
          <w:i/>
        </w:rPr>
        <w:t>Monsignore</w:t>
      </w:r>
      <w:proofErr w:type="spellEnd"/>
      <w:r w:rsidRPr="00771E6E">
        <w:rPr>
          <w:rFonts w:eastAsia="Times New Roman" w:cs="Times New Roman"/>
          <w:i/>
        </w:rPr>
        <w:t xml:space="preserve"> </w:t>
      </w:r>
      <w:r w:rsidRPr="00771E6E">
        <w:rPr>
          <w:rFonts w:eastAsia="Times New Roman" w:cs="Times New Roman"/>
        </w:rPr>
        <w:t>occupied by the thirteen-year-old Giuliano, Lorenzo’s son.</w:t>
      </w:r>
      <w:r w:rsidRPr="00771E6E">
        <w:rPr>
          <w:rStyle w:val="FootnoteReference"/>
        </w:rPr>
        <w:footnoteReference w:id="737"/>
      </w:r>
      <w:r w:rsidRPr="00771E6E">
        <w:rPr>
          <w:rFonts w:eastAsia="Times New Roman" w:cs="Times New Roman"/>
        </w:rPr>
        <w:t xml:space="preserve"> Although these entries do not mention the workshop that produced the works by name, it is likely that they both refer to the tin-glazed terracotta reliefs that were so typical of the Della </w:t>
      </w:r>
      <w:proofErr w:type="spellStart"/>
      <w:r w:rsidRPr="00771E6E">
        <w:rPr>
          <w:rFonts w:eastAsia="Times New Roman" w:cs="Times New Roman"/>
        </w:rPr>
        <w:t>Robbias</w:t>
      </w:r>
      <w:proofErr w:type="spellEnd"/>
      <w:r w:rsidRPr="00771E6E">
        <w:rPr>
          <w:rFonts w:eastAsia="Times New Roman" w:cs="Times New Roman"/>
        </w:rPr>
        <w:t xml:space="preserve">’ workshop, and were possibly by Luca </w:t>
      </w:r>
      <w:proofErr w:type="spellStart"/>
      <w:r w:rsidRPr="00771E6E">
        <w:rPr>
          <w:rFonts w:eastAsia="Times New Roman" w:cs="Times New Roman"/>
        </w:rPr>
        <w:t>della</w:t>
      </w:r>
      <w:proofErr w:type="spellEnd"/>
      <w:r w:rsidRPr="00771E6E">
        <w:rPr>
          <w:rFonts w:eastAsia="Times New Roman" w:cs="Times New Roman"/>
        </w:rPr>
        <w:t xml:space="preserve"> Robbia himself.</w:t>
      </w:r>
      <w:r w:rsidRPr="00771E6E">
        <w:rPr>
          <w:rStyle w:val="FootnoteReference"/>
        </w:rPr>
        <w:footnoteReference w:id="738"/>
      </w:r>
      <w:r w:rsidRPr="00771E6E">
        <w:rPr>
          <w:rFonts w:eastAsia="Times New Roman" w:cs="Times New Roman"/>
        </w:rPr>
        <w:t xml:space="preserve"> The first record has been linked to the </w:t>
      </w:r>
      <w:r w:rsidRPr="00771E6E">
        <w:rPr>
          <w:rFonts w:eastAsia="Times New Roman" w:cs="Times New Roman"/>
          <w:i/>
        </w:rPr>
        <w:t>Madonna of the Apple</w:t>
      </w:r>
      <w:r w:rsidRPr="00771E6E">
        <w:rPr>
          <w:rFonts w:eastAsia="Times New Roman" w:cs="Times New Roman"/>
        </w:rPr>
        <w:t xml:space="preserve"> kept in the Museo del Bargello, which is known to derive from the Medici collection (fig. 4.8).</w:t>
      </w:r>
      <w:r w:rsidRPr="00771E6E">
        <w:rPr>
          <w:rStyle w:val="FootnoteReference"/>
        </w:rPr>
        <w:footnoteReference w:id="739"/>
      </w:r>
      <w:r w:rsidRPr="00771E6E">
        <w:rPr>
          <w:rFonts w:eastAsia="Times New Roman" w:cs="Times New Roman"/>
        </w:rPr>
        <w:t xml:space="preserve">  Another possible reference to the work of Della Robbia is a record of one “Nostra Donna </w:t>
      </w:r>
      <w:proofErr w:type="spellStart"/>
      <w:r w:rsidRPr="00771E6E">
        <w:rPr>
          <w:rFonts w:eastAsia="Times New Roman" w:cs="Times New Roman"/>
        </w:rPr>
        <w:t>invetriata</w:t>
      </w:r>
      <w:proofErr w:type="spellEnd"/>
      <w:r w:rsidRPr="00771E6E">
        <w:rPr>
          <w:rFonts w:eastAsia="Times New Roman" w:cs="Times New Roman"/>
        </w:rPr>
        <w:t xml:space="preserve">” (Our Lady, glazed), belonging to the merchant Giovanni </w:t>
      </w:r>
      <w:proofErr w:type="spellStart"/>
      <w:r w:rsidRPr="00771E6E">
        <w:rPr>
          <w:rFonts w:eastAsia="Times New Roman" w:cs="Times New Roman"/>
        </w:rPr>
        <w:t>Benci</w:t>
      </w:r>
      <w:proofErr w:type="spellEnd"/>
      <w:r w:rsidRPr="00771E6E">
        <w:rPr>
          <w:rFonts w:eastAsia="Times New Roman" w:cs="Times New Roman"/>
        </w:rPr>
        <w:t xml:space="preserve">, which was recorded by </w:t>
      </w:r>
      <w:proofErr w:type="spellStart"/>
      <w:r w:rsidRPr="00771E6E">
        <w:rPr>
          <w:rFonts w:eastAsia="Times New Roman" w:cs="Times New Roman"/>
        </w:rPr>
        <w:t>Neri</w:t>
      </w:r>
      <w:proofErr w:type="spellEnd"/>
      <w:r w:rsidRPr="00771E6E">
        <w:rPr>
          <w:rFonts w:eastAsia="Times New Roman" w:cs="Times New Roman"/>
        </w:rPr>
        <w:t xml:space="preserve"> di </w:t>
      </w:r>
      <w:proofErr w:type="spellStart"/>
      <w:r w:rsidRPr="00771E6E">
        <w:rPr>
          <w:rFonts w:eastAsia="Times New Roman" w:cs="Times New Roman"/>
        </w:rPr>
        <w:t>Bicci</w:t>
      </w:r>
      <w:proofErr w:type="spellEnd"/>
      <w:r w:rsidRPr="00771E6E">
        <w:rPr>
          <w:rFonts w:eastAsia="Times New Roman" w:cs="Times New Roman"/>
        </w:rPr>
        <w:t xml:space="preserve"> in his </w:t>
      </w:r>
      <w:proofErr w:type="spellStart"/>
      <w:r w:rsidRPr="00771E6E">
        <w:rPr>
          <w:rFonts w:eastAsia="Times New Roman" w:cs="Times New Roman"/>
          <w:i/>
        </w:rPr>
        <w:t>Ricordanze</w:t>
      </w:r>
      <w:proofErr w:type="spellEnd"/>
      <w:r w:rsidRPr="00771E6E">
        <w:rPr>
          <w:rFonts w:eastAsia="Times New Roman" w:cs="Times New Roman"/>
        </w:rPr>
        <w:t xml:space="preserve"> in 1464.</w:t>
      </w:r>
      <w:r w:rsidRPr="00771E6E">
        <w:rPr>
          <w:rStyle w:val="FootnoteReference"/>
        </w:rPr>
        <w:footnoteReference w:id="740"/>
      </w:r>
      <w:r w:rsidRPr="00771E6E">
        <w:rPr>
          <w:rFonts w:eastAsia="Times New Roman" w:cs="Times New Roman"/>
        </w:rPr>
        <w:t xml:space="preserve"> The domestic purpose of these types of works is confirmed by another contemporary record. In</w:t>
      </w:r>
      <w:r w:rsidRPr="00771E6E">
        <w:rPr>
          <w:rFonts w:eastAsia="Times New Roman" w:cs="Times New Roman"/>
          <w:lang w:val="it-IT"/>
        </w:rPr>
        <w:t xml:space="preserve"> 1499, </w:t>
      </w:r>
      <w:r w:rsidRPr="00771E6E">
        <w:rPr>
          <w:rFonts w:eastAsia="Times New Roman" w:cs="Times New Roman"/>
        </w:rPr>
        <w:t xml:space="preserve">Andrea </w:t>
      </w:r>
      <w:proofErr w:type="spellStart"/>
      <w:r w:rsidRPr="00771E6E">
        <w:rPr>
          <w:rFonts w:eastAsia="Times New Roman" w:cs="Times New Roman"/>
        </w:rPr>
        <w:t>Minerbetti</w:t>
      </w:r>
      <w:proofErr w:type="spellEnd"/>
      <w:r w:rsidRPr="00771E6E">
        <w:rPr>
          <w:rFonts w:eastAsia="Times New Roman" w:cs="Times New Roman"/>
        </w:rPr>
        <w:t xml:space="preserve">, in his </w:t>
      </w:r>
      <w:r w:rsidRPr="00771E6E">
        <w:rPr>
          <w:rFonts w:eastAsia="Times New Roman" w:cs="Times New Roman"/>
          <w:i/>
          <w:lang w:val="it-IT"/>
        </w:rPr>
        <w:t>Libro di ricordi</w:t>
      </w:r>
      <w:r w:rsidRPr="00771E6E">
        <w:rPr>
          <w:rFonts w:eastAsia="Times New Roman" w:cs="Times New Roman"/>
          <w:lang w:val="it-IT"/>
        </w:rPr>
        <w:t xml:space="preserve">, </w:t>
      </w:r>
      <w:r w:rsidRPr="00771E6E">
        <w:rPr>
          <w:rFonts w:eastAsia="Times New Roman" w:cs="Times New Roman"/>
        </w:rPr>
        <w:t xml:space="preserve">records the purchase </w:t>
      </w:r>
      <w:r w:rsidRPr="00771E6E">
        <w:rPr>
          <w:rFonts w:eastAsia="Times New Roman" w:cs="Times New Roman"/>
          <w:lang w:val="it-IT"/>
        </w:rPr>
        <w:t xml:space="preserve">of “1 nostra donna della </w:t>
      </w:r>
      <w:proofErr w:type="spellStart"/>
      <w:r w:rsidRPr="00771E6E">
        <w:rPr>
          <w:rFonts w:eastAsia="Times New Roman" w:cs="Times New Roman"/>
          <w:lang w:val="it-IT"/>
        </w:rPr>
        <w:t>robia</w:t>
      </w:r>
      <w:proofErr w:type="spellEnd"/>
      <w:r w:rsidRPr="00771E6E">
        <w:rPr>
          <w:rFonts w:eastAsia="Times New Roman" w:cs="Times New Roman"/>
          <w:lang w:val="it-IT"/>
        </w:rPr>
        <w:t xml:space="preserve"> murata” (</w:t>
      </w:r>
      <w:r w:rsidRPr="00771E6E">
        <w:rPr>
          <w:rFonts w:eastAsia="Times New Roman" w:cs="Times New Roman"/>
        </w:rPr>
        <w:t>one Our Lady by Della Robbia, in the wall</w:t>
      </w:r>
      <w:r w:rsidRPr="00771E6E">
        <w:rPr>
          <w:rFonts w:eastAsia="Times New Roman" w:cs="Times New Roman"/>
          <w:lang w:val="it-IT"/>
        </w:rPr>
        <w:t xml:space="preserve">) </w:t>
      </w:r>
      <w:r w:rsidRPr="00771E6E">
        <w:rPr>
          <w:rFonts w:eastAsia="Times New Roman" w:cs="Times New Roman"/>
        </w:rPr>
        <w:t>for a room on the ground floor, which was probably intended to be inserted into the wall, as suggested by Peter Thornton.</w:t>
      </w:r>
      <w:r w:rsidRPr="00771E6E">
        <w:rPr>
          <w:rStyle w:val="FootnoteReference"/>
        </w:rPr>
        <w:footnoteReference w:id="741"/>
      </w:r>
      <w:r w:rsidRPr="00771E6E">
        <w:rPr>
          <w:rFonts w:eastAsia="Times New Roman" w:cs="Times New Roman"/>
        </w:rPr>
        <w:t xml:space="preserve"> This particular display practice was clearly not uncommon, as one of the </w:t>
      </w:r>
      <w:proofErr w:type="spellStart"/>
      <w:r w:rsidRPr="00771E6E">
        <w:rPr>
          <w:rFonts w:eastAsia="Times New Roman" w:cs="Times New Roman"/>
        </w:rPr>
        <w:t>Madonnas</w:t>
      </w:r>
      <w:proofErr w:type="spellEnd"/>
      <w:r w:rsidRPr="00771E6E">
        <w:rPr>
          <w:rFonts w:eastAsia="Times New Roman" w:cs="Times New Roman"/>
        </w:rPr>
        <w:t xml:space="preserve"> in Lorenzo </w:t>
      </w:r>
      <w:proofErr w:type="spellStart"/>
      <w:r w:rsidRPr="00771E6E">
        <w:rPr>
          <w:rFonts w:eastAsia="Times New Roman" w:cs="Times New Roman"/>
        </w:rPr>
        <w:t>il</w:t>
      </w:r>
      <w:proofErr w:type="spellEnd"/>
      <w:r w:rsidRPr="00771E6E">
        <w:rPr>
          <w:rFonts w:eastAsia="Times New Roman" w:cs="Times New Roman"/>
        </w:rPr>
        <w:t xml:space="preserve"> Magnifico’s possessions mentioned above was also described as “</w:t>
      </w:r>
      <w:proofErr w:type="spellStart"/>
      <w:r w:rsidRPr="00771E6E">
        <w:rPr>
          <w:rFonts w:eastAsia="Times New Roman" w:cs="Times New Roman"/>
        </w:rPr>
        <w:t>fitta</w:t>
      </w:r>
      <w:proofErr w:type="spellEnd"/>
      <w:r w:rsidRPr="00771E6E">
        <w:rPr>
          <w:rFonts w:eastAsia="Times New Roman" w:cs="Times New Roman"/>
        </w:rPr>
        <w:t xml:space="preserve"> </w:t>
      </w:r>
      <w:proofErr w:type="spellStart"/>
      <w:r w:rsidRPr="00771E6E">
        <w:rPr>
          <w:rFonts w:eastAsia="Times New Roman" w:cs="Times New Roman"/>
        </w:rPr>
        <w:t>nel</w:t>
      </w:r>
      <w:proofErr w:type="spellEnd"/>
      <w:r w:rsidRPr="00771E6E">
        <w:rPr>
          <w:rFonts w:eastAsia="Times New Roman" w:cs="Times New Roman"/>
        </w:rPr>
        <w:t xml:space="preserve"> </w:t>
      </w:r>
      <w:proofErr w:type="spellStart"/>
      <w:r w:rsidRPr="00771E6E">
        <w:rPr>
          <w:rFonts w:eastAsia="Times New Roman" w:cs="Times New Roman"/>
        </w:rPr>
        <w:t>muro</w:t>
      </w:r>
      <w:proofErr w:type="spellEnd"/>
      <w:r w:rsidRPr="00771E6E">
        <w:rPr>
          <w:rFonts w:eastAsia="Times New Roman" w:cs="Times New Roman"/>
        </w:rPr>
        <w:t xml:space="preserve">”. </w:t>
      </w:r>
    </w:p>
    <w:p w14:paraId="73CC417D" w14:textId="77777777" w:rsidR="00310CB2" w:rsidRPr="00771E6E" w:rsidRDefault="00310CB2" w:rsidP="00310CB2">
      <w:pPr>
        <w:ind w:firstLine="720"/>
        <w:contextualSpacing/>
        <w:rPr>
          <w:rFonts w:eastAsia="Times New Roman" w:cs="Times New Roman"/>
          <w:color w:val="000000" w:themeColor="text1"/>
        </w:rPr>
      </w:pPr>
      <w:r w:rsidRPr="00771E6E">
        <w:rPr>
          <w:rFonts w:eastAsia="Times New Roman" w:cs="Times New Roman"/>
        </w:rPr>
        <w:t xml:space="preserve">Tin-glazed terracotta reliefs with the Virgin and Child became extremely popular in fifteenth-century Italy. Often produced serially from a </w:t>
      </w:r>
      <w:proofErr w:type="spellStart"/>
      <w:r w:rsidRPr="00771E6E">
        <w:rPr>
          <w:rFonts w:eastAsia="Times New Roman" w:cs="Times New Roman"/>
        </w:rPr>
        <w:t>mould</w:t>
      </w:r>
      <w:proofErr w:type="spellEnd"/>
      <w:r w:rsidRPr="00771E6E">
        <w:rPr>
          <w:rFonts w:eastAsia="Times New Roman" w:cs="Times New Roman"/>
        </w:rPr>
        <w:t xml:space="preserve"> on a large scale, these images were intended to satisfy the demand of a growing market.</w:t>
      </w:r>
      <w:r w:rsidRPr="00771E6E">
        <w:rPr>
          <w:rStyle w:val="FootnoteReference"/>
        </w:rPr>
        <w:footnoteReference w:id="742"/>
      </w:r>
      <w:r w:rsidRPr="00771E6E">
        <w:rPr>
          <w:rFonts w:eastAsia="Times New Roman" w:cs="Times New Roman"/>
        </w:rPr>
        <w:t xml:space="preserve"> The popularity for these works and their use in domestic environments </w:t>
      </w:r>
      <w:r w:rsidRPr="00771E6E">
        <w:rPr>
          <w:rFonts w:eastAsia="Times New Roman" w:cs="Times New Roman"/>
          <w:color w:val="000000" w:themeColor="text1"/>
        </w:rPr>
        <w:t xml:space="preserve">extended well into the sixteenth century. For example, in 1524, two inexpensive glazed reliefs of the Virgin and Child produced by the Della </w:t>
      </w:r>
      <w:proofErr w:type="spellStart"/>
      <w:r w:rsidRPr="00771E6E">
        <w:rPr>
          <w:rFonts w:eastAsia="Times New Roman" w:cs="Times New Roman"/>
          <w:color w:val="000000" w:themeColor="text1"/>
        </w:rPr>
        <w:t>Robbias</w:t>
      </w:r>
      <w:proofErr w:type="spellEnd"/>
      <w:r w:rsidRPr="00771E6E">
        <w:rPr>
          <w:rFonts w:eastAsia="Times New Roman" w:cs="Times New Roman"/>
          <w:color w:val="000000" w:themeColor="text1"/>
        </w:rPr>
        <w:t xml:space="preserve">’ workshop were explicitly brought to the attention of the </w:t>
      </w:r>
      <w:proofErr w:type="spellStart"/>
      <w:r w:rsidRPr="00771E6E">
        <w:rPr>
          <w:rFonts w:eastAsia="Times New Roman" w:cs="Times New Roman"/>
          <w:i/>
          <w:color w:val="000000" w:themeColor="text1"/>
        </w:rPr>
        <w:t>podestà</w:t>
      </w:r>
      <w:proofErr w:type="spellEnd"/>
      <w:r w:rsidRPr="00771E6E">
        <w:rPr>
          <w:rFonts w:eastAsia="Times New Roman" w:cs="Times New Roman"/>
          <w:color w:val="000000" w:themeColor="text1"/>
        </w:rPr>
        <w:t xml:space="preserve"> (town chief magistrate) Alessandro de </w:t>
      </w:r>
      <w:proofErr w:type="spellStart"/>
      <w:r w:rsidRPr="00771E6E">
        <w:rPr>
          <w:rFonts w:eastAsia="Times New Roman" w:cs="Times New Roman"/>
          <w:color w:val="000000" w:themeColor="text1"/>
        </w:rPr>
        <w:t>Segni</w:t>
      </w:r>
      <w:proofErr w:type="spellEnd"/>
      <w:r w:rsidRPr="00771E6E">
        <w:rPr>
          <w:rFonts w:eastAsia="Times New Roman" w:cs="Times New Roman"/>
          <w:color w:val="000000" w:themeColor="text1"/>
        </w:rPr>
        <w:t xml:space="preserve"> by his Florentine friend </w:t>
      </w:r>
      <w:proofErr w:type="spellStart"/>
      <w:r w:rsidRPr="00771E6E">
        <w:rPr>
          <w:rFonts w:eastAsia="Times New Roman" w:cs="Times New Roman"/>
          <w:color w:val="000000" w:themeColor="text1"/>
        </w:rPr>
        <w:t>Cappone</w:t>
      </w:r>
      <w:proofErr w:type="spellEnd"/>
      <w:r w:rsidRPr="00771E6E">
        <w:rPr>
          <w:rFonts w:eastAsia="Times New Roman" w:cs="Times New Roman"/>
          <w:color w:val="000000" w:themeColor="text1"/>
        </w:rPr>
        <w:t xml:space="preserve"> di </w:t>
      </w:r>
      <w:proofErr w:type="spellStart"/>
      <w:r w:rsidRPr="00771E6E">
        <w:rPr>
          <w:rFonts w:eastAsia="Times New Roman" w:cs="Times New Roman"/>
          <w:color w:val="000000" w:themeColor="text1"/>
        </w:rPr>
        <w:t>Iacopo</w:t>
      </w:r>
      <w:proofErr w:type="spellEnd"/>
      <w:r w:rsidRPr="00771E6E">
        <w:rPr>
          <w:rFonts w:eastAsia="Times New Roman" w:cs="Times New Roman"/>
          <w:color w:val="000000" w:themeColor="text1"/>
        </w:rPr>
        <w:t xml:space="preserve"> </w:t>
      </w:r>
      <w:proofErr w:type="spellStart"/>
      <w:r w:rsidRPr="00771E6E">
        <w:rPr>
          <w:rFonts w:eastAsia="Times New Roman" w:cs="Times New Roman"/>
          <w:color w:val="000000" w:themeColor="text1"/>
        </w:rPr>
        <w:t>Capponi</w:t>
      </w:r>
      <w:proofErr w:type="spellEnd"/>
      <w:r w:rsidRPr="00771E6E">
        <w:rPr>
          <w:rFonts w:eastAsia="Times New Roman" w:cs="Times New Roman"/>
          <w:color w:val="000000" w:themeColor="text1"/>
        </w:rPr>
        <w:t xml:space="preserve">, </w:t>
      </w:r>
      <w:r w:rsidRPr="00771E6E">
        <w:rPr>
          <w:rFonts w:eastAsia="Times New Roman" w:cs="Times New Roman"/>
          <w:color w:val="000000" w:themeColor="text1"/>
        </w:rPr>
        <w:lastRenderedPageBreak/>
        <w:t>so that he could acquire them to fulfil his desire to display a “Madonna” in the main chamber (</w:t>
      </w:r>
      <w:proofErr w:type="spellStart"/>
      <w:r w:rsidRPr="00771E6E">
        <w:rPr>
          <w:rFonts w:eastAsia="Times New Roman" w:cs="Times New Roman"/>
          <w:i/>
          <w:color w:val="000000" w:themeColor="text1"/>
        </w:rPr>
        <w:t>chamera</w:t>
      </w:r>
      <w:proofErr w:type="spellEnd"/>
      <w:r w:rsidRPr="00771E6E">
        <w:rPr>
          <w:rFonts w:eastAsia="Times New Roman" w:cs="Times New Roman"/>
          <w:i/>
          <w:color w:val="000000" w:themeColor="text1"/>
        </w:rPr>
        <w:t xml:space="preserve"> </w:t>
      </w:r>
      <w:proofErr w:type="spellStart"/>
      <w:r w:rsidRPr="00771E6E">
        <w:rPr>
          <w:rFonts w:eastAsia="Times New Roman" w:cs="Times New Roman"/>
          <w:i/>
          <w:color w:val="000000" w:themeColor="text1"/>
        </w:rPr>
        <w:t>plincipale</w:t>
      </w:r>
      <w:proofErr w:type="spellEnd"/>
      <w:r w:rsidRPr="00771E6E">
        <w:rPr>
          <w:rFonts w:eastAsia="Times New Roman" w:cs="Times New Roman"/>
          <w:color w:val="000000" w:themeColor="text1"/>
        </w:rPr>
        <w:t xml:space="preserve"> [sic]) of his castle in </w:t>
      </w:r>
      <w:proofErr w:type="spellStart"/>
      <w:r w:rsidRPr="00771E6E">
        <w:rPr>
          <w:rFonts w:eastAsia="Times New Roman" w:cs="Times New Roman"/>
          <w:color w:val="000000" w:themeColor="text1"/>
        </w:rPr>
        <w:t>Lari</w:t>
      </w:r>
      <w:proofErr w:type="spellEnd"/>
      <w:r w:rsidRPr="00771E6E">
        <w:rPr>
          <w:rFonts w:eastAsia="Times New Roman" w:cs="Times New Roman"/>
          <w:color w:val="000000" w:themeColor="text1"/>
        </w:rPr>
        <w:t>, near Pisa.</w:t>
      </w:r>
      <w:r w:rsidRPr="00771E6E">
        <w:rPr>
          <w:rStyle w:val="FootnoteReference"/>
        </w:rPr>
        <w:footnoteReference w:id="743"/>
      </w:r>
      <w:r w:rsidRPr="00771E6E">
        <w:rPr>
          <w:rFonts w:eastAsia="Times New Roman" w:cs="Times New Roman"/>
          <w:color w:val="000000" w:themeColor="text1"/>
        </w:rPr>
        <w:t xml:space="preserve"> </w:t>
      </w:r>
    </w:p>
    <w:p w14:paraId="7DF954CA" w14:textId="31676D4A" w:rsidR="00310CB2" w:rsidRPr="00771E6E" w:rsidRDefault="00310CB2" w:rsidP="00310CB2">
      <w:pPr>
        <w:ind w:firstLine="720"/>
        <w:contextualSpacing/>
        <w:rPr>
          <w:rFonts w:eastAsia="Times New Roman" w:cs="Times New Roman"/>
          <w:color w:val="000000" w:themeColor="text1"/>
        </w:rPr>
      </w:pPr>
      <w:r w:rsidRPr="00771E6E">
        <w:rPr>
          <w:rFonts w:eastAsia="Times New Roman" w:cs="Times New Roman"/>
          <w:color w:val="000000" w:themeColor="text1"/>
        </w:rPr>
        <w:t xml:space="preserve">In her publication accompanying the 2017 exhibition </w:t>
      </w:r>
      <w:r w:rsidRPr="00771E6E">
        <w:rPr>
          <w:rFonts w:eastAsia="Times New Roman" w:cs="Times New Roman"/>
          <w:i/>
          <w:color w:val="000000" w:themeColor="text1"/>
        </w:rPr>
        <w:t>Della Robbia: Sculpting with color in Renaissance Florence</w:t>
      </w:r>
      <w:r w:rsidRPr="00771E6E">
        <w:rPr>
          <w:rFonts w:eastAsia="Times New Roman" w:cs="Times New Roman"/>
          <w:color w:val="000000" w:themeColor="text1"/>
        </w:rPr>
        <w:t xml:space="preserve"> at the National Gallery of Art, Washington D.C.,</w:t>
      </w:r>
      <w:r w:rsidRPr="00771E6E">
        <w:rPr>
          <w:rFonts w:eastAsia="Times New Roman" w:cs="Times New Roman"/>
          <w:i/>
          <w:color w:val="000000" w:themeColor="text1"/>
        </w:rPr>
        <w:t xml:space="preserve"> </w:t>
      </w:r>
      <w:r w:rsidRPr="00771E6E">
        <w:rPr>
          <w:rFonts w:eastAsia="Times New Roman" w:cs="Times New Roman"/>
          <w:color w:val="000000" w:themeColor="text1"/>
        </w:rPr>
        <w:t xml:space="preserve">Marietta </w:t>
      </w:r>
      <w:proofErr w:type="spellStart"/>
      <w:r w:rsidRPr="00771E6E">
        <w:rPr>
          <w:rFonts w:eastAsia="Times New Roman" w:cs="Times New Roman"/>
          <w:color w:val="000000" w:themeColor="text1"/>
        </w:rPr>
        <w:t>Cambareri</w:t>
      </w:r>
      <w:proofErr w:type="spellEnd"/>
      <w:r w:rsidRPr="00771E6E">
        <w:rPr>
          <w:rFonts w:eastAsia="Times New Roman" w:cs="Times New Roman"/>
          <w:color w:val="000000" w:themeColor="text1"/>
        </w:rPr>
        <w:t xml:space="preserve"> dedicated a section to domestic art produced by the Della </w:t>
      </w:r>
      <w:proofErr w:type="spellStart"/>
      <w:r w:rsidRPr="00771E6E">
        <w:rPr>
          <w:rFonts w:eastAsia="Times New Roman" w:cs="Times New Roman"/>
          <w:color w:val="000000" w:themeColor="text1"/>
        </w:rPr>
        <w:t>Robbias</w:t>
      </w:r>
      <w:proofErr w:type="spellEnd"/>
      <w:r w:rsidRPr="00771E6E">
        <w:rPr>
          <w:rFonts w:eastAsia="Times New Roman" w:cs="Times New Roman"/>
          <w:color w:val="000000" w:themeColor="text1"/>
        </w:rPr>
        <w:t>’ workshop, which included depictions of the Virgin and Child, busts and figures of children in the guise of the young Saint John the Baptist and Christ, and allegoric figures.</w:t>
      </w:r>
      <w:r w:rsidRPr="00771E6E">
        <w:rPr>
          <w:rStyle w:val="FootnoteReference"/>
        </w:rPr>
        <w:footnoteReference w:id="744"/>
      </w:r>
      <w:r w:rsidRPr="00771E6E">
        <w:rPr>
          <w:rFonts w:eastAsia="Times New Roman" w:cs="Times New Roman"/>
          <w:color w:val="000000" w:themeColor="text1"/>
        </w:rPr>
        <w:t xml:space="preserve"> Although the author does not include music specifically, the importance given to providing a source of imitation and an example to imitate is clear in the </w:t>
      </w:r>
      <w:r w:rsidRPr="00771E6E">
        <w:rPr>
          <w:rFonts w:eastAsia="Times New Roman" w:cs="Times New Roman"/>
          <w:i/>
          <w:color w:val="000000" w:themeColor="text1"/>
        </w:rPr>
        <w:t>Bust of a Boy</w:t>
      </w:r>
      <w:r w:rsidRPr="00771E6E">
        <w:rPr>
          <w:rFonts w:eastAsia="Times New Roman" w:cs="Times New Roman"/>
          <w:color w:val="000000" w:themeColor="text1"/>
        </w:rPr>
        <w:t xml:space="preserve"> by Andrea </w:t>
      </w:r>
      <w:proofErr w:type="spellStart"/>
      <w:r w:rsidRPr="00771E6E">
        <w:rPr>
          <w:rFonts w:eastAsia="Times New Roman" w:cs="Times New Roman"/>
          <w:color w:val="000000" w:themeColor="text1"/>
        </w:rPr>
        <w:t>della</w:t>
      </w:r>
      <w:proofErr w:type="spellEnd"/>
      <w:r w:rsidRPr="00771E6E">
        <w:rPr>
          <w:rFonts w:eastAsia="Times New Roman" w:cs="Times New Roman"/>
          <w:color w:val="000000" w:themeColor="text1"/>
        </w:rPr>
        <w:t xml:space="preserve"> Robbia (fig. 4.9) and the group of figures with the </w:t>
      </w:r>
      <w:r w:rsidRPr="00771E6E">
        <w:rPr>
          <w:rFonts w:eastAsia="Times New Roman" w:cs="Times New Roman"/>
          <w:i/>
          <w:color w:val="000000" w:themeColor="text1"/>
        </w:rPr>
        <w:t xml:space="preserve">Meeting of the Christ child and young Saint John the Baptist </w:t>
      </w:r>
      <w:r w:rsidRPr="00771E6E">
        <w:rPr>
          <w:rFonts w:eastAsia="Times New Roman" w:cs="Times New Roman"/>
          <w:color w:val="000000" w:themeColor="text1"/>
        </w:rPr>
        <w:t>by Giovanni (fig. 4.10), both now in the Museo Nazionale del Bargello, Florence, which were likely commissioned for these purposes, in the same way as discussed with regards to the marble busts mentioned in Chapter 1.4.</w:t>
      </w:r>
      <w:r w:rsidRPr="00771E6E">
        <w:rPr>
          <w:rStyle w:val="FootnoteReference"/>
        </w:rPr>
        <w:footnoteReference w:id="745"/>
      </w:r>
      <w:r w:rsidRPr="00771E6E">
        <w:rPr>
          <w:rFonts w:eastAsia="Times New Roman" w:cs="Times New Roman"/>
          <w:color w:val="000000" w:themeColor="text1"/>
        </w:rPr>
        <w:t xml:space="preserve"> However, objects produced by the Della </w:t>
      </w:r>
      <w:proofErr w:type="spellStart"/>
      <w:r w:rsidRPr="00771E6E">
        <w:rPr>
          <w:rFonts w:eastAsia="Times New Roman" w:cs="Times New Roman"/>
          <w:color w:val="000000" w:themeColor="text1"/>
        </w:rPr>
        <w:t>Robbias</w:t>
      </w:r>
      <w:proofErr w:type="spellEnd"/>
      <w:r w:rsidRPr="00771E6E">
        <w:rPr>
          <w:rFonts w:eastAsia="Times New Roman" w:cs="Times New Roman"/>
          <w:color w:val="000000" w:themeColor="text1"/>
        </w:rPr>
        <w:t xml:space="preserve">’ workshop for domestic settings could include musical angels, as demonstrated by surviving Nativity and Adoration scenes which include reference to the </w:t>
      </w:r>
      <w:r w:rsidRPr="00771E6E">
        <w:rPr>
          <w:rFonts w:eastAsia="Times New Roman" w:cs="Times New Roman"/>
          <w:i/>
          <w:color w:val="000000" w:themeColor="text1"/>
        </w:rPr>
        <w:t>Gloria</w:t>
      </w:r>
      <w:r w:rsidRPr="00771E6E">
        <w:rPr>
          <w:rFonts w:eastAsia="Times New Roman" w:cs="Times New Roman"/>
          <w:color w:val="000000" w:themeColor="text1"/>
        </w:rPr>
        <w:t xml:space="preserve"> chant, such as the </w:t>
      </w:r>
      <w:r w:rsidRPr="00771E6E">
        <w:rPr>
          <w:rFonts w:eastAsia="Times New Roman" w:cs="Times New Roman"/>
          <w:i/>
          <w:color w:val="000000" w:themeColor="text1"/>
        </w:rPr>
        <w:t>tondo</w:t>
      </w:r>
      <w:r w:rsidRPr="00771E6E">
        <w:rPr>
          <w:rFonts w:eastAsia="Times New Roman" w:cs="Times New Roman"/>
          <w:color w:val="000000" w:themeColor="text1"/>
        </w:rPr>
        <w:t xml:space="preserve"> known as the </w:t>
      </w:r>
      <w:proofErr w:type="spellStart"/>
      <w:r w:rsidRPr="00771E6E">
        <w:rPr>
          <w:rFonts w:eastAsia="Times New Roman" w:cs="Times New Roman"/>
          <w:i/>
          <w:color w:val="000000" w:themeColor="text1"/>
        </w:rPr>
        <w:t>Foulc</w:t>
      </w:r>
      <w:proofErr w:type="spellEnd"/>
      <w:r w:rsidRPr="00771E6E">
        <w:rPr>
          <w:rFonts w:eastAsia="Times New Roman" w:cs="Times New Roman"/>
          <w:i/>
          <w:color w:val="000000" w:themeColor="text1"/>
        </w:rPr>
        <w:t xml:space="preserve"> Adoration </w:t>
      </w:r>
      <w:r w:rsidRPr="00771E6E">
        <w:rPr>
          <w:rFonts w:eastAsia="Times New Roman" w:cs="Times New Roman"/>
          <w:color w:val="000000" w:themeColor="text1"/>
        </w:rPr>
        <w:t xml:space="preserve">by Luca </w:t>
      </w:r>
      <w:proofErr w:type="spellStart"/>
      <w:r w:rsidRPr="00771E6E">
        <w:rPr>
          <w:rFonts w:eastAsia="Times New Roman" w:cs="Times New Roman"/>
          <w:color w:val="000000" w:themeColor="text1"/>
        </w:rPr>
        <w:t>della</w:t>
      </w:r>
      <w:proofErr w:type="spellEnd"/>
      <w:r w:rsidRPr="00771E6E">
        <w:rPr>
          <w:rFonts w:eastAsia="Times New Roman" w:cs="Times New Roman"/>
          <w:color w:val="000000" w:themeColor="text1"/>
        </w:rPr>
        <w:t xml:space="preserve"> Robbia discussed in Chapter 3.2.2 (fig. 3.49), although without precise documentation it is difficult to discern if these surviving objects were commissioned specifically for domestic settings. Although the Nativity in the Museum of Fine Arts, Boston (fig. 4.11)</w:t>
      </w:r>
      <w:r w:rsidRPr="00771E6E">
        <w:rPr>
          <w:rFonts w:eastAsia="Times New Roman" w:cs="Times New Roman"/>
          <w:i/>
          <w:color w:val="000000" w:themeColor="text1"/>
        </w:rPr>
        <w:t xml:space="preserve"> </w:t>
      </w:r>
      <w:r w:rsidRPr="00771E6E">
        <w:rPr>
          <w:rFonts w:eastAsia="Times New Roman" w:cs="Times New Roman"/>
          <w:color w:val="000000" w:themeColor="text1"/>
        </w:rPr>
        <w:t>is probably more likely to have been intended as an altarpiece for a private chapel, mainly due to its size (ca. 89 by 74c</w:t>
      </w:r>
      <w:r w:rsidR="00510563" w:rsidRPr="00771E6E">
        <w:rPr>
          <w:rFonts w:eastAsia="Times New Roman" w:cs="Times New Roman"/>
          <w:color w:val="000000" w:themeColor="text1"/>
        </w:rPr>
        <w:t>m</w:t>
      </w:r>
      <w:r w:rsidRPr="00771E6E">
        <w:rPr>
          <w:rFonts w:eastAsia="Times New Roman" w:cs="Times New Roman"/>
          <w:color w:val="000000" w:themeColor="text1"/>
        </w:rPr>
        <w:t>),</w:t>
      </w:r>
      <w:r w:rsidRPr="00771E6E">
        <w:rPr>
          <w:rStyle w:val="FootnoteReference"/>
        </w:rPr>
        <w:footnoteReference w:id="746"/>
      </w:r>
      <w:r w:rsidRPr="00771E6E">
        <w:rPr>
          <w:rStyle w:val="CommentReference"/>
        </w:rPr>
        <w:t xml:space="preserve"> </w:t>
      </w:r>
      <w:r w:rsidRPr="00771E6E">
        <w:rPr>
          <w:rFonts w:eastAsia="Times New Roman" w:cs="Times New Roman"/>
          <w:color w:val="000000" w:themeColor="text1"/>
        </w:rPr>
        <w:t xml:space="preserve"> similar objects could have also been produced in a range of sizes to be displayed in domestic interiors.</w:t>
      </w:r>
    </w:p>
    <w:p w14:paraId="6136B74D" w14:textId="45F601DA" w:rsidR="00310CB2" w:rsidRPr="00771E6E" w:rsidRDefault="00310CB2" w:rsidP="00310CB2">
      <w:pPr>
        <w:ind w:firstLine="720"/>
        <w:contextualSpacing/>
        <w:rPr>
          <w:rFonts w:eastAsia="Times New Roman" w:cs="Times New Roman"/>
          <w:color w:val="000000" w:themeColor="text1"/>
        </w:rPr>
      </w:pPr>
      <w:r w:rsidRPr="00771E6E">
        <w:rPr>
          <w:rFonts w:eastAsia="Times New Roman" w:cs="Times New Roman"/>
          <w:color w:val="000000" w:themeColor="text1"/>
        </w:rPr>
        <w:t xml:space="preserve">Aside from these, another Della Robbia composition with the </w:t>
      </w:r>
      <w:r w:rsidRPr="00771E6E">
        <w:rPr>
          <w:rFonts w:eastAsia="Times New Roman" w:cs="Times New Roman"/>
          <w:i/>
          <w:color w:val="000000" w:themeColor="text1"/>
        </w:rPr>
        <w:t>Virgin of the Humility</w:t>
      </w:r>
      <w:r w:rsidRPr="00771E6E">
        <w:rPr>
          <w:rFonts w:eastAsia="Times New Roman" w:cs="Times New Roman"/>
          <w:color w:val="000000" w:themeColor="text1"/>
        </w:rPr>
        <w:t xml:space="preserve"> (fig. 4.12), of which at least two versions survive, shows the Infant Christ slipping from his mother’s lap to grasp a branch of lilies. As discussed in Chapter 3.2.1, these flowers would have reminded the viewer of the hymns sung regularly at Matins or Vespers during Marian festivities. If the smaller size of these (ca. 48 by 38</w:t>
      </w:r>
      <w:r w:rsidR="00510563" w:rsidRPr="00771E6E">
        <w:rPr>
          <w:rFonts w:eastAsia="Times New Roman" w:cs="Times New Roman"/>
          <w:color w:val="000000" w:themeColor="text1"/>
        </w:rPr>
        <w:t>cm</w:t>
      </w:r>
      <w:r w:rsidRPr="00771E6E">
        <w:rPr>
          <w:rFonts w:eastAsia="Times New Roman" w:cs="Times New Roman"/>
          <w:color w:val="000000" w:themeColor="text1"/>
        </w:rPr>
        <w:t xml:space="preserve">) can be interpreted as an indication of their inclusion among domestic possessions, these </w:t>
      </w:r>
      <w:r w:rsidRPr="00771E6E">
        <w:rPr>
          <w:rFonts w:eastAsia="Times New Roman" w:cs="Times New Roman"/>
          <w:color w:val="000000" w:themeColor="text1"/>
        </w:rPr>
        <w:lastRenderedPageBreak/>
        <w:t>depictions, although not including explicitly musical angels, would have reminded their owners of this musical association.</w:t>
      </w:r>
    </w:p>
    <w:p w14:paraId="0B22F0CC"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Nonetheless, terracotta was not the only medium that allowed for mass reproduction. Objects made of stucco, as well as bronze, were equally able to be produced in series.</w:t>
      </w:r>
      <w:r w:rsidRPr="00771E6E">
        <w:rPr>
          <w:rStyle w:val="FootnoteReference"/>
        </w:rPr>
        <w:footnoteReference w:id="747"/>
      </w:r>
      <w:r w:rsidRPr="00771E6E">
        <w:rPr>
          <w:rFonts w:eastAsia="Times New Roman" w:cs="Times New Roman"/>
        </w:rPr>
        <w:t xml:space="preserve"> Painted stucco reliefs created from </w:t>
      </w:r>
      <w:proofErr w:type="spellStart"/>
      <w:r w:rsidRPr="00771E6E">
        <w:rPr>
          <w:rFonts w:eastAsia="Times New Roman" w:cs="Times New Roman"/>
        </w:rPr>
        <w:t>moulds</w:t>
      </w:r>
      <w:proofErr w:type="spellEnd"/>
      <w:r w:rsidRPr="00771E6E">
        <w:rPr>
          <w:rFonts w:eastAsia="Times New Roman" w:cs="Times New Roman"/>
        </w:rPr>
        <w:t xml:space="preserve">, such as the devotional </w:t>
      </w:r>
      <w:proofErr w:type="spellStart"/>
      <w:r w:rsidRPr="00771E6E">
        <w:rPr>
          <w:rFonts w:eastAsia="Times New Roman" w:cs="Times New Roman"/>
          <w:i/>
        </w:rPr>
        <w:t>colmi</w:t>
      </w:r>
      <w:proofErr w:type="spellEnd"/>
      <w:r w:rsidRPr="00771E6E">
        <w:rPr>
          <w:rFonts w:eastAsia="Times New Roman" w:cs="Times New Roman"/>
        </w:rPr>
        <w:t xml:space="preserve"> produced by </w:t>
      </w:r>
      <w:proofErr w:type="spellStart"/>
      <w:r w:rsidRPr="00771E6E">
        <w:rPr>
          <w:rFonts w:eastAsia="Times New Roman" w:cs="Times New Roman"/>
        </w:rPr>
        <w:t>Neri</w:t>
      </w:r>
      <w:proofErr w:type="spellEnd"/>
      <w:r w:rsidRPr="00771E6E">
        <w:rPr>
          <w:rFonts w:eastAsia="Times New Roman" w:cs="Times New Roman"/>
        </w:rPr>
        <w:t xml:space="preserve"> di </w:t>
      </w:r>
      <w:proofErr w:type="spellStart"/>
      <w:r w:rsidRPr="00771E6E">
        <w:rPr>
          <w:rFonts w:eastAsia="Times New Roman" w:cs="Times New Roman"/>
        </w:rPr>
        <w:t>Bicci</w:t>
      </w:r>
      <w:proofErr w:type="spellEnd"/>
      <w:r w:rsidRPr="00771E6E">
        <w:rPr>
          <w:rFonts w:eastAsia="Times New Roman" w:cs="Times New Roman"/>
        </w:rPr>
        <w:t>, must have been quite popular, considering that in the Florentine fiscal accounts of 1480 he is among the richest painters in town, closely followed by his former pupil Giusto di Andrea Manzini.</w:t>
      </w:r>
      <w:r w:rsidRPr="00771E6E">
        <w:rPr>
          <w:rStyle w:val="FootnoteReference"/>
        </w:rPr>
        <w:footnoteReference w:id="748"/>
      </w:r>
      <w:r w:rsidRPr="00771E6E">
        <w:rPr>
          <w:rFonts w:eastAsia="Times New Roman" w:cs="Times New Roman"/>
        </w:rPr>
        <w:t xml:space="preserve"> Stucco reliefs could again include angelic figures, as confirmed by Bernardo </w:t>
      </w:r>
      <w:proofErr w:type="spellStart"/>
      <w:r w:rsidRPr="00771E6E">
        <w:rPr>
          <w:rFonts w:eastAsia="Times New Roman" w:cs="Times New Roman"/>
        </w:rPr>
        <w:t>Rosselli’s</w:t>
      </w:r>
      <w:proofErr w:type="spellEnd"/>
      <w:r w:rsidRPr="00771E6E">
        <w:rPr>
          <w:rFonts w:eastAsia="Times New Roman" w:cs="Times New Roman"/>
        </w:rPr>
        <w:t xml:space="preserve"> purchase of a number of </w:t>
      </w:r>
      <w:proofErr w:type="spellStart"/>
      <w:r w:rsidRPr="00771E6E">
        <w:rPr>
          <w:rFonts w:eastAsia="Times New Roman" w:cs="Times New Roman"/>
        </w:rPr>
        <w:t>moulded</w:t>
      </w:r>
      <w:proofErr w:type="spellEnd"/>
      <w:r w:rsidRPr="00771E6E">
        <w:rPr>
          <w:rFonts w:eastAsia="Times New Roman" w:cs="Times New Roman"/>
        </w:rPr>
        <w:t xml:space="preserve"> “</w:t>
      </w:r>
      <w:proofErr w:type="spellStart"/>
      <w:r w:rsidRPr="00771E6E">
        <w:rPr>
          <w:rFonts w:eastAsia="Times New Roman" w:cs="Times New Roman"/>
        </w:rPr>
        <w:t>Vegine</w:t>
      </w:r>
      <w:proofErr w:type="spellEnd"/>
      <w:r w:rsidRPr="00771E6E">
        <w:rPr>
          <w:rFonts w:eastAsia="Times New Roman" w:cs="Times New Roman"/>
        </w:rPr>
        <w:t xml:space="preserve"> [sic] Marie </w:t>
      </w:r>
      <w:proofErr w:type="spellStart"/>
      <w:r w:rsidRPr="00771E6E">
        <w:rPr>
          <w:rFonts w:eastAsia="Times New Roman" w:cs="Times New Roman"/>
        </w:rPr>
        <w:t>cho</w:t>
      </w:r>
      <w:proofErr w:type="spellEnd"/>
      <w:r w:rsidRPr="00771E6E">
        <w:rPr>
          <w:rFonts w:eastAsia="Times New Roman" w:cs="Times New Roman"/>
        </w:rPr>
        <w:t xml:space="preserve">’ </w:t>
      </w:r>
      <w:proofErr w:type="spellStart"/>
      <w:r w:rsidRPr="00771E6E">
        <w:rPr>
          <w:rFonts w:eastAsia="Times New Roman" w:cs="Times New Roman"/>
        </w:rPr>
        <w:t>cherubino</w:t>
      </w:r>
      <w:proofErr w:type="spellEnd"/>
      <w:r w:rsidRPr="00771E6E">
        <w:rPr>
          <w:rFonts w:eastAsia="Times New Roman" w:cs="Times New Roman"/>
        </w:rPr>
        <w:t xml:space="preserve">” (Virgin </w:t>
      </w:r>
      <w:proofErr w:type="spellStart"/>
      <w:r w:rsidRPr="00771E6E">
        <w:rPr>
          <w:rFonts w:eastAsia="Times New Roman" w:cs="Times New Roman"/>
        </w:rPr>
        <w:t>Marys</w:t>
      </w:r>
      <w:proofErr w:type="spellEnd"/>
      <w:r w:rsidRPr="00771E6E">
        <w:rPr>
          <w:rFonts w:eastAsia="Times New Roman" w:cs="Times New Roman"/>
        </w:rPr>
        <w:t xml:space="preserve"> with an angel) ready to be painted, bought from an artisan in </w:t>
      </w:r>
      <w:proofErr w:type="spellStart"/>
      <w:r w:rsidRPr="00771E6E">
        <w:rPr>
          <w:rFonts w:eastAsia="Times New Roman" w:cs="Times New Roman"/>
        </w:rPr>
        <w:t>Empoli</w:t>
      </w:r>
      <w:proofErr w:type="spellEnd"/>
      <w:r w:rsidRPr="00771E6E">
        <w:rPr>
          <w:rFonts w:eastAsia="Times New Roman" w:cs="Times New Roman"/>
        </w:rPr>
        <w:t>.</w:t>
      </w:r>
      <w:r w:rsidRPr="00771E6E">
        <w:rPr>
          <w:rStyle w:val="FootnoteReference"/>
        </w:rPr>
        <w:footnoteReference w:id="749"/>
      </w:r>
      <w:r w:rsidRPr="00771E6E">
        <w:rPr>
          <w:rFonts w:eastAsia="Times New Roman" w:cs="Times New Roman"/>
        </w:rPr>
        <w:t xml:space="preserve"> An image of this kind produced by an anonymous artist in a Florentine workshop is now kept in the Victoria and Albert Museum in London (fig. 4.13). This oval stucco relief with the </w:t>
      </w:r>
      <w:r w:rsidRPr="00771E6E">
        <w:rPr>
          <w:rFonts w:eastAsia="Times New Roman" w:cs="Times New Roman"/>
          <w:i/>
        </w:rPr>
        <w:t xml:space="preserve">Virgin and Child with Saints and Angels </w:t>
      </w:r>
      <w:r w:rsidRPr="00771E6E">
        <w:rPr>
          <w:rFonts w:eastAsia="Times New Roman" w:cs="Times New Roman"/>
        </w:rPr>
        <w:t>might have been copied from an original model by Donatello. Here, the Virgin is sitting on a throne with the Child on her lap, flanked by Saint Bartholomew and Saint Sigismund, while two angels are sitting on the step of the throne, playing a viol and a lute.</w:t>
      </w:r>
      <w:r w:rsidRPr="00771E6E">
        <w:rPr>
          <w:rStyle w:val="FootnoteReference"/>
        </w:rPr>
        <w:footnoteReference w:id="750"/>
      </w:r>
      <w:r w:rsidRPr="00771E6E">
        <w:rPr>
          <w:rStyle w:val="CommentReference"/>
        </w:rPr>
        <w:t xml:space="preserve"> </w:t>
      </w:r>
      <w:r w:rsidRPr="00771E6E">
        <w:rPr>
          <w:rFonts w:eastAsia="Times New Roman" w:cs="Times New Roman"/>
        </w:rPr>
        <w:t xml:space="preserve"> This composition was clearly very popular, as this is virtually identical to an oval marble relief, also kept in the Victoria and Albert Museum (fig. 4.14), although in this case the four figures surrounding the Virgin and Child are all angels.</w:t>
      </w:r>
      <w:r w:rsidRPr="00771E6E">
        <w:rPr>
          <w:rStyle w:val="FootnoteReference"/>
        </w:rPr>
        <w:footnoteReference w:id="751"/>
      </w:r>
    </w:p>
    <w:p w14:paraId="1A969112" w14:textId="29D74661" w:rsidR="002844C2" w:rsidRPr="00771E6E" w:rsidRDefault="00310CB2" w:rsidP="002844C2">
      <w:pPr>
        <w:ind w:firstLine="720"/>
        <w:contextualSpacing/>
        <w:rPr>
          <w:rFonts w:eastAsia="Times New Roman" w:cs="Times New Roman"/>
          <w:color w:val="000000" w:themeColor="text1"/>
        </w:rPr>
      </w:pPr>
      <w:r w:rsidRPr="00771E6E">
        <w:rPr>
          <w:rFonts w:eastAsia="Times New Roman" w:cs="Times New Roman"/>
        </w:rPr>
        <w:t xml:space="preserve">A Veronese plaquette from around 1490, attributed to </w:t>
      </w:r>
      <w:proofErr w:type="spellStart"/>
      <w:r w:rsidRPr="00771E6E">
        <w:rPr>
          <w:rFonts w:eastAsia="Times New Roman" w:cs="Times New Roman"/>
        </w:rPr>
        <w:t>Galeazzo</w:t>
      </w:r>
      <w:proofErr w:type="spellEnd"/>
      <w:r w:rsidRPr="00771E6E">
        <w:rPr>
          <w:rFonts w:eastAsia="Times New Roman" w:cs="Times New Roman"/>
        </w:rPr>
        <w:t xml:space="preserve"> </w:t>
      </w:r>
      <w:proofErr w:type="spellStart"/>
      <w:r w:rsidRPr="00771E6E">
        <w:rPr>
          <w:rFonts w:eastAsia="Times New Roman" w:cs="Times New Roman"/>
        </w:rPr>
        <w:t>Mondella</w:t>
      </w:r>
      <w:proofErr w:type="spellEnd"/>
      <w:r w:rsidRPr="00771E6E">
        <w:rPr>
          <w:rFonts w:eastAsia="Times New Roman" w:cs="Times New Roman"/>
        </w:rPr>
        <w:t xml:space="preserve"> known as </w:t>
      </w:r>
      <w:proofErr w:type="spellStart"/>
      <w:r w:rsidRPr="00771E6E">
        <w:rPr>
          <w:rFonts w:eastAsia="Times New Roman" w:cs="Times New Roman"/>
        </w:rPr>
        <w:t>Moderno</w:t>
      </w:r>
      <w:proofErr w:type="spellEnd"/>
      <w:r w:rsidRPr="00771E6E">
        <w:rPr>
          <w:rFonts w:eastAsia="Times New Roman" w:cs="Times New Roman"/>
        </w:rPr>
        <w:t xml:space="preserve">, with the </w:t>
      </w:r>
      <w:r w:rsidRPr="00771E6E">
        <w:rPr>
          <w:rFonts w:eastAsia="Times New Roman" w:cs="Times New Roman"/>
          <w:i/>
        </w:rPr>
        <w:t>Virgin and Child in a Niche, between Saint Jerome and Saint Anthony</w:t>
      </w:r>
      <w:r w:rsidRPr="00771E6E">
        <w:rPr>
          <w:rFonts w:eastAsia="Times New Roman" w:cs="Times New Roman"/>
        </w:rPr>
        <w:t xml:space="preserve"> is constructed as a miniature altarpiece and includes two winged childlike angels sitting and playing lutes on its base (fig. 4.15). There are several other versions of this work known to survive, all with minimal variation, two of which are now kept in the National Gallery of Art, Washington D.C. At only approximately 11 </w:t>
      </w:r>
      <w:proofErr w:type="spellStart"/>
      <w:r w:rsidRPr="00771E6E">
        <w:rPr>
          <w:rFonts w:eastAsia="Times New Roman" w:cs="Times New Roman"/>
        </w:rPr>
        <w:t>centimetres</w:t>
      </w:r>
      <w:proofErr w:type="spellEnd"/>
      <w:r w:rsidRPr="00771E6E">
        <w:rPr>
          <w:rFonts w:eastAsia="Times New Roman" w:cs="Times New Roman"/>
        </w:rPr>
        <w:t xml:space="preserve"> in height, these objects would have been extremely portable. They are considered to be collectibles for study rooms, and would likely have been mounted on pieces of furniture, or even used </w:t>
      </w:r>
      <w:r w:rsidRPr="00771E6E">
        <w:rPr>
          <w:rFonts w:eastAsia="Times New Roman" w:cs="Times New Roman"/>
        </w:rPr>
        <w:lastRenderedPageBreak/>
        <w:t xml:space="preserve">to adorn </w:t>
      </w:r>
      <w:r w:rsidRPr="00771E6E">
        <w:rPr>
          <w:rFonts w:eastAsia="Times New Roman" w:cs="Times New Roman"/>
          <w:color w:val="000000" w:themeColor="text1"/>
        </w:rPr>
        <w:t>clothing. Furthermore, it has also been suggested that they could have been freestanding, since they are often equipped with handles. As such, these works could have fulfilled both an ornamental and a more practical devotional function.</w:t>
      </w:r>
      <w:r w:rsidRPr="00771E6E">
        <w:rPr>
          <w:rStyle w:val="FootnoteReference"/>
        </w:rPr>
        <w:footnoteReference w:id="752"/>
      </w:r>
      <w:r w:rsidRPr="00771E6E">
        <w:rPr>
          <w:rFonts w:eastAsia="Times New Roman" w:cs="Times New Roman"/>
          <w:color w:val="000000" w:themeColor="text1"/>
        </w:rPr>
        <w:t xml:space="preserve"> New technologies such as these allowed for the reproduction of works by great masters in different workshops, sometimes using different material and different scales. </w:t>
      </w:r>
    </w:p>
    <w:p w14:paraId="01E853F3" w14:textId="6337571E" w:rsidR="002A07D3" w:rsidRPr="00771E6E" w:rsidRDefault="002844C2" w:rsidP="00D01B2F">
      <w:pPr>
        <w:ind w:firstLine="720"/>
        <w:contextualSpacing/>
        <w:rPr>
          <w:rFonts w:eastAsia="Times New Roman" w:cs="Times New Roman"/>
          <w:color w:val="000000" w:themeColor="text1"/>
        </w:rPr>
      </w:pPr>
      <w:r w:rsidRPr="00771E6E">
        <w:rPr>
          <w:rFonts w:eastAsia="Times New Roman" w:cs="Times New Roman"/>
          <w:color w:val="000000" w:themeColor="text1"/>
        </w:rPr>
        <w:t>P</w:t>
      </w:r>
      <w:r w:rsidR="00CE394F" w:rsidRPr="00771E6E">
        <w:rPr>
          <w:rFonts w:eastAsia="Times New Roman" w:cs="Times New Roman"/>
          <w:color w:val="000000" w:themeColor="text1"/>
        </w:rPr>
        <w:t xml:space="preserve">rint also </w:t>
      </w:r>
      <w:r w:rsidRPr="00771E6E">
        <w:rPr>
          <w:rFonts w:eastAsia="Times New Roman" w:cs="Times New Roman"/>
          <w:color w:val="000000" w:themeColor="text1"/>
        </w:rPr>
        <w:t xml:space="preserve">had </w:t>
      </w:r>
      <w:r w:rsidR="00CE394F" w:rsidRPr="00771E6E">
        <w:rPr>
          <w:rFonts w:eastAsia="Times New Roman" w:cs="Times New Roman"/>
          <w:color w:val="000000" w:themeColor="text1"/>
        </w:rPr>
        <w:t xml:space="preserve">great importance </w:t>
      </w:r>
      <w:r w:rsidR="007A361D" w:rsidRPr="00771E6E">
        <w:rPr>
          <w:rFonts w:eastAsia="Times New Roman" w:cs="Times New Roman"/>
          <w:color w:val="000000" w:themeColor="text1"/>
        </w:rPr>
        <w:t xml:space="preserve">in the </w:t>
      </w:r>
      <w:proofErr w:type="spellStart"/>
      <w:r w:rsidR="00CE394F" w:rsidRPr="00771E6E">
        <w:rPr>
          <w:rFonts w:eastAsia="Times New Roman" w:cs="Times New Roman"/>
          <w:color w:val="000000" w:themeColor="text1"/>
        </w:rPr>
        <w:t>the</w:t>
      </w:r>
      <w:proofErr w:type="spellEnd"/>
      <w:r w:rsidR="00CE394F" w:rsidRPr="00771E6E">
        <w:rPr>
          <w:rFonts w:eastAsia="Times New Roman" w:cs="Times New Roman"/>
          <w:color w:val="000000" w:themeColor="text1"/>
        </w:rPr>
        <w:t xml:space="preserve"> everyday li</w:t>
      </w:r>
      <w:r w:rsidR="007A361D" w:rsidRPr="00771E6E">
        <w:rPr>
          <w:rFonts w:eastAsia="Times New Roman" w:cs="Times New Roman"/>
          <w:color w:val="000000" w:themeColor="text1"/>
        </w:rPr>
        <w:t>ves</w:t>
      </w:r>
      <w:r w:rsidR="00CE394F" w:rsidRPr="00771E6E">
        <w:rPr>
          <w:rFonts w:eastAsia="Times New Roman" w:cs="Times New Roman"/>
          <w:color w:val="000000" w:themeColor="text1"/>
        </w:rPr>
        <w:t xml:space="preserve"> of Fifteenth-century </w:t>
      </w:r>
      <w:r w:rsidR="00317D72" w:rsidRPr="00771E6E">
        <w:rPr>
          <w:rFonts w:eastAsia="Times New Roman" w:cs="Times New Roman"/>
          <w:color w:val="000000" w:themeColor="text1"/>
        </w:rPr>
        <w:t>people</w:t>
      </w:r>
      <w:r w:rsidR="00CE394F" w:rsidRPr="00771E6E">
        <w:rPr>
          <w:rFonts w:eastAsia="Times New Roman" w:cs="Times New Roman"/>
          <w:color w:val="000000" w:themeColor="text1"/>
        </w:rPr>
        <w:t xml:space="preserve">, across </w:t>
      </w:r>
      <w:r w:rsidR="007A361D" w:rsidRPr="00771E6E">
        <w:rPr>
          <w:rFonts w:eastAsia="Times New Roman" w:cs="Times New Roman"/>
          <w:color w:val="000000" w:themeColor="text1"/>
        </w:rPr>
        <w:t xml:space="preserve">a range of </w:t>
      </w:r>
      <w:r w:rsidR="00CE394F" w:rsidRPr="00771E6E">
        <w:rPr>
          <w:rFonts w:eastAsia="Times New Roman" w:cs="Times New Roman"/>
          <w:color w:val="000000" w:themeColor="text1"/>
        </w:rPr>
        <w:t xml:space="preserve">different social classes. Early woodcut prints would have been produced in </w:t>
      </w:r>
      <w:r w:rsidR="00317D72" w:rsidRPr="00771E6E">
        <w:rPr>
          <w:rFonts w:eastAsia="Times New Roman" w:cs="Times New Roman"/>
          <w:color w:val="000000" w:themeColor="text1"/>
        </w:rPr>
        <w:t>large quantities</w:t>
      </w:r>
      <w:r w:rsidR="007A361D" w:rsidRPr="00771E6E">
        <w:rPr>
          <w:rFonts w:eastAsia="Times New Roman" w:cs="Times New Roman"/>
          <w:color w:val="000000" w:themeColor="text1"/>
        </w:rPr>
        <w:t>,</w:t>
      </w:r>
      <w:r w:rsidR="00CE394F" w:rsidRPr="00771E6E">
        <w:rPr>
          <w:rFonts w:eastAsia="Times New Roman" w:cs="Times New Roman"/>
          <w:color w:val="000000" w:themeColor="text1"/>
        </w:rPr>
        <w:t xml:space="preserve"> not only for domestic use, but also for use in public religious events such as processions, </w:t>
      </w:r>
      <w:r w:rsidRPr="00771E6E">
        <w:rPr>
          <w:rFonts w:eastAsia="Times New Roman" w:cs="Times New Roman"/>
          <w:color w:val="000000" w:themeColor="text1"/>
        </w:rPr>
        <w:t>p</w:t>
      </w:r>
      <w:r w:rsidR="00CE394F" w:rsidRPr="00771E6E">
        <w:rPr>
          <w:rFonts w:eastAsia="Times New Roman" w:cs="Times New Roman"/>
          <w:color w:val="000000" w:themeColor="text1"/>
        </w:rPr>
        <w:t>erhaps commissioned by religious confraternities.</w:t>
      </w:r>
      <w:r w:rsidR="00CE394F" w:rsidRPr="00771E6E">
        <w:rPr>
          <w:rStyle w:val="FootnoteReference"/>
          <w:rFonts w:eastAsia="Times New Roman" w:cs="Times New Roman"/>
          <w:color w:val="000000" w:themeColor="text1"/>
        </w:rPr>
        <w:footnoteReference w:id="753"/>
      </w:r>
      <w:r w:rsidR="00CE394F" w:rsidRPr="00771E6E">
        <w:rPr>
          <w:rFonts w:eastAsia="Times New Roman" w:cs="Times New Roman"/>
          <w:color w:val="000000" w:themeColor="text1"/>
        </w:rPr>
        <w:t xml:space="preserve"> </w:t>
      </w:r>
      <w:r w:rsidR="00317D72" w:rsidRPr="00771E6E">
        <w:rPr>
          <w:rFonts w:eastAsia="Times New Roman" w:cs="Times New Roman"/>
          <w:color w:val="000000" w:themeColor="text1"/>
        </w:rPr>
        <w:t xml:space="preserve">Due to the physical nature of </w:t>
      </w:r>
      <w:r w:rsidR="007A361D" w:rsidRPr="00771E6E">
        <w:rPr>
          <w:rFonts w:eastAsia="Times New Roman" w:cs="Times New Roman"/>
          <w:color w:val="000000" w:themeColor="text1"/>
        </w:rPr>
        <w:t>the</w:t>
      </w:r>
      <w:r w:rsidR="00317D72" w:rsidRPr="00771E6E">
        <w:rPr>
          <w:rFonts w:eastAsia="Times New Roman" w:cs="Times New Roman"/>
          <w:color w:val="000000" w:themeColor="text1"/>
        </w:rPr>
        <w:t xml:space="preserve"> material,</w:t>
      </w:r>
      <w:r w:rsidR="00347B3B" w:rsidRPr="00771E6E">
        <w:rPr>
          <w:rFonts w:eastAsia="Times New Roman" w:cs="Times New Roman"/>
          <w:color w:val="000000" w:themeColor="text1"/>
        </w:rPr>
        <w:t xml:space="preserve"> prints rarely survive. </w:t>
      </w:r>
      <w:r w:rsidR="007A361D" w:rsidRPr="00771E6E">
        <w:rPr>
          <w:rFonts w:eastAsia="Times New Roman" w:cs="Times New Roman"/>
          <w:color w:val="000000" w:themeColor="text1"/>
        </w:rPr>
        <w:t xml:space="preserve">Where they have, it </w:t>
      </w:r>
      <w:r w:rsidR="00347B3B" w:rsidRPr="00771E6E">
        <w:rPr>
          <w:rFonts w:eastAsia="Times New Roman" w:cs="Times New Roman"/>
          <w:color w:val="000000" w:themeColor="text1"/>
        </w:rPr>
        <w:t xml:space="preserve">is mainly </w:t>
      </w:r>
      <w:r w:rsidR="007A361D" w:rsidRPr="00771E6E">
        <w:rPr>
          <w:rFonts w:eastAsia="Times New Roman" w:cs="Times New Roman"/>
          <w:color w:val="000000" w:themeColor="text1"/>
        </w:rPr>
        <w:t>due</w:t>
      </w:r>
      <w:r w:rsidR="00347B3B" w:rsidRPr="00771E6E">
        <w:rPr>
          <w:rFonts w:eastAsia="Times New Roman" w:cs="Times New Roman"/>
          <w:color w:val="000000" w:themeColor="text1"/>
        </w:rPr>
        <w:t xml:space="preserve"> to the practice of attaching them to a hard, wooden support, for easy use in private devotion.</w:t>
      </w:r>
      <w:r w:rsidR="00347B3B" w:rsidRPr="00771E6E">
        <w:rPr>
          <w:rStyle w:val="FootnoteReference"/>
          <w:rFonts w:eastAsia="Times New Roman" w:cs="Times New Roman"/>
          <w:color w:val="000000" w:themeColor="text1"/>
        </w:rPr>
        <w:footnoteReference w:id="754"/>
      </w:r>
      <w:r w:rsidR="00D01B2F" w:rsidRPr="00771E6E">
        <w:rPr>
          <w:rFonts w:eastAsia="Times New Roman" w:cs="Times New Roman"/>
          <w:color w:val="000000" w:themeColor="text1"/>
        </w:rPr>
        <w:t xml:space="preserve"> </w:t>
      </w:r>
      <w:r w:rsidR="00317D72" w:rsidRPr="00771E6E">
        <w:rPr>
          <w:rFonts w:eastAsia="Times New Roman" w:cs="Times New Roman"/>
          <w:color w:val="000000" w:themeColor="text1"/>
        </w:rPr>
        <w:t xml:space="preserve">As it was relatively inexpensive, this form of devotional art could </w:t>
      </w:r>
      <w:r w:rsidR="00854AEA" w:rsidRPr="00771E6E">
        <w:rPr>
          <w:rFonts w:eastAsia="Times New Roman" w:cs="Times New Roman"/>
          <w:color w:val="000000" w:themeColor="text1"/>
        </w:rPr>
        <w:t>reach</w:t>
      </w:r>
      <w:r w:rsidR="00317D72" w:rsidRPr="00771E6E">
        <w:rPr>
          <w:rFonts w:eastAsia="Times New Roman" w:cs="Times New Roman"/>
          <w:color w:val="000000" w:themeColor="text1"/>
        </w:rPr>
        <w:t xml:space="preserve"> a</w:t>
      </w:r>
      <w:r w:rsidR="00077B34" w:rsidRPr="00771E6E">
        <w:rPr>
          <w:rFonts w:eastAsia="Times New Roman" w:cs="Times New Roman"/>
          <w:color w:val="000000" w:themeColor="text1"/>
        </w:rPr>
        <w:t xml:space="preserve"> much</w:t>
      </w:r>
      <w:r w:rsidR="00317D72" w:rsidRPr="00771E6E">
        <w:rPr>
          <w:rFonts w:eastAsia="Times New Roman" w:cs="Times New Roman"/>
          <w:color w:val="000000" w:themeColor="text1"/>
        </w:rPr>
        <w:t xml:space="preserve"> larger pool of people </w:t>
      </w:r>
      <w:r w:rsidR="00F56742" w:rsidRPr="00771E6E">
        <w:rPr>
          <w:rFonts w:eastAsia="Times New Roman" w:cs="Times New Roman"/>
          <w:color w:val="000000" w:themeColor="text1"/>
        </w:rPr>
        <w:t xml:space="preserve">than </w:t>
      </w:r>
      <w:r w:rsidR="00077B34" w:rsidRPr="00771E6E">
        <w:rPr>
          <w:rFonts w:eastAsia="Times New Roman" w:cs="Times New Roman"/>
          <w:color w:val="000000" w:themeColor="text1"/>
        </w:rPr>
        <w:t xml:space="preserve">was possible </w:t>
      </w:r>
      <w:r w:rsidR="00F56742" w:rsidRPr="00771E6E">
        <w:rPr>
          <w:rFonts w:eastAsia="Times New Roman" w:cs="Times New Roman"/>
          <w:color w:val="000000" w:themeColor="text1"/>
        </w:rPr>
        <w:t xml:space="preserve">solely by </w:t>
      </w:r>
      <w:r w:rsidR="00077B34" w:rsidRPr="00771E6E">
        <w:rPr>
          <w:rFonts w:eastAsia="Times New Roman" w:cs="Times New Roman"/>
          <w:color w:val="000000" w:themeColor="text1"/>
        </w:rPr>
        <w:t xml:space="preserve">using large paintings, which would usually have been accessible primarily to </w:t>
      </w:r>
      <w:r w:rsidR="00F56742" w:rsidRPr="00771E6E">
        <w:rPr>
          <w:rFonts w:eastAsia="Times New Roman" w:cs="Times New Roman"/>
          <w:color w:val="000000" w:themeColor="text1"/>
        </w:rPr>
        <w:t xml:space="preserve">the most affluent </w:t>
      </w:r>
      <w:r w:rsidR="007C76AB" w:rsidRPr="00771E6E">
        <w:rPr>
          <w:rFonts w:eastAsia="Times New Roman" w:cs="Times New Roman"/>
          <w:color w:val="000000" w:themeColor="text1"/>
        </w:rPr>
        <w:t>ranks of the society</w:t>
      </w:r>
      <w:r w:rsidR="00854AEA" w:rsidRPr="00771E6E">
        <w:rPr>
          <w:rFonts w:eastAsia="Times New Roman" w:cs="Times New Roman"/>
          <w:color w:val="000000" w:themeColor="text1"/>
        </w:rPr>
        <w:t>.</w:t>
      </w:r>
      <w:r w:rsidR="00854AEA" w:rsidRPr="00771E6E">
        <w:rPr>
          <w:rStyle w:val="FootnoteReference"/>
          <w:rFonts w:eastAsia="Times New Roman" w:cs="Times New Roman"/>
          <w:color w:val="000000" w:themeColor="text1"/>
        </w:rPr>
        <w:footnoteReference w:id="755"/>
      </w:r>
      <w:r w:rsidR="00317D72" w:rsidRPr="00771E6E">
        <w:rPr>
          <w:rFonts w:eastAsia="Times New Roman" w:cs="Times New Roman"/>
          <w:color w:val="000000" w:themeColor="text1"/>
        </w:rPr>
        <w:t xml:space="preserve"> </w:t>
      </w:r>
    </w:p>
    <w:p w14:paraId="48E94654" w14:textId="09E302E8" w:rsidR="00317D72" w:rsidRPr="00771E6E" w:rsidRDefault="00157396" w:rsidP="0034016B">
      <w:pPr>
        <w:ind w:firstLine="720"/>
        <w:contextualSpacing/>
        <w:rPr>
          <w:rFonts w:eastAsia="Times New Roman" w:cs="Times New Roman"/>
          <w:color w:val="000000" w:themeColor="text1"/>
        </w:rPr>
      </w:pPr>
      <w:r w:rsidRPr="00771E6E">
        <w:rPr>
          <w:rFonts w:eastAsia="Times New Roman" w:cs="Times New Roman"/>
          <w:color w:val="000000" w:themeColor="text1"/>
        </w:rPr>
        <w:t xml:space="preserve">Apart from single-sheet devotional prints, it is important to </w:t>
      </w:r>
      <w:r w:rsidR="00077B34" w:rsidRPr="00771E6E">
        <w:rPr>
          <w:rFonts w:eastAsia="Times New Roman" w:cs="Times New Roman"/>
          <w:color w:val="000000" w:themeColor="text1"/>
        </w:rPr>
        <w:t>note</w:t>
      </w:r>
      <w:r w:rsidRPr="00771E6E">
        <w:rPr>
          <w:rFonts w:eastAsia="Times New Roman" w:cs="Times New Roman"/>
          <w:color w:val="000000" w:themeColor="text1"/>
        </w:rPr>
        <w:t xml:space="preserve"> the impact</w:t>
      </w:r>
      <w:r w:rsidR="002844C2" w:rsidRPr="00771E6E">
        <w:rPr>
          <w:rFonts w:eastAsia="Times New Roman" w:cs="Times New Roman"/>
          <w:color w:val="000000" w:themeColor="text1"/>
        </w:rPr>
        <w:t xml:space="preserve"> that</w:t>
      </w:r>
      <w:r w:rsidRPr="00771E6E">
        <w:rPr>
          <w:rFonts w:eastAsia="Times New Roman" w:cs="Times New Roman"/>
          <w:color w:val="000000" w:themeColor="text1"/>
        </w:rPr>
        <w:t xml:space="preserve"> the </w:t>
      </w:r>
      <w:proofErr w:type="spellStart"/>
      <w:r w:rsidR="00077B34" w:rsidRPr="00771E6E">
        <w:rPr>
          <w:rFonts w:eastAsia="Times New Roman" w:cs="Times New Roman"/>
          <w:color w:val="000000" w:themeColor="text1"/>
        </w:rPr>
        <w:t>growning</w:t>
      </w:r>
      <w:proofErr w:type="spellEnd"/>
      <w:r w:rsidR="00077B34" w:rsidRPr="00771E6E">
        <w:rPr>
          <w:rFonts w:eastAsia="Times New Roman" w:cs="Times New Roman"/>
          <w:color w:val="000000" w:themeColor="text1"/>
        </w:rPr>
        <w:t xml:space="preserve"> availability of</w:t>
      </w:r>
      <w:r w:rsidRPr="00771E6E">
        <w:rPr>
          <w:rFonts w:eastAsia="Times New Roman" w:cs="Times New Roman"/>
          <w:color w:val="000000" w:themeColor="text1"/>
        </w:rPr>
        <w:t xml:space="preserve"> printed books </w:t>
      </w:r>
      <w:r w:rsidR="00077B34" w:rsidRPr="00771E6E">
        <w:rPr>
          <w:rFonts w:eastAsia="Times New Roman" w:cs="Times New Roman"/>
          <w:color w:val="000000" w:themeColor="text1"/>
        </w:rPr>
        <w:t xml:space="preserve">would have </w:t>
      </w:r>
      <w:r w:rsidRPr="00771E6E">
        <w:rPr>
          <w:rFonts w:eastAsia="Times New Roman" w:cs="Times New Roman"/>
          <w:color w:val="000000" w:themeColor="text1"/>
        </w:rPr>
        <w:t xml:space="preserve">had among the population, </w:t>
      </w:r>
      <w:r w:rsidR="00077B34" w:rsidRPr="00771E6E">
        <w:rPr>
          <w:rFonts w:eastAsia="Times New Roman" w:cs="Times New Roman"/>
          <w:color w:val="000000" w:themeColor="text1"/>
        </w:rPr>
        <w:t xml:space="preserve">which would have </w:t>
      </w:r>
      <w:r w:rsidRPr="00771E6E">
        <w:rPr>
          <w:rFonts w:eastAsia="Times New Roman" w:cs="Times New Roman"/>
          <w:color w:val="000000" w:themeColor="text1"/>
        </w:rPr>
        <w:t>significantly contribut</w:t>
      </w:r>
      <w:r w:rsidR="00077B34" w:rsidRPr="00771E6E">
        <w:rPr>
          <w:rFonts w:eastAsia="Times New Roman" w:cs="Times New Roman"/>
          <w:color w:val="000000" w:themeColor="text1"/>
        </w:rPr>
        <w:t>ed</w:t>
      </w:r>
      <w:r w:rsidRPr="00771E6E">
        <w:rPr>
          <w:rFonts w:eastAsia="Times New Roman" w:cs="Times New Roman"/>
          <w:color w:val="000000" w:themeColor="text1"/>
        </w:rPr>
        <w:t xml:space="preserve"> to the dissemination of</w:t>
      </w:r>
      <w:r w:rsidR="001F7676" w:rsidRPr="00771E6E">
        <w:rPr>
          <w:rFonts w:eastAsia="Times New Roman" w:cs="Times New Roman"/>
          <w:color w:val="000000" w:themeColor="text1"/>
        </w:rPr>
        <w:t xml:space="preserve"> </w:t>
      </w:r>
      <w:r w:rsidRPr="00771E6E">
        <w:rPr>
          <w:rFonts w:eastAsia="Times New Roman" w:cs="Times New Roman"/>
          <w:color w:val="000000" w:themeColor="text1"/>
        </w:rPr>
        <w:t xml:space="preserve">knowledge. </w:t>
      </w:r>
      <w:r w:rsidR="00DE6788" w:rsidRPr="00771E6E">
        <w:rPr>
          <w:rFonts w:eastAsia="Times New Roman" w:cs="Times New Roman"/>
          <w:color w:val="000000" w:themeColor="text1"/>
        </w:rPr>
        <w:t xml:space="preserve">The presence of printed books in private libraries </w:t>
      </w:r>
      <w:r w:rsidR="002844C2" w:rsidRPr="00771E6E">
        <w:rPr>
          <w:rFonts w:eastAsia="Times New Roman" w:cs="Times New Roman"/>
          <w:color w:val="000000" w:themeColor="text1"/>
        </w:rPr>
        <w:t xml:space="preserve">increased hugely </w:t>
      </w:r>
      <w:r w:rsidR="00DE6788" w:rsidRPr="00771E6E">
        <w:rPr>
          <w:rFonts w:eastAsia="Times New Roman" w:cs="Times New Roman"/>
          <w:color w:val="000000" w:themeColor="text1"/>
        </w:rPr>
        <w:t xml:space="preserve">between the 1480s and the 1490s, and </w:t>
      </w:r>
      <w:r w:rsidR="00077B34" w:rsidRPr="00771E6E">
        <w:rPr>
          <w:rFonts w:eastAsia="Times New Roman" w:cs="Times New Roman"/>
          <w:color w:val="000000" w:themeColor="text1"/>
        </w:rPr>
        <w:t xml:space="preserve">during the Sixteenth century </w:t>
      </w:r>
      <w:r w:rsidR="00DE6788" w:rsidRPr="00771E6E">
        <w:rPr>
          <w:rFonts w:eastAsia="Times New Roman" w:cs="Times New Roman"/>
          <w:color w:val="000000" w:themeColor="text1"/>
        </w:rPr>
        <w:t>over</w:t>
      </w:r>
      <w:r w:rsidR="00077B34" w:rsidRPr="00771E6E">
        <w:rPr>
          <w:rFonts w:eastAsia="Times New Roman" w:cs="Times New Roman"/>
          <w:color w:val="000000" w:themeColor="text1"/>
        </w:rPr>
        <w:t>took</w:t>
      </w:r>
      <w:r w:rsidR="00DE6788" w:rsidRPr="00771E6E">
        <w:rPr>
          <w:rFonts w:eastAsia="Times New Roman" w:cs="Times New Roman"/>
          <w:color w:val="000000" w:themeColor="text1"/>
        </w:rPr>
        <w:t xml:space="preserve"> manuscript texts </w:t>
      </w:r>
      <w:r w:rsidR="00077B34" w:rsidRPr="00771E6E">
        <w:rPr>
          <w:rFonts w:eastAsia="Times New Roman" w:cs="Times New Roman"/>
          <w:color w:val="000000" w:themeColor="text1"/>
        </w:rPr>
        <w:t>to become the dominant format</w:t>
      </w:r>
      <w:r w:rsidR="002844C2" w:rsidRPr="00771E6E">
        <w:rPr>
          <w:rFonts w:eastAsia="Times New Roman" w:cs="Times New Roman"/>
          <w:color w:val="000000" w:themeColor="text1"/>
        </w:rPr>
        <w:t xml:space="preserve"> across Europe</w:t>
      </w:r>
      <w:r w:rsidR="00DE6788" w:rsidRPr="00771E6E">
        <w:rPr>
          <w:rFonts w:eastAsia="Times New Roman" w:cs="Times New Roman"/>
          <w:color w:val="000000" w:themeColor="text1"/>
        </w:rPr>
        <w:t>.</w:t>
      </w:r>
      <w:r w:rsidR="00DE6788" w:rsidRPr="00771E6E">
        <w:rPr>
          <w:rStyle w:val="FootnoteReference"/>
          <w:rFonts w:eastAsia="Times New Roman" w:cs="Times New Roman"/>
          <w:color w:val="000000" w:themeColor="text1"/>
        </w:rPr>
        <w:footnoteReference w:id="756"/>
      </w:r>
      <w:r w:rsidR="007F35B4" w:rsidRPr="00771E6E">
        <w:rPr>
          <w:rFonts w:eastAsia="Times New Roman" w:cs="Times New Roman"/>
          <w:color w:val="000000" w:themeColor="text1"/>
        </w:rPr>
        <w:t xml:space="preserve"> This phenomenon, of course, </w:t>
      </w:r>
      <w:r w:rsidR="00077B34" w:rsidRPr="00771E6E">
        <w:rPr>
          <w:rFonts w:eastAsia="Times New Roman" w:cs="Times New Roman"/>
          <w:color w:val="000000" w:themeColor="text1"/>
        </w:rPr>
        <w:t>would have included</w:t>
      </w:r>
      <w:r w:rsidR="007F35B4" w:rsidRPr="00771E6E">
        <w:rPr>
          <w:rFonts w:eastAsia="Times New Roman" w:cs="Times New Roman"/>
          <w:color w:val="000000" w:themeColor="text1"/>
        </w:rPr>
        <w:t xml:space="preserve"> books of </w:t>
      </w:r>
      <w:r w:rsidR="00C81E67" w:rsidRPr="00771E6E">
        <w:rPr>
          <w:rFonts w:eastAsia="Times New Roman" w:cs="Times New Roman"/>
          <w:color w:val="000000" w:themeColor="text1"/>
        </w:rPr>
        <w:t xml:space="preserve">both </w:t>
      </w:r>
      <w:r w:rsidR="007F35B4" w:rsidRPr="00771E6E">
        <w:rPr>
          <w:rFonts w:eastAsia="Times New Roman" w:cs="Times New Roman"/>
          <w:color w:val="000000" w:themeColor="text1"/>
        </w:rPr>
        <w:t xml:space="preserve">music theory </w:t>
      </w:r>
      <w:r w:rsidR="0045621C" w:rsidRPr="00771E6E">
        <w:rPr>
          <w:rFonts w:eastAsia="Times New Roman" w:cs="Times New Roman"/>
          <w:color w:val="000000" w:themeColor="text1"/>
        </w:rPr>
        <w:t>and practice</w:t>
      </w:r>
      <w:r w:rsidR="007F35B4" w:rsidRPr="00771E6E">
        <w:rPr>
          <w:rFonts w:eastAsia="Times New Roman" w:cs="Times New Roman"/>
          <w:color w:val="000000" w:themeColor="text1"/>
        </w:rPr>
        <w:t xml:space="preserve">. </w:t>
      </w:r>
      <w:r w:rsidR="0045621C" w:rsidRPr="00771E6E">
        <w:rPr>
          <w:rFonts w:eastAsia="Times New Roman" w:cs="Times New Roman"/>
          <w:color w:val="000000" w:themeColor="text1"/>
        </w:rPr>
        <w:t xml:space="preserve">Musical notation was initially added by hand to printed books, but by the 1470s notes were also printed with metal type. </w:t>
      </w:r>
      <w:proofErr w:type="spellStart"/>
      <w:r w:rsidR="0045621C" w:rsidRPr="00771E6E">
        <w:rPr>
          <w:rFonts w:eastAsia="Times New Roman" w:cs="Times New Roman"/>
          <w:color w:val="000000" w:themeColor="text1"/>
        </w:rPr>
        <w:t>Incubula</w:t>
      </w:r>
      <w:proofErr w:type="spellEnd"/>
      <w:r w:rsidR="0045621C" w:rsidRPr="00771E6E">
        <w:rPr>
          <w:rFonts w:eastAsia="Times New Roman" w:cs="Times New Roman"/>
          <w:color w:val="000000" w:themeColor="text1"/>
        </w:rPr>
        <w:t xml:space="preserve"> that included musical notation were </w:t>
      </w:r>
      <w:r w:rsidR="00B06595" w:rsidRPr="00771E6E">
        <w:rPr>
          <w:rFonts w:eastAsia="Times New Roman" w:cs="Times New Roman"/>
          <w:color w:val="000000" w:themeColor="text1"/>
        </w:rPr>
        <w:t>produced</w:t>
      </w:r>
      <w:r w:rsidR="0045621C" w:rsidRPr="00771E6E">
        <w:rPr>
          <w:rFonts w:eastAsia="Times New Roman" w:cs="Times New Roman"/>
          <w:color w:val="000000" w:themeColor="text1"/>
        </w:rPr>
        <w:t xml:space="preserve"> for use during the Liturgy, </w:t>
      </w:r>
      <w:r w:rsidR="00077B34" w:rsidRPr="00771E6E">
        <w:rPr>
          <w:rFonts w:eastAsia="Times New Roman" w:cs="Times New Roman"/>
          <w:color w:val="000000" w:themeColor="text1"/>
        </w:rPr>
        <w:t>as well as</w:t>
      </w:r>
      <w:r w:rsidR="0045621C" w:rsidRPr="00771E6E">
        <w:rPr>
          <w:rFonts w:eastAsia="Times New Roman" w:cs="Times New Roman"/>
          <w:color w:val="000000" w:themeColor="text1"/>
        </w:rPr>
        <w:t xml:space="preserve"> for lay performance and </w:t>
      </w:r>
      <w:r w:rsidR="00077B34" w:rsidRPr="00771E6E">
        <w:rPr>
          <w:rFonts w:eastAsia="Times New Roman" w:cs="Times New Roman"/>
          <w:color w:val="000000" w:themeColor="text1"/>
        </w:rPr>
        <w:t xml:space="preserve">to be included </w:t>
      </w:r>
      <w:r w:rsidR="0045621C" w:rsidRPr="00771E6E">
        <w:rPr>
          <w:rFonts w:eastAsia="Times New Roman" w:cs="Times New Roman"/>
          <w:color w:val="000000" w:themeColor="text1"/>
        </w:rPr>
        <w:t>as part of music theory books</w:t>
      </w:r>
      <w:r w:rsidR="00077B34" w:rsidRPr="00771E6E">
        <w:rPr>
          <w:rFonts w:eastAsia="Times New Roman" w:cs="Times New Roman"/>
          <w:color w:val="000000" w:themeColor="text1"/>
        </w:rPr>
        <w:t>.</w:t>
      </w:r>
      <w:r w:rsidR="002844C2" w:rsidRPr="00771E6E">
        <w:rPr>
          <w:rFonts w:eastAsia="Times New Roman" w:cs="Times New Roman"/>
          <w:color w:val="000000" w:themeColor="text1"/>
        </w:rPr>
        <w:t xml:space="preserve"> </w:t>
      </w:r>
      <w:r w:rsidR="00B06595" w:rsidRPr="00771E6E">
        <w:rPr>
          <w:rFonts w:eastAsia="Times New Roman" w:cs="Times New Roman"/>
          <w:color w:val="000000" w:themeColor="text1"/>
        </w:rPr>
        <w:t xml:space="preserve">Italy was an important </w:t>
      </w:r>
      <w:proofErr w:type="spellStart"/>
      <w:r w:rsidR="00B06595" w:rsidRPr="00771E6E">
        <w:rPr>
          <w:rFonts w:eastAsia="Times New Roman" w:cs="Times New Roman"/>
          <w:color w:val="000000" w:themeColor="text1"/>
        </w:rPr>
        <w:t>centre</w:t>
      </w:r>
      <w:proofErr w:type="spellEnd"/>
      <w:r w:rsidR="00B06595" w:rsidRPr="00771E6E">
        <w:rPr>
          <w:rFonts w:eastAsia="Times New Roman" w:cs="Times New Roman"/>
          <w:color w:val="000000" w:themeColor="text1"/>
        </w:rPr>
        <w:t xml:space="preserve"> </w:t>
      </w:r>
      <w:r w:rsidR="00077B34" w:rsidRPr="00771E6E">
        <w:rPr>
          <w:rFonts w:eastAsia="Times New Roman" w:cs="Times New Roman"/>
          <w:color w:val="000000" w:themeColor="text1"/>
        </w:rPr>
        <w:t>for</w:t>
      </w:r>
      <w:r w:rsidR="00B06595" w:rsidRPr="00771E6E">
        <w:rPr>
          <w:rFonts w:eastAsia="Times New Roman" w:cs="Times New Roman"/>
          <w:color w:val="000000" w:themeColor="text1"/>
        </w:rPr>
        <w:t xml:space="preserve"> production </w:t>
      </w:r>
      <w:r w:rsidR="00077B34" w:rsidRPr="00771E6E">
        <w:rPr>
          <w:rFonts w:eastAsia="Times New Roman" w:cs="Times New Roman"/>
          <w:color w:val="000000" w:themeColor="text1"/>
        </w:rPr>
        <w:t xml:space="preserve">of </w:t>
      </w:r>
      <w:r w:rsidR="002844C2" w:rsidRPr="00771E6E">
        <w:rPr>
          <w:rFonts w:eastAsia="Times New Roman" w:cs="Times New Roman"/>
          <w:color w:val="000000" w:themeColor="text1"/>
        </w:rPr>
        <w:lastRenderedPageBreak/>
        <w:t>printed music books</w:t>
      </w:r>
      <w:r w:rsidR="00077B34" w:rsidRPr="00771E6E">
        <w:rPr>
          <w:rFonts w:eastAsia="Times New Roman" w:cs="Times New Roman"/>
          <w:color w:val="000000" w:themeColor="text1"/>
        </w:rPr>
        <w:t xml:space="preserve"> </w:t>
      </w:r>
      <w:r w:rsidR="00B06595" w:rsidRPr="00771E6E">
        <w:rPr>
          <w:rFonts w:eastAsia="Times New Roman" w:cs="Times New Roman"/>
          <w:color w:val="000000" w:themeColor="text1"/>
        </w:rPr>
        <w:t>in Europe, second only to Germany.</w:t>
      </w:r>
      <w:r w:rsidR="000855A2" w:rsidRPr="00771E6E">
        <w:rPr>
          <w:rStyle w:val="FootnoteReference"/>
          <w:rFonts w:eastAsia="Times New Roman" w:cs="Times New Roman"/>
          <w:color w:val="000000" w:themeColor="text1"/>
        </w:rPr>
        <w:footnoteReference w:id="757"/>
      </w:r>
      <w:r w:rsidR="00C81E67" w:rsidRPr="00771E6E">
        <w:rPr>
          <w:rFonts w:eastAsia="Times New Roman" w:cs="Times New Roman"/>
          <w:color w:val="000000" w:themeColor="text1"/>
        </w:rPr>
        <w:t xml:space="preserve"> </w:t>
      </w:r>
      <w:r w:rsidR="009C071C" w:rsidRPr="00771E6E">
        <w:rPr>
          <w:rFonts w:eastAsia="Times New Roman" w:cs="Times New Roman"/>
          <w:color w:val="000000" w:themeColor="text1"/>
        </w:rPr>
        <w:t>As seen in Chapter 1??, c</w:t>
      </w:r>
      <w:r w:rsidR="00C81E67" w:rsidRPr="00771E6E">
        <w:rPr>
          <w:rFonts w:eastAsia="Times New Roman" w:cs="Times New Roman"/>
          <w:color w:val="000000" w:themeColor="text1"/>
        </w:rPr>
        <w:t xml:space="preserve">lassical texts on music </w:t>
      </w:r>
      <w:r w:rsidR="002844C2" w:rsidRPr="00771E6E">
        <w:rPr>
          <w:rFonts w:eastAsia="Times New Roman" w:cs="Times New Roman"/>
          <w:color w:val="000000" w:themeColor="text1"/>
        </w:rPr>
        <w:t xml:space="preserve">theory </w:t>
      </w:r>
      <w:r w:rsidR="00C81E67" w:rsidRPr="00771E6E">
        <w:rPr>
          <w:rFonts w:eastAsia="Times New Roman" w:cs="Times New Roman"/>
          <w:color w:val="000000" w:themeColor="text1"/>
        </w:rPr>
        <w:t xml:space="preserve">were </w:t>
      </w:r>
      <w:r w:rsidR="009C071C" w:rsidRPr="00771E6E">
        <w:rPr>
          <w:rFonts w:eastAsia="Times New Roman" w:cs="Times New Roman"/>
          <w:color w:val="000000" w:themeColor="text1"/>
        </w:rPr>
        <w:t xml:space="preserve">translated and printed. Among these Carlo </w:t>
      </w:r>
      <w:proofErr w:type="spellStart"/>
      <w:r w:rsidR="009C071C" w:rsidRPr="00771E6E">
        <w:rPr>
          <w:rFonts w:eastAsia="Times New Roman" w:cs="Times New Roman"/>
          <w:color w:val="000000" w:themeColor="text1"/>
        </w:rPr>
        <w:t>Valgulio’s</w:t>
      </w:r>
      <w:proofErr w:type="spellEnd"/>
      <w:r w:rsidR="009C071C" w:rsidRPr="00771E6E">
        <w:rPr>
          <w:rFonts w:eastAsia="Times New Roman" w:cs="Times New Roman"/>
          <w:color w:val="000000" w:themeColor="text1"/>
        </w:rPr>
        <w:t xml:space="preserve"> translation into Latin of Plutarch’s </w:t>
      </w:r>
      <w:r w:rsidR="009C071C" w:rsidRPr="00771E6E">
        <w:rPr>
          <w:rFonts w:eastAsia="Times New Roman" w:cs="Times New Roman"/>
          <w:i/>
          <w:iCs/>
          <w:color w:val="000000" w:themeColor="text1"/>
        </w:rPr>
        <w:t xml:space="preserve">De </w:t>
      </w:r>
      <w:proofErr w:type="spellStart"/>
      <w:r w:rsidR="009C071C" w:rsidRPr="00771E6E">
        <w:rPr>
          <w:rFonts w:eastAsia="Times New Roman" w:cs="Times New Roman"/>
          <w:i/>
          <w:iCs/>
          <w:color w:val="000000" w:themeColor="text1"/>
        </w:rPr>
        <w:t>Musica</w:t>
      </w:r>
      <w:proofErr w:type="spellEnd"/>
      <w:r w:rsidR="009C071C" w:rsidRPr="00771E6E">
        <w:rPr>
          <w:rFonts w:eastAsia="Times New Roman" w:cs="Times New Roman"/>
          <w:color w:val="000000" w:themeColor="text1"/>
        </w:rPr>
        <w:t xml:space="preserve"> was printed multiple times, which testifies to its popularity.</w:t>
      </w:r>
      <w:r w:rsidR="009C071C" w:rsidRPr="00771E6E">
        <w:rPr>
          <w:rStyle w:val="FootnoteReference"/>
          <w:rFonts w:eastAsia="Times New Roman" w:cs="Times New Roman"/>
          <w:color w:val="000000" w:themeColor="text1"/>
        </w:rPr>
        <w:footnoteReference w:id="758"/>
      </w:r>
      <w:r w:rsidR="001F7676" w:rsidRPr="00771E6E">
        <w:rPr>
          <w:rFonts w:eastAsia="Times New Roman" w:cs="Times New Roman"/>
          <w:color w:val="000000" w:themeColor="text1"/>
        </w:rPr>
        <w:t xml:space="preserve"> The printing press </w:t>
      </w:r>
      <w:r w:rsidR="00077B34" w:rsidRPr="00771E6E">
        <w:rPr>
          <w:rFonts w:eastAsia="Times New Roman" w:cs="Times New Roman"/>
          <w:color w:val="000000" w:themeColor="text1"/>
        </w:rPr>
        <w:t>meant that</w:t>
      </w:r>
      <w:r w:rsidR="001F7676" w:rsidRPr="00771E6E">
        <w:rPr>
          <w:rFonts w:eastAsia="Times New Roman" w:cs="Times New Roman"/>
          <w:color w:val="000000" w:themeColor="text1"/>
        </w:rPr>
        <w:t xml:space="preserve"> music texts </w:t>
      </w:r>
      <w:r w:rsidR="00077B34" w:rsidRPr="00771E6E">
        <w:rPr>
          <w:rFonts w:eastAsia="Times New Roman" w:cs="Times New Roman"/>
          <w:color w:val="000000" w:themeColor="text1"/>
        </w:rPr>
        <w:t xml:space="preserve">were </w:t>
      </w:r>
      <w:r w:rsidR="001F7676" w:rsidRPr="00771E6E">
        <w:rPr>
          <w:rFonts w:eastAsia="Times New Roman" w:cs="Times New Roman"/>
          <w:color w:val="000000" w:themeColor="text1"/>
        </w:rPr>
        <w:t xml:space="preserve">more and more </w:t>
      </w:r>
      <w:r w:rsidR="00077B34" w:rsidRPr="00771E6E">
        <w:rPr>
          <w:rFonts w:eastAsia="Times New Roman" w:cs="Times New Roman"/>
          <w:color w:val="000000" w:themeColor="text1"/>
        </w:rPr>
        <w:t>widely</w:t>
      </w:r>
      <w:r w:rsidR="001F7676" w:rsidRPr="00771E6E">
        <w:rPr>
          <w:rFonts w:eastAsia="Times New Roman" w:cs="Times New Roman"/>
          <w:color w:val="000000" w:themeColor="text1"/>
        </w:rPr>
        <w:t xml:space="preserve"> available, </w:t>
      </w:r>
      <w:r w:rsidR="00077B34" w:rsidRPr="00771E6E">
        <w:rPr>
          <w:rFonts w:eastAsia="Times New Roman" w:cs="Times New Roman"/>
          <w:color w:val="000000" w:themeColor="text1"/>
        </w:rPr>
        <w:t>which would have only increased</w:t>
      </w:r>
      <w:r w:rsidR="001F7676" w:rsidRPr="00771E6E">
        <w:rPr>
          <w:rFonts w:eastAsia="Times New Roman" w:cs="Times New Roman"/>
          <w:color w:val="000000" w:themeColor="text1"/>
        </w:rPr>
        <w:t xml:space="preserve"> during the Sixteenth century.</w:t>
      </w:r>
      <w:r w:rsidR="001F7676" w:rsidRPr="00771E6E">
        <w:rPr>
          <w:rStyle w:val="FootnoteReference"/>
          <w:rFonts w:eastAsia="Times New Roman" w:cs="Times New Roman"/>
          <w:color w:val="000000" w:themeColor="text1"/>
        </w:rPr>
        <w:footnoteReference w:id="759"/>
      </w:r>
    </w:p>
    <w:p w14:paraId="383BCF13" w14:textId="20A4A39C" w:rsidR="00310CB2" w:rsidRPr="00771E6E" w:rsidRDefault="00E619A4" w:rsidP="00310CB2">
      <w:pPr>
        <w:ind w:firstLine="720"/>
        <w:contextualSpacing/>
        <w:rPr>
          <w:rFonts w:eastAsia="Times New Roman" w:cs="Times New Roman"/>
          <w:color w:val="FF0000"/>
        </w:rPr>
      </w:pPr>
      <w:r w:rsidRPr="00771E6E">
        <w:rPr>
          <w:rFonts w:eastAsia="Times New Roman" w:cs="Times New Roman"/>
          <w:color w:val="000000" w:themeColor="text1"/>
        </w:rPr>
        <w:t xml:space="preserve">The new technologies that facilitated the reproduction of images and text allowed the </w:t>
      </w:r>
      <w:r w:rsidR="00310CB2" w:rsidRPr="00771E6E">
        <w:rPr>
          <w:rFonts w:eastAsia="Times New Roman" w:cs="Times New Roman"/>
          <w:color w:val="000000" w:themeColor="text1"/>
        </w:rPr>
        <w:t>extensive circulation of particular images</w:t>
      </w:r>
      <w:r w:rsidR="002844C2" w:rsidRPr="00771E6E">
        <w:rPr>
          <w:rFonts w:eastAsia="Times New Roman" w:cs="Times New Roman"/>
          <w:color w:val="000000" w:themeColor="text1"/>
        </w:rPr>
        <w:t xml:space="preserve">, </w:t>
      </w:r>
      <w:r w:rsidR="00310CB2" w:rsidRPr="00771E6E">
        <w:rPr>
          <w:rFonts w:eastAsia="Times New Roman" w:cs="Times New Roman"/>
          <w:color w:val="000000" w:themeColor="text1"/>
        </w:rPr>
        <w:t xml:space="preserve">with the comparatively </w:t>
      </w:r>
      <w:proofErr w:type="gramStart"/>
      <w:r w:rsidR="00310CB2" w:rsidRPr="00771E6E">
        <w:rPr>
          <w:rFonts w:eastAsia="Times New Roman" w:cs="Times New Roman"/>
          <w:color w:val="000000" w:themeColor="text1"/>
        </w:rPr>
        <w:t>low cost</w:t>
      </w:r>
      <w:proofErr w:type="gramEnd"/>
      <w:r w:rsidR="00310CB2" w:rsidRPr="00771E6E">
        <w:rPr>
          <w:rFonts w:eastAsia="Times New Roman" w:cs="Times New Roman"/>
          <w:color w:val="000000" w:themeColor="text1"/>
        </w:rPr>
        <w:t xml:space="preserve"> permitting ownership by individuals from a wide range of different social classes.</w:t>
      </w:r>
      <w:r w:rsidR="00310CB2" w:rsidRPr="00771E6E">
        <w:rPr>
          <w:rStyle w:val="FootnoteReference"/>
        </w:rPr>
        <w:footnoteReference w:id="760"/>
      </w:r>
    </w:p>
    <w:p w14:paraId="6983CC1D" w14:textId="77777777" w:rsidR="00310CB2" w:rsidRPr="00771E6E" w:rsidRDefault="00310CB2" w:rsidP="00182EED">
      <w:pPr>
        <w:contextualSpacing/>
        <w:rPr>
          <w:rFonts w:eastAsia="Times New Roman" w:cs="Times New Roman"/>
          <w:color w:val="FF0000"/>
        </w:rPr>
      </w:pPr>
    </w:p>
    <w:p w14:paraId="003A67EE" w14:textId="77777777" w:rsidR="00310CB2" w:rsidRPr="00771E6E" w:rsidRDefault="00310CB2" w:rsidP="00182EED"/>
    <w:p w14:paraId="5BB1BE72" w14:textId="77777777" w:rsidR="00310CB2" w:rsidRPr="00771E6E" w:rsidRDefault="00310CB2" w:rsidP="00310CB2">
      <w:pPr>
        <w:pStyle w:val="Subchapter"/>
      </w:pPr>
      <w:bookmarkStart w:id="78" w:name="_Toc4330896"/>
      <w:bookmarkStart w:id="79" w:name="_Toc20167617"/>
      <w:r w:rsidRPr="00771E6E">
        <w:t>4.2 Musical Angels in a Domestic Chapel</w:t>
      </w:r>
      <w:bookmarkEnd w:id="78"/>
      <w:bookmarkEnd w:id="79"/>
    </w:p>
    <w:p w14:paraId="4CE402F7" w14:textId="77777777" w:rsidR="00310CB2" w:rsidRPr="00771E6E" w:rsidRDefault="00310CB2" w:rsidP="00310CB2">
      <w:pPr>
        <w:contextualSpacing/>
        <w:rPr>
          <w:rFonts w:eastAsia="Times New Roman" w:cs="Times New Roman"/>
        </w:rPr>
      </w:pPr>
    </w:p>
    <w:p w14:paraId="6252A701" w14:textId="77777777" w:rsidR="00310CB2" w:rsidRPr="00771E6E" w:rsidRDefault="00310CB2" w:rsidP="00310CB2">
      <w:pPr>
        <w:contextualSpacing/>
        <w:rPr>
          <w:rFonts w:eastAsia="Times New Roman" w:cs="Times New Roman"/>
        </w:rPr>
      </w:pPr>
      <w:r w:rsidRPr="00771E6E">
        <w:rPr>
          <w:rFonts w:eastAsia="Times New Roman" w:cs="Times New Roman"/>
        </w:rPr>
        <w:t xml:space="preserve">While devotional images in bedchambers would have had to share the space with a variety of practical objects for daily use that were kept in the same room, larger </w:t>
      </w:r>
      <w:r w:rsidRPr="00771E6E">
        <w:rPr>
          <w:rFonts w:eastAsia="Times New Roman" w:cs="Times New Roman"/>
          <w:i/>
        </w:rPr>
        <w:t>palazzi</w:t>
      </w:r>
      <w:r w:rsidRPr="00771E6E">
        <w:rPr>
          <w:rFonts w:eastAsia="Times New Roman" w:cs="Times New Roman"/>
        </w:rPr>
        <w:t xml:space="preserve"> owned by prominent families often included one or more private chapels, where Mass could be celebrated away from the prying eyes of the public.</w:t>
      </w:r>
      <w:r w:rsidRPr="00771E6E">
        <w:rPr>
          <w:rStyle w:val="FootnoteReference"/>
        </w:rPr>
        <w:footnoteReference w:id="761"/>
      </w:r>
      <w:r w:rsidRPr="00771E6E">
        <w:rPr>
          <w:rFonts w:eastAsia="Times New Roman" w:cs="Times New Roman"/>
        </w:rPr>
        <w:t xml:space="preserve"> The </w:t>
      </w:r>
      <w:r w:rsidRPr="00771E6E">
        <w:rPr>
          <w:rFonts w:eastAsia="Times New Roman" w:cs="Times New Roman"/>
          <w:i/>
        </w:rPr>
        <w:t xml:space="preserve">Cappella </w:t>
      </w:r>
      <w:proofErr w:type="spellStart"/>
      <w:r w:rsidRPr="00771E6E">
        <w:rPr>
          <w:rFonts w:eastAsia="Times New Roman" w:cs="Times New Roman"/>
          <w:i/>
        </w:rPr>
        <w:t>dei</w:t>
      </w:r>
      <w:proofErr w:type="spellEnd"/>
      <w:r w:rsidRPr="00771E6E">
        <w:rPr>
          <w:rFonts w:eastAsia="Times New Roman" w:cs="Times New Roman"/>
          <w:i/>
        </w:rPr>
        <w:t xml:space="preserve"> Magi</w:t>
      </w:r>
      <w:r w:rsidRPr="00771E6E">
        <w:rPr>
          <w:rFonts w:eastAsia="Times New Roman" w:cs="Times New Roman"/>
        </w:rPr>
        <w:t xml:space="preserve">, in the Florentine Medici Palace is a well-known example, although the extravagance of this space could hardly be matched by the majority of Florentine patrician families. This small chapel was lavishly decorated by </w:t>
      </w:r>
      <w:proofErr w:type="spellStart"/>
      <w:r w:rsidRPr="00771E6E">
        <w:rPr>
          <w:rFonts w:eastAsia="Times New Roman" w:cs="Times New Roman"/>
        </w:rPr>
        <w:t>Benozzo</w:t>
      </w:r>
      <w:proofErr w:type="spellEnd"/>
      <w:r w:rsidRPr="00771E6E">
        <w:rPr>
          <w:rFonts w:eastAsia="Times New Roman" w:cs="Times New Roman"/>
        </w:rPr>
        <w:t xml:space="preserve"> </w:t>
      </w:r>
      <w:proofErr w:type="spellStart"/>
      <w:r w:rsidRPr="00771E6E">
        <w:rPr>
          <w:rFonts w:eastAsia="Times New Roman" w:cs="Times New Roman"/>
        </w:rPr>
        <w:t>Gozzoli</w:t>
      </w:r>
      <w:proofErr w:type="spellEnd"/>
      <w:r w:rsidRPr="00771E6E">
        <w:rPr>
          <w:rFonts w:eastAsia="Times New Roman" w:cs="Times New Roman"/>
        </w:rPr>
        <w:t xml:space="preserve"> (</w:t>
      </w:r>
      <w:proofErr w:type="spellStart"/>
      <w:r w:rsidRPr="00771E6E">
        <w:rPr>
          <w:rFonts w:eastAsia="Times New Roman" w:cs="Times New Roman"/>
        </w:rPr>
        <w:t>Benozzo</w:t>
      </w:r>
      <w:proofErr w:type="spellEnd"/>
      <w:r w:rsidRPr="00771E6E">
        <w:rPr>
          <w:rFonts w:eastAsia="Times New Roman" w:cs="Times New Roman"/>
        </w:rPr>
        <w:t xml:space="preserve"> di Lese) between the summer and the end of 1459, with frescoes based upon the theme of the visit of the Magi to the new born Christ. Above the altar was Fra Filippo Lippi’s altarpiece of the Virgin adoring her son, accompanied by Saint John the Baptist and Saint Bernard of Clairvaux.</w:t>
      </w:r>
      <w:r w:rsidRPr="00771E6E">
        <w:rPr>
          <w:rStyle w:val="FootnoteReference"/>
        </w:rPr>
        <w:footnoteReference w:id="762"/>
      </w:r>
      <w:r w:rsidRPr="00771E6E">
        <w:rPr>
          <w:rFonts w:eastAsia="Times New Roman" w:cs="Times New Roman"/>
        </w:rPr>
        <w:t xml:space="preserve"> On either side of the altar, there are angels placed at various different heights, including some picking flowers and making garlands in the background, while others are shown flying high above in the sky, together with cherubim (figs 4.16 and 4.17).</w:t>
      </w:r>
      <w:r w:rsidRPr="00771E6E">
        <w:rPr>
          <w:rStyle w:val="FootnoteReference"/>
        </w:rPr>
        <w:footnoteReference w:id="763"/>
      </w:r>
    </w:p>
    <w:p w14:paraId="17DDB313"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The angels closest to the new born Christ are arranged in three rows, kneeling in adoration, with their halos appropriately inscribed with the words “</w:t>
      </w:r>
      <w:proofErr w:type="spellStart"/>
      <w:r w:rsidRPr="00771E6E">
        <w:rPr>
          <w:rFonts w:eastAsia="Times New Roman" w:cs="Times New Roman"/>
        </w:rPr>
        <w:t>adoramus</w:t>
      </w:r>
      <w:proofErr w:type="spellEnd"/>
      <w:r w:rsidRPr="00771E6E">
        <w:rPr>
          <w:rFonts w:eastAsia="Times New Roman" w:cs="Times New Roman"/>
        </w:rPr>
        <w:t xml:space="preserve"> </w:t>
      </w:r>
      <w:proofErr w:type="spellStart"/>
      <w:r w:rsidRPr="00771E6E">
        <w:rPr>
          <w:rFonts w:eastAsia="Times New Roman" w:cs="Times New Roman"/>
        </w:rPr>
        <w:t>te</w:t>
      </w:r>
      <w:proofErr w:type="spellEnd"/>
      <w:r w:rsidRPr="00771E6E">
        <w:rPr>
          <w:rFonts w:eastAsia="Times New Roman" w:cs="Times New Roman"/>
        </w:rPr>
        <w:t xml:space="preserve">, </w:t>
      </w:r>
      <w:proofErr w:type="spellStart"/>
      <w:r w:rsidRPr="00771E6E">
        <w:rPr>
          <w:rFonts w:eastAsia="Times New Roman" w:cs="Times New Roman"/>
        </w:rPr>
        <w:lastRenderedPageBreak/>
        <w:t>glorificamus</w:t>
      </w:r>
      <w:proofErr w:type="spellEnd"/>
      <w:r w:rsidRPr="00771E6E">
        <w:rPr>
          <w:rFonts w:eastAsia="Times New Roman" w:cs="Times New Roman"/>
        </w:rPr>
        <w:t xml:space="preserve"> t[e]” (we adore Thee, we glorify Thee). Standing further back, heavenly choirs are praying and singing, sometimes with their mouths open wide. As well as singing, Dale Kent has interpreted these dynamic figures of angels as if they were dancing, and has linked this to the fact that members of the Medici family would entertain themselves with dance.</w:t>
      </w:r>
      <w:r w:rsidRPr="00771E6E">
        <w:rPr>
          <w:rStyle w:val="FootnoteReference"/>
        </w:rPr>
        <w:footnoteReference w:id="764"/>
      </w:r>
      <w:r w:rsidRPr="00771E6E">
        <w:rPr>
          <w:rFonts w:eastAsia="Times New Roman" w:cs="Times New Roman"/>
        </w:rPr>
        <w:t xml:space="preserve"> However, the movements of the angels’ hands seems to indicate a rather different musical activity, as if they were shown practicing </w:t>
      </w:r>
      <w:r w:rsidRPr="00771E6E">
        <w:rPr>
          <w:rFonts w:eastAsia="Times New Roman" w:cs="Times New Roman"/>
          <w:i/>
        </w:rPr>
        <w:t>tactus</w:t>
      </w:r>
      <w:r w:rsidRPr="00771E6E">
        <w:rPr>
          <w:rFonts w:eastAsia="Times New Roman" w:cs="Times New Roman"/>
        </w:rPr>
        <w:t xml:space="preserve">, which is closely related to singing practices, as discussed in Chapter 3.2.1. This is especially clearly depicted in the fresco on the left side of the chancel, in which several angels touch the shoulders of their fellow singers, while the three angels in the first row are moving their hands in intricate gestures, possibly hinting at the contemporary practice of learning music with the help of the so-called </w:t>
      </w:r>
      <w:proofErr w:type="spellStart"/>
      <w:r w:rsidRPr="00771E6E">
        <w:rPr>
          <w:rFonts w:eastAsia="Times New Roman" w:cs="Times New Roman"/>
        </w:rPr>
        <w:t>Guidonian</w:t>
      </w:r>
      <w:proofErr w:type="spellEnd"/>
      <w:r w:rsidRPr="00771E6E">
        <w:rPr>
          <w:rFonts w:eastAsia="Times New Roman" w:cs="Times New Roman"/>
        </w:rPr>
        <w:t xml:space="preserve"> hand, or perhaps tapping </w:t>
      </w:r>
      <w:r w:rsidRPr="00771E6E">
        <w:rPr>
          <w:rFonts w:eastAsia="Times New Roman" w:cs="Times New Roman"/>
          <w:i/>
        </w:rPr>
        <w:t>tactus</w:t>
      </w:r>
      <w:r w:rsidRPr="00771E6E">
        <w:rPr>
          <w:rFonts w:eastAsia="Times New Roman" w:cs="Times New Roman"/>
        </w:rPr>
        <w:t xml:space="preserve"> on an imagined surface (fig. 4.18).</w:t>
      </w:r>
      <w:r w:rsidRPr="00771E6E">
        <w:rPr>
          <w:rStyle w:val="FootnoteReference"/>
        </w:rPr>
        <w:footnoteReference w:id="765"/>
      </w:r>
      <w:r w:rsidRPr="00771E6E">
        <w:rPr>
          <w:rFonts w:eastAsia="Times New Roman" w:cs="Times New Roman"/>
        </w:rPr>
        <w:t xml:space="preserve"> These singing angels bear halos inscribed with the words “Gloria in excelsis deo,” or individual words such as “</w:t>
      </w:r>
      <w:proofErr w:type="spellStart"/>
      <w:r w:rsidRPr="00771E6E">
        <w:rPr>
          <w:rFonts w:eastAsia="Times New Roman" w:cs="Times New Roman"/>
        </w:rPr>
        <w:t>ter</w:t>
      </w:r>
      <w:proofErr w:type="spellEnd"/>
      <w:r w:rsidRPr="00771E6E">
        <w:rPr>
          <w:rFonts w:eastAsia="Times New Roman" w:cs="Times New Roman"/>
        </w:rPr>
        <w:t>[r]a” and “</w:t>
      </w:r>
      <w:proofErr w:type="spellStart"/>
      <w:r w:rsidRPr="00771E6E">
        <w:rPr>
          <w:rFonts w:eastAsia="Times New Roman" w:cs="Times New Roman"/>
        </w:rPr>
        <w:t>pax</w:t>
      </w:r>
      <w:proofErr w:type="spellEnd"/>
      <w:r w:rsidRPr="00771E6E">
        <w:rPr>
          <w:rFonts w:eastAsia="Times New Roman" w:cs="Times New Roman"/>
        </w:rPr>
        <w:t>.” These words remind the viewer that these angels are those who sung in praise on the occasion of the birth of Christ, as described in Luke 2:14. However, the phrase “</w:t>
      </w:r>
      <w:proofErr w:type="spellStart"/>
      <w:r w:rsidRPr="00771E6E">
        <w:rPr>
          <w:rFonts w:eastAsia="Times New Roman" w:cs="Times New Roman"/>
        </w:rPr>
        <w:t>Adoramus</w:t>
      </w:r>
      <w:proofErr w:type="spellEnd"/>
      <w:r w:rsidRPr="00771E6E">
        <w:rPr>
          <w:rFonts w:eastAsia="Times New Roman" w:cs="Times New Roman"/>
        </w:rPr>
        <w:t xml:space="preserve"> </w:t>
      </w:r>
      <w:proofErr w:type="spellStart"/>
      <w:r w:rsidRPr="00771E6E">
        <w:rPr>
          <w:rFonts w:eastAsia="Times New Roman" w:cs="Times New Roman"/>
        </w:rPr>
        <w:t>te</w:t>
      </w:r>
      <w:proofErr w:type="spellEnd"/>
      <w:r w:rsidRPr="00771E6E">
        <w:rPr>
          <w:rFonts w:eastAsia="Times New Roman" w:cs="Times New Roman"/>
        </w:rPr>
        <w:t xml:space="preserve">, </w:t>
      </w:r>
      <w:proofErr w:type="spellStart"/>
      <w:r w:rsidRPr="00771E6E">
        <w:rPr>
          <w:rFonts w:eastAsia="Times New Roman" w:cs="Times New Roman"/>
        </w:rPr>
        <w:t>glorificamus</w:t>
      </w:r>
      <w:proofErr w:type="spellEnd"/>
      <w:r w:rsidRPr="00771E6E">
        <w:rPr>
          <w:rFonts w:eastAsia="Times New Roman" w:cs="Times New Roman"/>
        </w:rPr>
        <w:t xml:space="preserve"> </w:t>
      </w:r>
      <w:proofErr w:type="spellStart"/>
      <w:r w:rsidRPr="00771E6E">
        <w:rPr>
          <w:rFonts w:eastAsia="Times New Roman" w:cs="Times New Roman"/>
        </w:rPr>
        <w:t>te</w:t>
      </w:r>
      <w:proofErr w:type="spellEnd"/>
      <w:r w:rsidRPr="00771E6E">
        <w:rPr>
          <w:rFonts w:eastAsia="Times New Roman" w:cs="Times New Roman"/>
        </w:rPr>
        <w:t xml:space="preserve">” derives not from the biblical narrative but from the liturgical </w:t>
      </w:r>
      <w:r w:rsidRPr="00771E6E">
        <w:rPr>
          <w:rFonts w:eastAsia="Times New Roman" w:cs="Times New Roman"/>
          <w:i/>
        </w:rPr>
        <w:t>Gloria</w:t>
      </w:r>
      <w:r w:rsidRPr="00771E6E">
        <w:rPr>
          <w:rFonts w:eastAsia="Times New Roman" w:cs="Times New Roman"/>
        </w:rPr>
        <w:t>; thus, these angels are not simply re-enacting the biblical narrative, but are representing singing Mass.</w:t>
      </w:r>
      <w:r w:rsidRPr="00771E6E">
        <w:rPr>
          <w:rStyle w:val="FootnoteReference"/>
        </w:rPr>
        <w:footnoteReference w:id="766"/>
      </w:r>
      <w:r w:rsidRPr="00771E6E">
        <w:rPr>
          <w:rFonts w:eastAsia="Times New Roman" w:cs="Times New Roman"/>
        </w:rPr>
        <w:t xml:space="preserve"> The lack of music books and of musical notation in this fresco has led Cristina </w:t>
      </w:r>
      <w:proofErr w:type="spellStart"/>
      <w:r w:rsidRPr="00771E6E">
        <w:rPr>
          <w:rFonts w:eastAsia="Times New Roman" w:cs="Times New Roman"/>
        </w:rPr>
        <w:t>Acidini</w:t>
      </w:r>
      <w:proofErr w:type="spellEnd"/>
      <w:r w:rsidRPr="00771E6E">
        <w:rPr>
          <w:rFonts w:eastAsia="Times New Roman" w:cs="Times New Roman"/>
        </w:rPr>
        <w:t xml:space="preserve"> </w:t>
      </w:r>
      <w:proofErr w:type="spellStart"/>
      <w:r w:rsidRPr="00771E6E">
        <w:rPr>
          <w:rFonts w:eastAsia="Times New Roman" w:cs="Times New Roman"/>
        </w:rPr>
        <w:t>Luchinat</w:t>
      </w:r>
      <w:proofErr w:type="spellEnd"/>
      <w:r w:rsidRPr="00771E6E">
        <w:rPr>
          <w:rFonts w:eastAsia="Times New Roman" w:cs="Times New Roman"/>
        </w:rPr>
        <w:t xml:space="preserve"> to identify the </w:t>
      </w:r>
      <w:r w:rsidRPr="00771E6E">
        <w:rPr>
          <w:rFonts w:eastAsia="Times New Roman" w:cs="Times New Roman"/>
          <w:i/>
        </w:rPr>
        <w:t>Gloria</w:t>
      </w:r>
      <w:r w:rsidRPr="00771E6E">
        <w:rPr>
          <w:rFonts w:eastAsia="Times New Roman" w:cs="Times New Roman"/>
        </w:rPr>
        <w:t xml:space="preserve"> sung by </w:t>
      </w:r>
      <w:proofErr w:type="spellStart"/>
      <w:r w:rsidRPr="00771E6E">
        <w:rPr>
          <w:rFonts w:eastAsia="Times New Roman" w:cs="Times New Roman"/>
        </w:rPr>
        <w:t>Benozzo’s</w:t>
      </w:r>
      <w:proofErr w:type="spellEnd"/>
      <w:r w:rsidRPr="00771E6E">
        <w:rPr>
          <w:rFonts w:eastAsia="Times New Roman" w:cs="Times New Roman"/>
        </w:rPr>
        <w:t xml:space="preserve"> angels as the plainchant version of this hymn rather than the polyphonic one, which could be sung from memory, a theory that has also been accepted by Dale Kent.</w:t>
      </w:r>
      <w:r w:rsidRPr="00771E6E">
        <w:rPr>
          <w:rStyle w:val="FootnoteReference"/>
        </w:rPr>
        <w:footnoteReference w:id="767"/>
      </w:r>
    </w:p>
    <w:p w14:paraId="2F2B8DFC"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 xml:space="preserve">The presence of the words of the </w:t>
      </w:r>
      <w:r w:rsidRPr="00771E6E">
        <w:rPr>
          <w:rFonts w:eastAsia="Times New Roman" w:cs="Times New Roman"/>
          <w:i/>
        </w:rPr>
        <w:t>Gloria</w:t>
      </w:r>
      <w:r w:rsidRPr="00771E6E">
        <w:rPr>
          <w:rFonts w:eastAsia="Times New Roman" w:cs="Times New Roman"/>
        </w:rPr>
        <w:t xml:space="preserve"> in a Nativity scene was certainly not a novelty in Italian art from this period.</w:t>
      </w:r>
      <w:r w:rsidRPr="00771E6E">
        <w:rPr>
          <w:rStyle w:val="FootnoteReference"/>
        </w:rPr>
        <w:footnoteReference w:id="768"/>
      </w:r>
      <w:r w:rsidRPr="00771E6E">
        <w:rPr>
          <w:rFonts w:eastAsia="Times New Roman" w:cs="Times New Roman"/>
        </w:rPr>
        <w:t xml:space="preserve"> However, I am not aware of any other example where the words of the liturgical hymn, rather than simply those of the biblical announcement, are inscribed within the rims of the halos.</w:t>
      </w:r>
      <w:r w:rsidRPr="00771E6E">
        <w:rPr>
          <w:rStyle w:val="FootnoteReference"/>
        </w:rPr>
        <w:footnoteReference w:id="769"/>
      </w:r>
      <w:r w:rsidRPr="00771E6E">
        <w:rPr>
          <w:rFonts w:eastAsia="Times New Roman" w:cs="Times New Roman"/>
        </w:rPr>
        <w:t xml:space="preserve"> In </w:t>
      </w:r>
      <w:proofErr w:type="spellStart"/>
      <w:r w:rsidRPr="00771E6E">
        <w:rPr>
          <w:rFonts w:eastAsia="Times New Roman" w:cs="Times New Roman"/>
        </w:rPr>
        <w:t>Benozzo’s</w:t>
      </w:r>
      <w:proofErr w:type="spellEnd"/>
      <w:r w:rsidRPr="00771E6E">
        <w:rPr>
          <w:rFonts w:eastAsia="Times New Roman" w:cs="Times New Roman"/>
        </w:rPr>
        <w:t xml:space="preserve"> frescoes, both the angels who are explicitly singing and those who are kneeling seemingly silent in adoration </w:t>
      </w:r>
      <w:r w:rsidRPr="00771E6E">
        <w:rPr>
          <w:rFonts w:eastAsia="Times New Roman" w:cs="Times New Roman"/>
        </w:rPr>
        <w:lastRenderedPageBreak/>
        <w:t xml:space="preserve">bear the </w:t>
      </w:r>
      <w:r w:rsidRPr="00771E6E">
        <w:rPr>
          <w:rFonts w:eastAsia="Times New Roman" w:cs="Times New Roman"/>
          <w:i/>
        </w:rPr>
        <w:t xml:space="preserve">Gloria </w:t>
      </w:r>
      <w:r w:rsidRPr="00771E6E">
        <w:rPr>
          <w:rFonts w:eastAsia="Times New Roman" w:cs="Times New Roman"/>
        </w:rPr>
        <w:t xml:space="preserve">words in their halos, suggesting that they each form part of a single group joined together by a shared musical activity. </w:t>
      </w:r>
    </w:p>
    <w:p w14:paraId="34F2CB39"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 xml:space="preserve">It has been suggested that members of the Medici family themselves were portrayed in the frescoes taking part in the procession of the Magi, including Cosimo de’ Medici, portrayed on a mule, most likely as a symbol of humility, flanked by his sons Piero, Giovanni and the illegitimate Carlo, followed by Giovanni’s son </w:t>
      </w:r>
      <w:proofErr w:type="spellStart"/>
      <w:r w:rsidRPr="00771E6E">
        <w:rPr>
          <w:rFonts w:eastAsia="Times New Roman" w:cs="Times New Roman"/>
        </w:rPr>
        <w:t>Cosimino</w:t>
      </w:r>
      <w:proofErr w:type="spellEnd"/>
      <w:r w:rsidRPr="00771E6E">
        <w:rPr>
          <w:rFonts w:eastAsia="Times New Roman" w:cs="Times New Roman"/>
        </w:rPr>
        <w:t>, and Piero’s sons, the then ten-year-old Lorenzo, later known as Il Magnifico, and the six-year-old Giuliano (fig. 4.19).</w:t>
      </w:r>
      <w:r w:rsidRPr="00771E6E">
        <w:rPr>
          <w:rStyle w:val="FootnoteReference"/>
        </w:rPr>
        <w:footnoteReference w:id="770"/>
      </w:r>
      <w:r w:rsidRPr="00771E6E">
        <w:rPr>
          <w:rFonts w:eastAsia="Times New Roman" w:cs="Times New Roman"/>
        </w:rPr>
        <w:t xml:space="preserve"> It is known that Cosimo de’ Medici himself took part in the staging of the Magi procession in Florence on several occasions during the years that preceded </w:t>
      </w:r>
      <w:proofErr w:type="spellStart"/>
      <w:r w:rsidRPr="00771E6E">
        <w:rPr>
          <w:rFonts w:eastAsia="Times New Roman" w:cs="Times New Roman"/>
        </w:rPr>
        <w:t>Benozzo’s</w:t>
      </w:r>
      <w:proofErr w:type="spellEnd"/>
      <w:r w:rsidRPr="00771E6E">
        <w:rPr>
          <w:rFonts w:eastAsia="Times New Roman" w:cs="Times New Roman"/>
        </w:rPr>
        <w:t xml:space="preserve"> frescoes.</w:t>
      </w:r>
      <w:r w:rsidRPr="00771E6E">
        <w:rPr>
          <w:rStyle w:val="FootnoteReference"/>
        </w:rPr>
        <w:footnoteReference w:id="771"/>
      </w:r>
      <w:r w:rsidRPr="00771E6E">
        <w:rPr>
          <w:rFonts w:eastAsia="Times New Roman" w:cs="Times New Roman"/>
        </w:rPr>
        <w:t xml:space="preserve"> The musical angels in this chapel likely recalled the children who so often played the role of angels in these events, and in </w:t>
      </w:r>
      <w:proofErr w:type="spellStart"/>
      <w:r w:rsidRPr="00771E6E">
        <w:rPr>
          <w:rFonts w:eastAsia="Times New Roman" w:cs="Times New Roman"/>
          <w:i/>
        </w:rPr>
        <w:t>sacre</w:t>
      </w:r>
      <w:proofErr w:type="spellEnd"/>
      <w:r w:rsidRPr="00771E6E">
        <w:rPr>
          <w:rFonts w:eastAsia="Times New Roman" w:cs="Times New Roman"/>
          <w:i/>
        </w:rPr>
        <w:t xml:space="preserve"> </w:t>
      </w:r>
      <w:proofErr w:type="spellStart"/>
      <w:r w:rsidRPr="00771E6E">
        <w:rPr>
          <w:rFonts w:eastAsia="Times New Roman" w:cs="Times New Roman"/>
          <w:i/>
        </w:rPr>
        <w:t>rappresentazioni</w:t>
      </w:r>
      <w:proofErr w:type="spellEnd"/>
      <w:r w:rsidRPr="00771E6E">
        <w:rPr>
          <w:rFonts w:eastAsia="Times New Roman" w:cs="Times New Roman"/>
        </w:rPr>
        <w:t>, in Florence.</w:t>
      </w:r>
      <w:r w:rsidRPr="00771E6E">
        <w:rPr>
          <w:rStyle w:val="FootnoteReference"/>
        </w:rPr>
        <w:footnoteReference w:id="772"/>
      </w:r>
      <w:r w:rsidRPr="00771E6E">
        <w:rPr>
          <w:rFonts w:eastAsia="Times New Roman" w:cs="Times New Roman"/>
        </w:rPr>
        <w:t xml:space="preserve"> Celebrations including processions and theatrical spectacles around the visit of the Magi to the new born Christ commonly took place in Florence between 1390 and 1470, </w:t>
      </w:r>
      <w:proofErr w:type="spellStart"/>
      <w:r w:rsidRPr="00771E6E">
        <w:rPr>
          <w:rFonts w:eastAsia="Times New Roman" w:cs="Times New Roman"/>
        </w:rPr>
        <w:t>organised</w:t>
      </w:r>
      <w:proofErr w:type="spellEnd"/>
      <w:r w:rsidRPr="00771E6E">
        <w:rPr>
          <w:rFonts w:eastAsia="Times New Roman" w:cs="Times New Roman"/>
        </w:rPr>
        <w:t xml:space="preserve"> by the </w:t>
      </w:r>
      <w:proofErr w:type="spellStart"/>
      <w:r w:rsidRPr="00771E6E">
        <w:rPr>
          <w:rFonts w:eastAsia="Times New Roman" w:cs="Times New Roman"/>
          <w:i/>
        </w:rPr>
        <w:t>Compagnia</w:t>
      </w:r>
      <w:proofErr w:type="spellEnd"/>
      <w:r w:rsidRPr="00771E6E">
        <w:rPr>
          <w:rFonts w:eastAsia="Times New Roman" w:cs="Times New Roman"/>
          <w:i/>
        </w:rPr>
        <w:t xml:space="preserve"> de’ Magi</w:t>
      </w:r>
      <w:r w:rsidRPr="00771E6E">
        <w:rPr>
          <w:rFonts w:eastAsia="Times New Roman" w:cs="Times New Roman"/>
        </w:rPr>
        <w:t>, of which the Medici were members and active supporters.</w:t>
      </w:r>
      <w:r w:rsidRPr="00771E6E">
        <w:rPr>
          <w:rStyle w:val="FootnoteReference"/>
        </w:rPr>
        <w:footnoteReference w:id="773"/>
      </w:r>
    </w:p>
    <w:p w14:paraId="616B18E8" w14:textId="77777777" w:rsidR="00310CB2" w:rsidRPr="00771E6E" w:rsidRDefault="00310CB2" w:rsidP="00310CB2">
      <w:pPr>
        <w:ind w:firstLine="720"/>
        <w:contextualSpacing/>
        <w:rPr>
          <w:rFonts w:eastAsia="Times New Roman" w:cs="Times New Roman"/>
        </w:rPr>
      </w:pPr>
      <w:proofErr w:type="spellStart"/>
      <w:r w:rsidRPr="00771E6E">
        <w:rPr>
          <w:rFonts w:eastAsia="Times New Roman" w:cs="Times New Roman"/>
        </w:rPr>
        <w:t>Rab</w:t>
      </w:r>
      <w:proofErr w:type="spellEnd"/>
      <w:r w:rsidRPr="00771E6E">
        <w:rPr>
          <w:rFonts w:eastAsia="Times New Roman" w:cs="Times New Roman"/>
        </w:rPr>
        <w:t xml:space="preserve"> Hatfield has suggested that the text used for these Nativity plays would have been similar to that of a </w:t>
      </w:r>
      <w:r w:rsidRPr="00771E6E">
        <w:rPr>
          <w:rFonts w:eastAsia="Times New Roman" w:cs="Times New Roman"/>
          <w:i/>
        </w:rPr>
        <w:t xml:space="preserve">Rappresentazione </w:t>
      </w:r>
      <w:proofErr w:type="spellStart"/>
      <w:r w:rsidRPr="00771E6E">
        <w:rPr>
          <w:rFonts w:eastAsia="Times New Roman" w:cs="Times New Roman"/>
          <w:i/>
        </w:rPr>
        <w:t>della</w:t>
      </w:r>
      <w:proofErr w:type="spellEnd"/>
      <w:r w:rsidRPr="00771E6E">
        <w:rPr>
          <w:rFonts w:eastAsia="Times New Roman" w:cs="Times New Roman"/>
          <w:i/>
        </w:rPr>
        <w:t xml:space="preserve"> Natività di Cristo</w:t>
      </w:r>
      <w:r w:rsidRPr="00771E6E">
        <w:rPr>
          <w:rFonts w:eastAsia="Times New Roman" w:cs="Times New Roman"/>
        </w:rPr>
        <w:t xml:space="preserve"> which was likely staged in the late fifteenth-century, in which musical angels near the manger sing a song of praise in the vernacular based on the </w:t>
      </w:r>
      <w:r w:rsidRPr="00771E6E">
        <w:rPr>
          <w:rFonts w:eastAsia="Times New Roman" w:cs="Times New Roman"/>
          <w:i/>
        </w:rPr>
        <w:t>Gloria</w:t>
      </w:r>
      <w:r w:rsidRPr="00771E6E">
        <w:rPr>
          <w:rFonts w:eastAsia="Times New Roman" w:cs="Times New Roman"/>
        </w:rPr>
        <w:t>, as discussed and quoted in Chapter 3.2.2.</w:t>
      </w:r>
      <w:r w:rsidRPr="00771E6E">
        <w:rPr>
          <w:rStyle w:val="FootnoteReference"/>
        </w:rPr>
        <w:footnoteReference w:id="774"/>
      </w:r>
      <w:r w:rsidRPr="00771E6E">
        <w:rPr>
          <w:rFonts w:eastAsia="Times New Roman" w:cs="Times New Roman"/>
        </w:rPr>
        <w:t xml:space="preserve"> If Hatfield’s suggestion is correct, this would place Florentine children playing musical angels in sacred plays with the Nativity theme in the same period as the creation of the chapel </w:t>
      </w:r>
      <w:r w:rsidR="000F0078" w:rsidRPr="00771E6E">
        <w:rPr>
          <w:rFonts w:eastAsia="Times New Roman" w:cs="Times New Roman"/>
        </w:rPr>
        <w:t>frescoes</w:t>
      </w:r>
      <w:r w:rsidRPr="00771E6E">
        <w:rPr>
          <w:rFonts w:eastAsia="Times New Roman" w:cs="Times New Roman"/>
        </w:rPr>
        <w:t xml:space="preserve">, and so the reference to them in these depictions seems almost certain. Indeed, the life-size angels in the frescoes seem to accurately depict the contemporary Florentine children who would have regularly impersonated them during these events, and their size would make them appear as if they were present in the chapel alongside the viewer. Since the space in this small chapel was rather limited, the crowds of musical </w:t>
      </w:r>
      <w:r w:rsidRPr="00771E6E">
        <w:rPr>
          <w:rFonts w:eastAsia="Times New Roman" w:cs="Times New Roman"/>
        </w:rPr>
        <w:lastRenderedPageBreak/>
        <w:t>angels would likely have been intended to silently complement the relatively restrained celebration of the Mass that the chapel would have been able to accommodate. Again, young people visiting the chapel would have been able to identify with these musical angels (probably with the exception of Lorenzo and Giuliano, who could already see their own portraits elsewhere in the fresco).</w:t>
      </w:r>
    </w:p>
    <w:p w14:paraId="64A755E5"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 xml:space="preserve">The members of the Medici family were certainly not the only individuals to have the privilege of praying in this chapel, as it would have also been open to common citizens on particular occasions. This was noted by the anonymous author of the </w:t>
      </w:r>
      <w:proofErr w:type="spellStart"/>
      <w:r w:rsidRPr="00771E6E">
        <w:rPr>
          <w:rFonts w:eastAsia="Times New Roman" w:cs="Times New Roman"/>
          <w:i/>
        </w:rPr>
        <w:t>Terze</w:t>
      </w:r>
      <w:proofErr w:type="spellEnd"/>
      <w:r w:rsidRPr="00771E6E">
        <w:rPr>
          <w:rFonts w:eastAsia="Times New Roman" w:cs="Times New Roman"/>
          <w:i/>
        </w:rPr>
        <w:t xml:space="preserve"> rime</w:t>
      </w:r>
      <w:r w:rsidRPr="00771E6E">
        <w:t xml:space="preserve"> </w:t>
      </w:r>
      <w:r w:rsidRPr="00771E6E">
        <w:rPr>
          <w:rFonts w:eastAsia="Times New Roman" w:cs="Times New Roman"/>
          <w:i/>
        </w:rPr>
        <w:t xml:space="preserve">in lode di Cosimo de’ Medici e de’ </w:t>
      </w:r>
      <w:proofErr w:type="spellStart"/>
      <w:r w:rsidRPr="00771E6E">
        <w:rPr>
          <w:rFonts w:eastAsia="Times New Roman" w:cs="Times New Roman"/>
          <w:i/>
        </w:rPr>
        <w:t>figli</w:t>
      </w:r>
      <w:proofErr w:type="spellEnd"/>
      <w:r w:rsidRPr="00771E6E">
        <w:rPr>
          <w:rFonts w:eastAsia="Times New Roman" w:cs="Times New Roman"/>
        </w:rPr>
        <w:t xml:space="preserve"> (Tercets in Praise of Cosimo de’ Medici and His Sons), written in 1459 in </w:t>
      </w:r>
      <w:proofErr w:type="spellStart"/>
      <w:r w:rsidRPr="00771E6E">
        <w:rPr>
          <w:rFonts w:eastAsia="Times New Roman" w:cs="Times New Roman"/>
        </w:rPr>
        <w:t>honour</w:t>
      </w:r>
      <w:proofErr w:type="spellEnd"/>
      <w:r w:rsidRPr="00771E6E">
        <w:rPr>
          <w:rFonts w:eastAsia="Times New Roman" w:cs="Times New Roman"/>
        </w:rPr>
        <w:t xml:space="preserve"> of the celebrations that took place during the visit of Pope Pius II, </w:t>
      </w:r>
      <w:proofErr w:type="spellStart"/>
      <w:r w:rsidRPr="00771E6E">
        <w:rPr>
          <w:rFonts w:eastAsia="Times New Roman" w:cs="Times New Roman"/>
        </w:rPr>
        <w:t>Sigismondo</w:t>
      </w:r>
      <w:proofErr w:type="spellEnd"/>
      <w:r w:rsidRPr="00771E6E">
        <w:rPr>
          <w:rFonts w:eastAsia="Times New Roman" w:cs="Times New Roman"/>
        </w:rPr>
        <w:t xml:space="preserve"> </w:t>
      </w:r>
      <w:proofErr w:type="spellStart"/>
      <w:r w:rsidRPr="00771E6E">
        <w:rPr>
          <w:rFonts w:eastAsia="Times New Roman" w:cs="Times New Roman"/>
        </w:rPr>
        <w:t>Pandolfo</w:t>
      </w:r>
      <w:proofErr w:type="spellEnd"/>
      <w:r w:rsidRPr="00771E6E">
        <w:rPr>
          <w:rFonts w:eastAsia="Times New Roman" w:cs="Times New Roman"/>
        </w:rPr>
        <w:t xml:space="preserve"> Malatesta, </w:t>
      </w:r>
      <w:proofErr w:type="spellStart"/>
      <w:r w:rsidRPr="00771E6E">
        <w:rPr>
          <w:rFonts w:eastAsia="Times New Roman" w:cs="Times New Roman"/>
          <w:i/>
        </w:rPr>
        <w:t>condottiero</w:t>
      </w:r>
      <w:proofErr w:type="spellEnd"/>
      <w:r w:rsidRPr="00771E6E">
        <w:rPr>
          <w:rFonts w:eastAsia="Times New Roman" w:cs="Times New Roman"/>
        </w:rPr>
        <w:t xml:space="preserve"> and lord of Rimini, and the young </w:t>
      </w:r>
      <w:proofErr w:type="spellStart"/>
      <w:r w:rsidRPr="00771E6E">
        <w:rPr>
          <w:rFonts w:eastAsia="Times New Roman" w:cs="Times New Roman"/>
        </w:rPr>
        <w:t>Galeazzo</w:t>
      </w:r>
      <w:proofErr w:type="spellEnd"/>
      <w:r w:rsidRPr="00771E6E">
        <w:rPr>
          <w:rFonts w:eastAsia="Times New Roman" w:cs="Times New Roman"/>
        </w:rPr>
        <w:t xml:space="preserve"> Maria Sforza, son of the Duke of Milan, whom Cosimo received in this space.</w:t>
      </w:r>
      <w:r w:rsidRPr="00771E6E">
        <w:rPr>
          <w:rStyle w:val="FootnoteReference"/>
        </w:rPr>
        <w:footnoteReference w:id="775"/>
      </w:r>
      <w:r w:rsidRPr="00771E6E">
        <w:rPr>
          <w:rStyle w:val="CommentReference"/>
        </w:rPr>
        <w:t xml:space="preserve"> </w:t>
      </w:r>
      <w:r w:rsidRPr="00771E6E">
        <w:rPr>
          <w:rFonts w:eastAsia="Times New Roman" w:cs="Times New Roman"/>
          <w:i/>
        </w:rPr>
        <w:t xml:space="preserve"> </w:t>
      </w:r>
      <w:r w:rsidRPr="00771E6E">
        <w:rPr>
          <w:rFonts w:eastAsia="Times New Roman" w:cs="Times New Roman"/>
        </w:rPr>
        <w:t xml:space="preserve">Although the frescoes were not yet present at that date, this event indicates that diplomatic meetings would have occurred in this space. As such, it seems reasonable to assume that this would have continued after the completion of the </w:t>
      </w:r>
      <w:r w:rsidR="000F0078" w:rsidRPr="00771E6E">
        <w:rPr>
          <w:rFonts w:eastAsia="Times New Roman" w:cs="Times New Roman"/>
        </w:rPr>
        <w:t>frescoes</w:t>
      </w:r>
      <w:r w:rsidRPr="00771E6E">
        <w:rPr>
          <w:rFonts w:eastAsia="Times New Roman" w:cs="Times New Roman"/>
        </w:rPr>
        <w:t>, and so would have presented the opportunity for people from outside the Medici family and their entourage to view the decorations as well.</w:t>
      </w:r>
    </w:p>
    <w:p w14:paraId="02971553" w14:textId="77777777" w:rsidR="00310CB2" w:rsidRPr="00771E6E" w:rsidRDefault="00310CB2" w:rsidP="00310CB2">
      <w:pPr>
        <w:ind w:firstLine="720"/>
        <w:contextualSpacing/>
        <w:rPr>
          <w:rFonts w:eastAsia="Times New Roman" w:cs="Times New Roman"/>
        </w:rPr>
      </w:pPr>
      <w:r w:rsidRPr="00771E6E">
        <w:rPr>
          <w:rFonts w:eastAsia="Times New Roman" w:cs="Times New Roman"/>
        </w:rPr>
        <w:t xml:space="preserve">Hospitality was certainly a value of great importance for any patrician at this time, as can be understood from Giovanni </w:t>
      </w:r>
      <w:proofErr w:type="spellStart"/>
      <w:r w:rsidRPr="00771E6E">
        <w:rPr>
          <w:rFonts w:eastAsia="Times New Roman" w:cs="Times New Roman"/>
        </w:rPr>
        <w:t>Rucellai</w:t>
      </w:r>
      <w:proofErr w:type="spellEnd"/>
      <w:r w:rsidRPr="00771E6E">
        <w:rPr>
          <w:rFonts w:eastAsia="Times New Roman" w:cs="Times New Roman"/>
        </w:rPr>
        <w:t xml:space="preserve">, in his </w:t>
      </w:r>
      <w:proofErr w:type="spellStart"/>
      <w:r w:rsidRPr="00771E6E">
        <w:rPr>
          <w:rFonts w:eastAsia="Times New Roman" w:cs="Times New Roman"/>
          <w:i/>
        </w:rPr>
        <w:t>Zibaldone</w:t>
      </w:r>
      <w:proofErr w:type="spellEnd"/>
      <w:r w:rsidRPr="00771E6E">
        <w:rPr>
          <w:rFonts w:eastAsia="Times New Roman" w:cs="Times New Roman"/>
        </w:rPr>
        <w:t xml:space="preserve"> (Miscellany), in which he recommends that “in the house of a rich man numerous guests should be received and they should be </w:t>
      </w:r>
      <w:proofErr w:type="spellStart"/>
      <w:r w:rsidRPr="00771E6E">
        <w:rPr>
          <w:rFonts w:eastAsia="Times New Roman" w:cs="Times New Roman"/>
        </w:rPr>
        <w:t>honoured</w:t>
      </w:r>
      <w:proofErr w:type="spellEnd"/>
      <w:r w:rsidRPr="00771E6E">
        <w:rPr>
          <w:rFonts w:eastAsia="Times New Roman" w:cs="Times New Roman"/>
        </w:rPr>
        <w:t xml:space="preserve"> with generosity, for if one did otherwise the great house would be a </w:t>
      </w:r>
      <w:proofErr w:type="spellStart"/>
      <w:r w:rsidRPr="00771E6E">
        <w:rPr>
          <w:rFonts w:eastAsia="Times New Roman" w:cs="Times New Roman"/>
        </w:rPr>
        <w:t>dishonour</w:t>
      </w:r>
      <w:proofErr w:type="spellEnd"/>
      <w:r w:rsidRPr="00771E6E">
        <w:rPr>
          <w:rFonts w:eastAsia="Times New Roman" w:cs="Times New Roman"/>
        </w:rPr>
        <w:t xml:space="preserve"> to the owner”.</w:t>
      </w:r>
      <w:r w:rsidRPr="00771E6E">
        <w:rPr>
          <w:rStyle w:val="FootnoteReference"/>
        </w:rPr>
        <w:footnoteReference w:id="776"/>
      </w:r>
      <w:r w:rsidRPr="00771E6E">
        <w:rPr>
          <w:rFonts w:eastAsia="Times New Roman" w:cs="Times New Roman"/>
        </w:rPr>
        <w:t xml:space="preserve"> As such, it seems likely that the musical angels frescoed in the Medici chapel would have been seen by a number of different people in addition to family members and their relatives, including important personalities and dignitaries, as well as common citizens on special occasions. </w:t>
      </w:r>
      <w:bookmarkStart w:id="80" w:name="_Hlk3545154"/>
    </w:p>
    <w:p w14:paraId="7919D08A" w14:textId="77777777" w:rsidR="00310CB2" w:rsidRPr="00771E6E" w:rsidRDefault="00310CB2" w:rsidP="00310CB2">
      <w:pPr>
        <w:ind w:firstLine="720"/>
        <w:contextualSpacing/>
        <w:rPr>
          <w:rFonts w:eastAsia="Times New Roman" w:cs="Times New Roman"/>
        </w:rPr>
      </w:pPr>
    </w:p>
    <w:p w14:paraId="6E623199" w14:textId="77777777" w:rsidR="00310CB2" w:rsidRPr="00771E6E" w:rsidRDefault="00310CB2" w:rsidP="00182EED"/>
    <w:p w14:paraId="4815A7E7" w14:textId="77777777" w:rsidR="00FF3F91" w:rsidRPr="00771E6E" w:rsidRDefault="00FF3F91" w:rsidP="00FF3F91"/>
    <w:p w14:paraId="01D7235C" w14:textId="77777777" w:rsidR="00310CB2" w:rsidRPr="00771E6E" w:rsidRDefault="00310CB2" w:rsidP="00310CB2">
      <w:pPr>
        <w:pStyle w:val="Subchapter"/>
      </w:pPr>
      <w:bookmarkStart w:id="81" w:name="_Toc4330897"/>
      <w:bookmarkStart w:id="82" w:name="_Toc20167618"/>
      <w:r w:rsidRPr="00771E6E">
        <w:lastRenderedPageBreak/>
        <w:t>4.3 Musical Angels in Decorated Furniture</w:t>
      </w:r>
      <w:bookmarkEnd w:id="81"/>
      <w:bookmarkEnd w:id="82"/>
    </w:p>
    <w:bookmarkEnd w:id="80"/>
    <w:p w14:paraId="35743D1D" w14:textId="77777777" w:rsidR="00310CB2" w:rsidRPr="00771E6E" w:rsidRDefault="00310CB2" w:rsidP="00310CB2">
      <w:pPr>
        <w:contextualSpacing/>
        <w:rPr>
          <w:rFonts w:cs="Times New Roman"/>
        </w:rPr>
      </w:pPr>
    </w:p>
    <w:p w14:paraId="47596052" w14:textId="77777777" w:rsidR="00310CB2" w:rsidRPr="00771E6E" w:rsidRDefault="00310CB2" w:rsidP="00310CB2">
      <w:pPr>
        <w:contextualSpacing/>
        <w:rPr>
          <w:rFonts w:cs="Times New Roman"/>
          <w:color w:val="000000" w:themeColor="text1"/>
        </w:rPr>
      </w:pPr>
      <w:r w:rsidRPr="00771E6E">
        <w:rPr>
          <w:rFonts w:cs="Times New Roman"/>
          <w:color w:val="000000" w:themeColor="text1"/>
        </w:rPr>
        <w:t>Bedroom furniture, especially that which was dedicated to the storage of domestic goods, such as chests, was often highly decorated. Chests – or dowry chests, due to their association with marriages – were designed to stand against a wall, and were therefore decorated on their front, sides and interior, but not on their back.</w:t>
      </w:r>
      <w:r w:rsidRPr="00771E6E">
        <w:rPr>
          <w:rStyle w:val="FootnoteReference"/>
        </w:rPr>
        <w:footnoteReference w:id="777"/>
      </w:r>
      <w:r w:rsidRPr="00771E6E">
        <w:rPr>
          <w:rFonts w:cs="Times New Roman"/>
          <w:color w:val="000000" w:themeColor="text1"/>
        </w:rPr>
        <w:t xml:space="preserve"> Although the vocabulary used to describe such objects varied greatly, scholars have settled on the use of the term </w:t>
      </w:r>
      <w:r w:rsidRPr="00771E6E">
        <w:rPr>
          <w:rFonts w:cs="Times New Roman"/>
          <w:i/>
          <w:color w:val="000000" w:themeColor="text1"/>
        </w:rPr>
        <w:t>cassone</w:t>
      </w:r>
      <w:r w:rsidRPr="00771E6E">
        <w:rPr>
          <w:rFonts w:cs="Times New Roman"/>
          <w:color w:val="000000" w:themeColor="text1"/>
        </w:rPr>
        <w:t>, possibly in accordance with Vasari’s usage of the word.</w:t>
      </w:r>
      <w:r w:rsidRPr="00771E6E">
        <w:rPr>
          <w:rStyle w:val="FootnoteReference"/>
        </w:rPr>
        <w:footnoteReference w:id="778"/>
      </w:r>
      <w:r w:rsidRPr="00771E6E">
        <w:rPr>
          <w:rFonts w:cs="Times New Roman"/>
          <w:color w:val="000000" w:themeColor="text1"/>
        </w:rPr>
        <w:t xml:space="preserve"> While describing the talent of the painter </w:t>
      </w:r>
      <w:proofErr w:type="spellStart"/>
      <w:r w:rsidRPr="00771E6E">
        <w:rPr>
          <w:rFonts w:cs="Times New Roman"/>
          <w:color w:val="000000" w:themeColor="text1"/>
        </w:rPr>
        <w:t>Dello</w:t>
      </w:r>
      <w:proofErr w:type="spellEnd"/>
      <w:r w:rsidRPr="00771E6E">
        <w:rPr>
          <w:rFonts w:cs="Times New Roman"/>
          <w:color w:val="000000" w:themeColor="text1"/>
        </w:rPr>
        <w:t xml:space="preserve"> </w:t>
      </w:r>
      <w:proofErr w:type="spellStart"/>
      <w:r w:rsidRPr="00771E6E">
        <w:rPr>
          <w:rFonts w:cs="Times New Roman"/>
          <w:color w:val="000000" w:themeColor="text1"/>
        </w:rPr>
        <w:t>Delli</w:t>
      </w:r>
      <w:proofErr w:type="spellEnd"/>
      <w:r w:rsidRPr="00771E6E">
        <w:rPr>
          <w:rFonts w:cs="Times New Roman"/>
          <w:color w:val="000000" w:themeColor="text1"/>
        </w:rPr>
        <w:t xml:space="preserve"> in painting small scale figures, Vasari recounts the popularity enjoyed by these chests</w:t>
      </w:r>
      <w:r w:rsidRPr="00771E6E">
        <w:rPr>
          <w:rFonts w:cs="Times New Roman"/>
          <w:color w:val="000000" w:themeColor="text1"/>
          <w:lang w:val="it-IT"/>
        </w:rPr>
        <w:t>:</w:t>
      </w:r>
    </w:p>
    <w:p w14:paraId="4AD11204" w14:textId="77777777" w:rsidR="00310CB2" w:rsidRPr="00771E6E" w:rsidRDefault="00310CB2" w:rsidP="00310CB2">
      <w:pPr>
        <w:ind w:firstLine="360"/>
        <w:contextualSpacing/>
        <w:rPr>
          <w:rFonts w:cs="Times New Roman"/>
          <w:color w:val="000000" w:themeColor="text1"/>
        </w:rPr>
      </w:pPr>
    </w:p>
    <w:p w14:paraId="51ACF054" w14:textId="77777777" w:rsidR="00310CB2" w:rsidRPr="00771E6E" w:rsidRDefault="00310CB2" w:rsidP="00310CB2">
      <w:pPr>
        <w:pStyle w:val="IntenseQuote"/>
      </w:pPr>
      <w:r w:rsidRPr="00771E6E">
        <w:t xml:space="preserve">It was common for citizens at that time to have large wooden </w:t>
      </w:r>
      <w:r w:rsidRPr="00771E6E">
        <w:rPr>
          <w:i/>
        </w:rPr>
        <w:t>cassoni</w:t>
      </w:r>
      <w:r w:rsidRPr="00771E6E">
        <w:t xml:space="preserve"> in their chambers … and there were none that did not have the said chests painted … and the stories that were painted on the front were mostly tales from Ovid and other poets, or stories recounted by Greek and Latin historians.</w:t>
      </w:r>
      <w:r w:rsidRPr="00771E6E">
        <w:rPr>
          <w:rStyle w:val="FootnoteReference"/>
        </w:rPr>
        <w:footnoteReference w:id="779"/>
      </w:r>
    </w:p>
    <w:p w14:paraId="728CAE4A" w14:textId="77777777" w:rsidR="00310CB2" w:rsidRPr="00771E6E" w:rsidRDefault="00310CB2" w:rsidP="00310CB2">
      <w:pPr>
        <w:contextualSpacing/>
        <w:rPr>
          <w:rFonts w:cs="Times New Roman"/>
          <w:color w:val="000000" w:themeColor="text1"/>
        </w:rPr>
      </w:pPr>
    </w:p>
    <w:p w14:paraId="1A073CAE" w14:textId="77777777" w:rsidR="00310CB2" w:rsidRPr="00771E6E" w:rsidRDefault="00310CB2" w:rsidP="00310CB2">
      <w:pPr>
        <w:contextualSpacing/>
        <w:rPr>
          <w:rFonts w:cs="Times New Roman"/>
          <w:color w:val="000000" w:themeColor="text1"/>
        </w:rPr>
      </w:pPr>
      <w:r w:rsidRPr="00771E6E">
        <w:rPr>
          <w:rFonts w:cs="Times New Roman"/>
          <w:color w:val="000000" w:themeColor="text1"/>
        </w:rPr>
        <w:t xml:space="preserve">While a fairly large number of decorated </w:t>
      </w:r>
      <w:r w:rsidRPr="00771E6E">
        <w:rPr>
          <w:rFonts w:cs="Times New Roman"/>
          <w:i/>
          <w:color w:val="000000" w:themeColor="text1"/>
        </w:rPr>
        <w:t xml:space="preserve">cassoni </w:t>
      </w:r>
      <w:r w:rsidRPr="00771E6E">
        <w:rPr>
          <w:rFonts w:cs="Times New Roman"/>
          <w:color w:val="000000" w:themeColor="text1"/>
        </w:rPr>
        <w:t xml:space="preserve">have survived either whole or in part, corroborating Vasari’s statement, these chests were not the only pieces of furniture that could be decorated. Other pieces probably had worse luck in surviving, or are now difficult to differentiate from panels intended as independent pictures. On this subject, again in the </w:t>
      </w:r>
      <w:r w:rsidRPr="00771E6E">
        <w:rPr>
          <w:rFonts w:cs="Times New Roman"/>
          <w:i/>
          <w:color w:val="000000" w:themeColor="text1"/>
        </w:rPr>
        <w:t xml:space="preserve">Life of </w:t>
      </w:r>
      <w:proofErr w:type="spellStart"/>
      <w:r w:rsidRPr="00771E6E">
        <w:rPr>
          <w:rFonts w:cs="Times New Roman"/>
          <w:i/>
          <w:color w:val="000000" w:themeColor="text1"/>
        </w:rPr>
        <w:t>Dello</w:t>
      </w:r>
      <w:proofErr w:type="spellEnd"/>
      <w:r w:rsidRPr="00771E6E">
        <w:rPr>
          <w:rFonts w:cs="Times New Roman"/>
          <w:color w:val="000000" w:themeColor="text1"/>
        </w:rPr>
        <w:t>, Vasari notes that:</w:t>
      </w:r>
    </w:p>
    <w:p w14:paraId="22AF92FD" w14:textId="77777777" w:rsidR="00310CB2" w:rsidRPr="00771E6E" w:rsidRDefault="00310CB2" w:rsidP="00310CB2">
      <w:pPr>
        <w:contextualSpacing/>
        <w:rPr>
          <w:rFonts w:cs="Times New Roman"/>
          <w:color w:val="000000" w:themeColor="text1"/>
        </w:rPr>
      </w:pPr>
    </w:p>
    <w:p w14:paraId="44A6BB18" w14:textId="77777777" w:rsidR="00310CB2" w:rsidRPr="00771E6E" w:rsidRDefault="00310CB2" w:rsidP="00310CB2">
      <w:pPr>
        <w:pStyle w:val="IntenseQuote"/>
      </w:pPr>
      <w:r w:rsidRPr="00771E6E">
        <w:t xml:space="preserve">In such a manner were painted not only </w:t>
      </w:r>
      <w:r w:rsidRPr="00771E6E">
        <w:rPr>
          <w:i/>
        </w:rPr>
        <w:t>cassoni</w:t>
      </w:r>
      <w:r w:rsidRPr="00771E6E">
        <w:t xml:space="preserve">, but also </w:t>
      </w:r>
      <w:proofErr w:type="spellStart"/>
      <w:r w:rsidRPr="00771E6E">
        <w:rPr>
          <w:i/>
        </w:rPr>
        <w:t>lettucci</w:t>
      </w:r>
      <w:proofErr w:type="spellEnd"/>
      <w:r w:rsidRPr="00771E6E">
        <w:t xml:space="preserve"> [day beds], </w:t>
      </w:r>
      <w:proofErr w:type="spellStart"/>
      <w:r w:rsidRPr="00771E6E">
        <w:rPr>
          <w:i/>
        </w:rPr>
        <w:t>spalliere</w:t>
      </w:r>
      <w:proofErr w:type="spellEnd"/>
      <w:r w:rsidRPr="00771E6E">
        <w:t xml:space="preserve"> [wainscoting panels], </w:t>
      </w:r>
      <w:proofErr w:type="spellStart"/>
      <w:r w:rsidRPr="00771E6E">
        <w:rPr>
          <w:i/>
        </w:rPr>
        <w:t>cornici</w:t>
      </w:r>
      <w:proofErr w:type="spellEnd"/>
      <w:r w:rsidRPr="00771E6E">
        <w:t xml:space="preserve"> [</w:t>
      </w:r>
      <w:proofErr w:type="spellStart"/>
      <w:r w:rsidRPr="00771E6E">
        <w:t>mouldings</w:t>
      </w:r>
      <w:proofErr w:type="spellEnd"/>
      <w:r w:rsidRPr="00771E6E">
        <w:t>] around these, and other similar bedroom decorations that were splendidly used at that time, and an infinite number may be seen throughout the city. And the fact that this is true, has been demonstrated by a number of</w:t>
      </w:r>
      <w:r w:rsidRPr="00771E6E">
        <w:rPr>
          <w:rStyle w:val="CommentReference"/>
          <w:rFonts w:cs="Times New Roman"/>
          <w:sz w:val="24"/>
          <w:szCs w:val="24"/>
        </w:rPr>
        <w:t xml:space="preserve"> </w:t>
      </w:r>
      <w:r w:rsidRPr="00771E6E">
        <w:rPr>
          <w:i/>
        </w:rPr>
        <w:t>cassoni</w:t>
      </w:r>
      <w:r w:rsidRPr="00771E6E">
        <w:t xml:space="preserve">, </w:t>
      </w:r>
      <w:proofErr w:type="spellStart"/>
      <w:r w:rsidRPr="00771E6E">
        <w:rPr>
          <w:i/>
        </w:rPr>
        <w:t>spalliere</w:t>
      </w:r>
      <w:proofErr w:type="spellEnd"/>
      <w:r w:rsidRPr="00771E6E">
        <w:t xml:space="preserve"> and </w:t>
      </w:r>
      <w:proofErr w:type="spellStart"/>
      <w:r w:rsidRPr="00771E6E">
        <w:rPr>
          <w:i/>
        </w:rPr>
        <w:t>cornici</w:t>
      </w:r>
      <w:proofErr w:type="spellEnd"/>
      <w:r w:rsidRPr="00771E6E">
        <w:t xml:space="preserve"> that survived until now, in the chambers of the Magnificent Lorenzo de’ Medici, the Elder, where all the jousts, tournaments, hunting scenes, feasts and other spectacles that took place in his time were painted by the hand of … excellent masters, with judgement, invention and </w:t>
      </w:r>
      <w:proofErr w:type="spellStart"/>
      <w:r w:rsidRPr="00771E6E">
        <w:t>marvellous</w:t>
      </w:r>
      <w:proofErr w:type="spellEnd"/>
      <w:r w:rsidRPr="00771E6E">
        <w:t xml:space="preserve"> art. Relics of such things are still seen, not only in the </w:t>
      </w:r>
      <w:r w:rsidRPr="00771E6E">
        <w:lastRenderedPageBreak/>
        <w:t>palace and the old houses of the Medici, but in all the most noble houses in Florence.</w:t>
      </w:r>
      <w:r w:rsidRPr="00771E6E">
        <w:rPr>
          <w:rStyle w:val="FootnoteReference"/>
        </w:rPr>
        <w:footnoteReference w:id="780"/>
      </w:r>
    </w:p>
    <w:p w14:paraId="4B6450A0" w14:textId="77777777" w:rsidR="00310CB2" w:rsidRPr="00771E6E" w:rsidRDefault="00310CB2" w:rsidP="00310CB2">
      <w:pPr>
        <w:contextualSpacing/>
        <w:rPr>
          <w:rFonts w:cs="Times New Roman"/>
          <w:color w:val="000000" w:themeColor="text1"/>
        </w:rPr>
      </w:pPr>
    </w:p>
    <w:p w14:paraId="6275D9D9" w14:textId="77777777" w:rsidR="00310CB2" w:rsidRPr="00771E6E" w:rsidRDefault="00310CB2" w:rsidP="00310CB2">
      <w:pPr>
        <w:contextualSpacing/>
        <w:rPr>
          <w:rFonts w:cs="Times New Roman"/>
          <w:color w:val="000000" w:themeColor="text1"/>
        </w:rPr>
      </w:pPr>
      <w:r w:rsidRPr="00771E6E">
        <w:rPr>
          <w:rFonts w:cs="Times New Roman"/>
          <w:color w:val="000000" w:themeColor="text1"/>
        </w:rPr>
        <w:t xml:space="preserve">As noted earlier in relation to Apollonio di Giovanni, a single workshop was sometimes able to </w:t>
      </w:r>
      <w:proofErr w:type="spellStart"/>
      <w:r w:rsidRPr="00771E6E">
        <w:rPr>
          <w:rFonts w:cs="Times New Roman"/>
          <w:color w:val="000000" w:themeColor="text1"/>
        </w:rPr>
        <w:t>realise</w:t>
      </w:r>
      <w:proofErr w:type="spellEnd"/>
      <w:r w:rsidRPr="00771E6E">
        <w:rPr>
          <w:rFonts w:cs="Times New Roman"/>
          <w:color w:val="000000" w:themeColor="text1"/>
        </w:rPr>
        <w:t xml:space="preserve"> the decoration for an entire room. As recorded by Vasari, </w:t>
      </w:r>
      <w:proofErr w:type="spellStart"/>
      <w:r w:rsidRPr="00771E6E">
        <w:rPr>
          <w:rFonts w:cs="Times New Roman"/>
          <w:color w:val="000000" w:themeColor="text1"/>
        </w:rPr>
        <w:t>Dello</w:t>
      </w:r>
      <w:proofErr w:type="spellEnd"/>
      <w:r w:rsidRPr="00771E6E">
        <w:rPr>
          <w:rFonts w:cs="Times New Roman"/>
          <w:color w:val="000000" w:themeColor="text1"/>
        </w:rPr>
        <w:t xml:space="preserve"> </w:t>
      </w:r>
      <w:proofErr w:type="spellStart"/>
      <w:r w:rsidRPr="00771E6E">
        <w:rPr>
          <w:rFonts w:cs="Times New Roman"/>
          <w:color w:val="000000" w:themeColor="text1"/>
        </w:rPr>
        <w:t>Delli</w:t>
      </w:r>
      <w:proofErr w:type="spellEnd"/>
      <w:r w:rsidRPr="00771E6E">
        <w:rPr>
          <w:rFonts w:cs="Times New Roman"/>
          <w:color w:val="000000" w:themeColor="text1"/>
        </w:rPr>
        <w:t xml:space="preserve"> himself was charged with the decoration of all the furniture for a room belonging to Giovanni de’ Medici, possibly with assistance from a young Donatello, the result of which was considered to be “a truly extraordinary thing”</w:t>
      </w:r>
      <w:r w:rsidRPr="00771E6E">
        <w:rPr>
          <w:rFonts w:cs="Times New Roman"/>
          <w:color w:val="000000" w:themeColor="text1"/>
          <w:lang w:val="it-IT"/>
        </w:rPr>
        <w:t xml:space="preserve"> (</w:t>
      </w:r>
      <w:r w:rsidRPr="00771E6E">
        <w:rPr>
          <w:rFonts w:cs="Times New Roman"/>
          <w:i/>
          <w:color w:val="000000" w:themeColor="text1"/>
          <w:lang w:val="it-IT"/>
        </w:rPr>
        <w:t>cosa veramente rara</w:t>
      </w:r>
      <w:r w:rsidRPr="00771E6E">
        <w:rPr>
          <w:rFonts w:cs="Times New Roman"/>
          <w:color w:val="000000" w:themeColor="text1"/>
          <w:lang w:val="it-IT"/>
        </w:rPr>
        <w:t>).</w:t>
      </w:r>
      <w:r w:rsidRPr="00771E6E">
        <w:rPr>
          <w:rStyle w:val="FootnoteReference"/>
        </w:rPr>
        <w:footnoteReference w:id="781"/>
      </w:r>
    </w:p>
    <w:p w14:paraId="5E333DDC" w14:textId="77777777" w:rsidR="00310CB2" w:rsidRPr="00771E6E" w:rsidRDefault="00310CB2" w:rsidP="00310CB2">
      <w:pPr>
        <w:ind w:firstLine="720"/>
        <w:contextualSpacing/>
        <w:rPr>
          <w:rFonts w:cs="Times New Roman"/>
          <w:color w:val="000000" w:themeColor="text1"/>
        </w:rPr>
      </w:pPr>
      <w:r w:rsidRPr="00771E6E">
        <w:rPr>
          <w:rFonts w:cs="Times New Roman"/>
          <w:color w:val="000000" w:themeColor="text1"/>
        </w:rPr>
        <w:t xml:space="preserve">The ornamentation of these furniture pieces certainly contributed to making them beautiful objects and thanks to this they were able to perform several, equally important functions simultaneously. In addition to the obvious practical use of these objects for the provision of material storage, James </w:t>
      </w:r>
      <w:proofErr w:type="spellStart"/>
      <w:r w:rsidRPr="00771E6E">
        <w:rPr>
          <w:rFonts w:cs="Times New Roman"/>
          <w:color w:val="000000" w:themeColor="text1"/>
        </w:rPr>
        <w:t>Lindow</w:t>
      </w:r>
      <w:proofErr w:type="spellEnd"/>
      <w:r w:rsidRPr="00771E6E">
        <w:rPr>
          <w:rFonts w:cs="Times New Roman"/>
          <w:color w:val="000000" w:themeColor="text1"/>
        </w:rPr>
        <w:t xml:space="preserve"> has suggested that these pieces, used during the first half of the fifteenth century to transport a bride’s dowry from her original residence to that of her new husband on the day of their marriage, would not only have communicated the new alliance of families to the bystanders that witnessed their journey through the city, but also served as a persistent, daily reminder for the couple themselves once fitted into their bedchamber.</w:t>
      </w:r>
      <w:r w:rsidRPr="00771E6E">
        <w:rPr>
          <w:rStyle w:val="FootnoteReference"/>
        </w:rPr>
        <w:footnoteReference w:id="782"/>
      </w:r>
      <w:r w:rsidRPr="00771E6E">
        <w:rPr>
          <w:rFonts w:cs="Times New Roman"/>
          <w:color w:val="000000" w:themeColor="text1"/>
        </w:rPr>
        <w:t xml:space="preserve"> Additionally, beautifully decorated objects could be acquired simply for their intrinsic visual value, both for the enjoyment of the owner and to impress their guests. As Giovanni </w:t>
      </w:r>
      <w:proofErr w:type="spellStart"/>
      <w:r w:rsidRPr="00771E6E">
        <w:rPr>
          <w:rFonts w:cs="Times New Roman"/>
          <w:color w:val="000000" w:themeColor="text1"/>
        </w:rPr>
        <w:t>Pontano</w:t>
      </w:r>
      <w:proofErr w:type="spellEnd"/>
      <w:r w:rsidRPr="00771E6E">
        <w:rPr>
          <w:rFonts w:cs="Times New Roman"/>
          <w:color w:val="000000" w:themeColor="text1"/>
        </w:rPr>
        <w:t xml:space="preserve">, cultural and political adviser to the King of Naples, stated in his </w:t>
      </w:r>
      <w:r w:rsidRPr="00771E6E">
        <w:rPr>
          <w:rFonts w:cs="Times New Roman"/>
          <w:i/>
          <w:color w:val="000000" w:themeColor="text1"/>
        </w:rPr>
        <w:t xml:space="preserve">De </w:t>
      </w:r>
      <w:proofErr w:type="spellStart"/>
      <w:r w:rsidRPr="00771E6E">
        <w:rPr>
          <w:rFonts w:cs="Times New Roman"/>
          <w:i/>
          <w:color w:val="000000" w:themeColor="text1"/>
        </w:rPr>
        <w:t>Splendore</w:t>
      </w:r>
      <w:proofErr w:type="spellEnd"/>
      <w:r w:rsidRPr="00771E6E">
        <w:rPr>
          <w:rFonts w:cs="Times New Roman"/>
          <w:color w:val="000000" w:themeColor="text1"/>
        </w:rPr>
        <w:t xml:space="preserve"> (On </w:t>
      </w:r>
      <w:proofErr w:type="spellStart"/>
      <w:r w:rsidRPr="00771E6E">
        <w:rPr>
          <w:rFonts w:cs="Times New Roman"/>
          <w:color w:val="000000" w:themeColor="text1"/>
        </w:rPr>
        <w:t>Splendour</w:t>
      </w:r>
      <w:proofErr w:type="spellEnd"/>
      <w:r w:rsidRPr="00771E6E">
        <w:rPr>
          <w:rFonts w:cs="Times New Roman"/>
          <w:color w:val="000000" w:themeColor="text1"/>
        </w:rPr>
        <w:t>) of 1498:</w:t>
      </w:r>
    </w:p>
    <w:p w14:paraId="6ED90D91" w14:textId="77777777" w:rsidR="00310CB2" w:rsidRPr="00771E6E" w:rsidRDefault="00310CB2" w:rsidP="00310CB2">
      <w:pPr>
        <w:contextualSpacing/>
        <w:rPr>
          <w:rFonts w:cs="Times New Roman"/>
          <w:color w:val="000000" w:themeColor="text1"/>
        </w:rPr>
      </w:pPr>
    </w:p>
    <w:p w14:paraId="17EA5C0E" w14:textId="77777777" w:rsidR="00310CB2" w:rsidRPr="00771E6E" w:rsidRDefault="00310CB2" w:rsidP="00310CB2">
      <w:pPr>
        <w:pStyle w:val="IntenseQuote"/>
      </w:pPr>
      <w:r w:rsidRPr="00771E6E">
        <w:t>The splendid man should not only ensure that he has worthy and elegant furnishings and that his home has abundant ornaments, but as it is even more shameful if he is unprepared for either private or public service, he will have very many things in the house for these occasions when he needs to demonstrate his polish.</w:t>
      </w:r>
      <w:r w:rsidRPr="00771E6E">
        <w:rPr>
          <w:rStyle w:val="FootnoteReference"/>
        </w:rPr>
        <w:footnoteReference w:id="783"/>
      </w:r>
    </w:p>
    <w:p w14:paraId="14DA399D" w14:textId="77777777" w:rsidR="00310CB2" w:rsidRPr="00771E6E" w:rsidRDefault="00310CB2" w:rsidP="00310CB2">
      <w:pPr>
        <w:contextualSpacing/>
        <w:rPr>
          <w:rFonts w:cs="Times New Roman"/>
          <w:color w:val="000000" w:themeColor="text1"/>
        </w:rPr>
      </w:pPr>
    </w:p>
    <w:p w14:paraId="12E0FC2D" w14:textId="77777777" w:rsidR="00310CB2" w:rsidRPr="00771E6E" w:rsidRDefault="00310CB2" w:rsidP="00310CB2">
      <w:pPr>
        <w:contextualSpacing/>
        <w:rPr>
          <w:rFonts w:cs="Times New Roman"/>
          <w:color w:val="000000" w:themeColor="text1"/>
        </w:rPr>
      </w:pPr>
      <w:r w:rsidRPr="00771E6E">
        <w:rPr>
          <w:rFonts w:cs="Times New Roman"/>
          <w:color w:val="000000" w:themeColor="text1"/>
        </w:rPr>
        <w:t>Thus, a domestic object was acquired for practical use, but also for its symbolic meaning and its beauty. To these functions, we can add a moralistic purpose, fulfilled by the images painted or carved on the surface of the panels of which chests were composed, as seen in Chapter 1.4.</w:t>
      </w:r>
    </w:p>
    <w:p w14:paraId="5C371067" w14:textId="13842B54" w:rsidR="00310CB2" w:rsidRPr="00771E6E" w:rsidRDefault="00310CB2" w:rsidP="00310CB2">
      <w:pPr>
        <w:pStyle w:val="NormalWeb"/>
        <w:spacing w:before="0" w:beforeAutospacing="0" w:after="0" w:afterAutospacing="0"/>
        <w:ind w:firstLine="720"/>
        <w:contextualSpacing/>
        <w:rPr>
          <w:color w:val="000000" w:themeColor="text1"/>
        </w:rPr>
      </w:pPr>
      <w:r w:rsidRPr="00771E6E">
        <w:rPr>
          <w:color w:val="000000" w:themeColor="text1"/>
        </w:rPr>
        <w:t xml:space="preserve">These depictions would often include childlike figures. Alongside the musical angels on devotional panels, which have been discussed in the previous section, </w:t>
      </w:r>
      <w:proofErr w:type="spellStart"/>
      <w:r w:rsidRPr="00771E6E">
        <w:rPr>
          <w:color w:val="000000" w:themeColor="text1"/>
        </w:rPr>
        <w:t>Apollonio’s</w:t>
      </w:r>
      <w:proofErr w:type="spellEnd"/>
      <w:r w:rsidRPr="00771E6E">
        <w:rPr>
          <w:color w:val="000000" w:themeColor="text1"/>
        </w:rPr>
        <w:t xml:space="preserve"> workshop also produced a large number of </w:t>
      </w:r>
      <w:r w:rsidRPr="00771E6E">
        <w:rPr>
          <w:i/>
          <w:color w:val="000000" w:themeColor="text1"/>
        </w:rPr>
        <w:t>cassoni</w:t>
      </w:r>
      <w:r w:rsidRPr="00771E6E">
        <w:rPr>
          <w:color w:val="000000" w:themeColor="text1"/>
        </w:rPr>
        <w:t xml:space="preserve"> painted with figures with childlike features, often holding escutcheons which were decorated with the coats of arms belonging to the family who commissioned the piece. A </w:t>
      </w:r>
      <w:r w:rsidRPr="00771E6E">
        <w:rPr>
          <w:i/>
          <w:color w:val="000000" w:themeColor="text1"/>
        </w:rPr>
        <w:t>cassone</w:t>
      </w:r>
      <w:r w:rsidRPr="00771E6E">
        <w:rPr>
          <w:color w:val="000000" w:themeColor="text1"/>
        </w:rPr>
        <w:t xml:space="preserve"> decorated with </w:t>
      </w:r>
      <w:r w:rsidRPr="00771E6E">
        <w:rPr>
          <w:i/>
          <w:color w:val="000000" w:themeColor="text1"/>
        </w:rPr>
        <w:t>The Meeting of King Salomon and the Queen of Sheba</w:t>
      </w:r>
      <w:r w:rsidRPr="00771E6E">
        <w:rPr>
          <w:color w:val="000000" w:themeColor="text1"/>
        </w:rPr>
        <w:t xml:space="preserve"> on the frontal panel, now kept at the Victoria and Albert Museum, could perhaps be ascribed to </w:t>
      </w:r>
      <w:proofErr w:type="spellStart"/>
      <w:r w:rsidRPr="00771E6E">
        <w:rPr>
          <w:color w:val="000000" w:themeColor="text1"/>
        </w:rPr>
        <w:t>Apollonio’s</w:t>
      </w:r>
      <w:proofErr w:type="spellEnd"/>
      <w:r w:rsidRPr="00771E6E">
        <w:rPr>
          <w:color w:val="000000" w:themeColor="text1"/>
        </w:rPr>
        <w:t xml:space="preserve"> circle (fig. 4.20).</w:t>
      </w:r>
      <w:r w:rsidRPr="00771E6E">
        <w:rPr>
          <w:rStyle w:val="FootnoteReference"/>
        </w:rPr>
        <w:footnoteReference w:id="784"/>
      </w:r>
      <w:r w:rsidRPr="00771E6E">
        <w:rPr>
          <w:color w:val="000000" w:themeColor="text1"/>
        </w:rPr>
        <w:t xml:space="preserve"> However, the attribution is debated for stylistic reasons, and Attilio Schiaparelli has noticed affinities with other panels that he ascribed to an “imitator of </w:t>
      </w:r>
      <w:proofErr w:type="spellStart"/>
      <w:r w:rsidRPr="00771E6E">
        <w:rPr>
          <w:color w:val="000000" w:themeColor="text1"/>
        </w:rPr>
        <w:t>Pesellino</w:t>
      </w:r>
      <w:proofErr w:type="spellEnd"/>
      <w:r w:rsidRPr="00771E6E">
        <w:rPr>
          <w:color w:val="000000" w:themeColor="text1"/>
        </w:rPr>
        <w:t xml:space="preserve">” such as another </w:t>
      </w:r>
      <w:r w:rsidRPr="00771E6E">
        <w:rPr>
          <w:i/>
          <w:color w:val="000000" w:themeColor="text1"/>
        </w:rPr>
        <w:t>cassone</w:t>
      </w:r>
      <w:r w:rsidRPr="00771E6E">
        <w:rPr>
          <w:color w:val="000000" w:themeColor="text1"/>
        </w:rPr>
        <w:t xml:space="preserve"> with the same subject that is now in the Yale University Art Gallery.</w:t>
      </w:r>
      <w:r w:rsidRPr="00771E6E">
        <w:rPr>
          <w:rStyle w:val="FootnoteReference"/>
        </w:rPr>
        <w:footnoteReference w:id="785"/>
      </w:r>
      <w:r w:rsidRPr="00771E6E">
        <w:rPr>
          <w:color w:val="000000" w:themeColor="text1"/>
        </w:rPr>
        <w:t xml:space="preserve"> Two pairs of winged musical childlike figures, respectively playing the cymbals and lute, and the </w:t>
      </w:r>
      <w:proofErr w:type="spellStart"/>
      <w:r w:rsidRPr="00771E6E">
        <w:rPr>
          <w:color w:val="000000" w:themeColor="text1"/>
        </w:rPr>
        <w:t>viella</w:t>
      </w:r>
      <w:proofErr w:type="spellEnd"/>
      <w:r w:rsidRPr="00771E6E">
        <w:rPr>
          <w:color w:val="000000" w:themeColor="text1"/>
        </w:rPr>
        <w:t xml:space="preserve"> and </w:t>
      </w:r>
      <w:proofErr w:type="spellStart"/>
      <w:r w:rsidRPr="00771E6E">
        <w:rPr>
          <w:color w:val="000000" w:themeColor="text1"/>
        </w:rPr>
        <w:t>shawm</w:t>
      </w:r>
      <w:proofErr w:type="spellEnd"/>
      <w:r w:rsidRPr="00771E6E">
        <w:rPr>
          <w:color w:val="000000" w:themeColor="text1"/>
        </w:rPr>
        <w:t xml:space="preserve">, are painted on the end panels. Unlike most fifteenth-century </w:t>
      </w:r>
      <w:r w:rsidRPr="00771E6E">
        <w:rPr>
          <w:i/>
          <w:color w:val="000000" w:themeColor="text1"/>
        </w:rPr>
        <w:t>cassoni</w:t>
      </w:r>
      <w:r w:rsidRPr="00771E6E">
        <w:rPr>
          <w:color w:val="000000" w:themeColor="text1"/>
        </w:rPr>
        <w:t>, which were usually deconstructed at some point in their history with unrelated parts then assembled into a single chest, or which underwent heavy restoration and alteration, this chest has survived largely in its original form, although some of the mouldings and the gilding are modern.</w:t>
      </w:r>
      <w:r w:rsidRPr="00771E6E">
        <w:rPr>
          <w:rStyle w:val="FootnoteReference"/>
        </w:rPr>
        <w:footnoteReference w:id="786"/>
      </w:r>
      <w:r w:rsidRPr="00771E6E">
        <w:rPr>
          <w:color w:val="000000" w:themeColor="text1"/>
        </w:rPr>
        <w:t xml:space="preserve"> The images displayed on </w:t>
      </w:r>
      <w:r w:rsidRPr="00771E6E">
        <w:rPr>
          <w:i/>
          <w:color w:val="000000" w:themeColor="text1"/>
        </w:rPr>
        <w:t>casson</w:t>
      </w:r>
      <w:r w:rsidR="003F25F4" w:rsidRPr="00771E6E">
        <w:rPr>
          <w:i/>
          <w:color w:val="000000" w:themeColor="text1"/>
        </w:rPr>
        <w:t>i</w:t>
      </w:r>
      <w:r w:rsidRPr="00771E6E">
        <w:rPr>
          <w:color w:val="000000" w:themeColor="text1"/>
        </w:rPr>
        <w:t xml:space="preserve"> would have been clearly visible to children</w:t>
      </w:r>
      <w:r w:rsidR="003F25F4" w:rsidRPr="00771E6E">
        <w:rPr>
          <w:color w:val="000000" w:themeColor="text1"/>
        </w:rPr>
        <w:t xml:space="preserve"> thanks to their lower vantage point</w:t>
      </w:r>
      <w:r w:rsidRPr="00771E6E">
        <w:rPr>
          <w:color w:val="000000" w:themeColor="text1"/>
        </w:rPr>
        <w:t xml:space="preserve">, </w:t>
      </w:r>
      <w:r w:rsidR="00DD6DE8" w:rsidRPr="00771E6E">
        <w:rPr>
          <w:color w:val="000000" w:themeColor="text1"/>
        </w:rPr>
        <w:t xml:space="preserve">and, </w:t>
      </w:r>
      <w:r w:rsidR="003F25F4" w:rsidRPr="00771E6E">
        <w:rPr>
          <w:color w:val="000000" w:themeColor="text1"/>
        </w:rPr>
        <w:t xml:space="preserve">as </w:t>
      </w:r>
      <w:r w:rsidR="00077B34" w:rsidRPr="00771E6E">
        <w:rPr>
          <w:color w:val="000000" w:themeColor="text1"/>
        </w:rPr>
        <w:t xml:space="preserve">noted by </w:t>
      </w:r>
      <w:r w:rsidR="003F25F4" w:rsidRPr="00771E6E">
        <w:rPr>
          <w:color w:val="000000" w:themeColor="text1"/>
        </w:rPr>
        <w:t>Adrian Randolph</w:t>
      </w:r>
      <w:r w:rsidR="00DD6DE8" w:rsidRPr="00771E6E">
        <w:rPr>
          <w:color w:val="000000" w:themeColor="text1"/>
        </w:rPr>
        <w:t>, parents would have been able to use the</w:t>
      </w:r>
      <w:r w:rsidR="00077B34" w:rsidRPr="00771E6E">
        <w:rPr>
          <w:color w:val="000000" w:themeColor="text1"/>
        </w:rPr>
        <w:t>se</w:t>
      </w:r>
      <w:r w:rsidR="00DD6DE8" w:rsidRPr="00771E6E">
        <w:rPr>
          <w:color w:val="000000" w:themeColor="text1"/>
        </w:rPr>
        <w:t xml:space="preserve"> to impart moral lessons</w:t>
      </w:r>
      <w:r w:rsidR="003F25F4" w:rsidRPr="00771E6E">
        <w:rPr>
          <w:color w:val="000000" w:themeColor="text1"/>
        </w:rPr>
        <w:t>.</w:t>
      </w:r>
      <w:r w:rsidR="003F25F4" w:rsidRPr="00771E6E">
        <w:rPr>
          <w:rStyle w:val="FootnoteReference"/>
          <w:color w:val="000000" w:themeColor="text1"/>
        </w:rPr>
        <w:footnoteReference w:id="787"/>
      </w:r>
      <w:r w:rsidR="003F25F4" w:rsidRPr="00771E6E">
        <w:rPr>
          <w:color w:val="000000" w:themeColor="text1"/>
        </w:rPr>
        <w:t xml:space="preserve"> In this particular case, it is easy to imagine how children</w:t>
      </w:r>
      <w:r w:rsidRPr="00771E6E">
        <w:rPr>
          <w:color w:val="000000" w:themeColor="text1"/>
        </w:rPr>
        <w:t xml:space="preserve"> would have been able to scrutinise the childlike figures on the end panels in detail</w:t>
      </w:r>
      <w:r w:rsidR="003F25F4" w:rsidRPr="00771E6E">
        <w:rPr>
          <w:color w:val="000000" w:themeColor="text1"/>
        </w:rPr>
        <w:t>, and recognise them as similar to themselves.</w:t>
      </w:r>
    </w:p>
    <w:p w14:paraId="477D3940" w14:textId="77777777" w:rsidR="00310CB2" w:rsidRPr="00771E6E" w:rsidRDefault="00310CB2" w:rsidP="00310CB2">
      <w:pPr>
        <w:pStyle w:val="NormalWeb"/>
        <w:spacing w:before="0" w:beforeAutospacing="0" w:after="0" w:afterAutospacing="0"/>
        <w:ind w:firstLine="720"/>
        <w:contextualSpacing/>
        <w:rPr>
          <w:color w:val="000000" w:themeColor="text1"/>
        </w:rPr>
      </w:pPr>
      <w:r w:rsidRPr="00771E6E">
        <w:rPr>
          <w:color w:val="000000" w:themeColor="text1"/>
        </w:rPr>
        <w:t xml:space="preserve">Furthermore, Apollonio himself touched upon music in a </w:t>
      </w:r>
      <w:r w:rsidRPr="00771E6E">
        <w:rPr>
          <w:i/>
          <w:color w:val="000000" w:themeColor="text1"/>
        </w:rPr>
        <w:t xml:space="preserve">desco da parto </w:t>
      </w:r>
      <w:r w:rsidRPr="00771E6E">
        <w:rPr>
          <w:color w:val="000000" w:themeColor="text1"/>
        </w:rPr>
        <w:t xml:space="preserve">with the </w:t>
      </w:r>
      <w:r w:rsidRPr="00771E6E">
        <w:rPr>
          <w:i/>
          <w:color w:val="000000" w:themeColor="text1"/>
        </w:rPr>
        <w:t>Allegory of Music</w:t>
      </w:r>
      <w:r w:rsidRPr="00771E6E">
        <w:rPr>
          <w:color w:val="000000" w:themeColor="text1"/>
        </w:rPr>
        <w:t xml:space="preserve"> on the obverse and putti on the reverse, which is dated earlier than the devotional panels described above, and was possibly made for the </w:t>
      </w:r>
      <w:proofErr w:type="spellStart"/>
      <w:r w:rsidRPr="00771E6E">
        <w:rPr>
          <w:color w:val="000000" w:themeColor="text1"/>
        </w:rPr>
        <w:t>Ceparelli</w:t>
      </w:r>
      <w:proofErr w:type="spellEnd"/>
      <w:r w:rsidRPr="00771E6E">
        <w:rPr>
          <w:color w:val="000000" w:themeColor="text1"/>
        </w:rPr>
        <w:t xml:space="preserve"> and </w:t>
      </w:r>
      <w:proofErr w:type="spellStart"/>
      <w:r w:rsidRPr="00771E6E">
        <w:rPr>
          <w:color w:val="000000" w:themeColor="text1"/>
        </w:rPr>
        <w:t>Doffi</w:t>
      </w:r>
      <w:proofErr w:type="spellEnd"/>
      <w:r w:rsidRPr="00771E6E">
        <w:rPr>
          <w:color w:val="000000" w:themeColor="text1"/>
        </w:rPr>
        <w:t xml:space="preserve"> </w:t>
      </w:r>
      <w:r w:rsidRPr="00771E6E">
        <w:rPr>
          <w:color w:val="000000" w:themeColor="text1"/>
        </w:rPr>
        <w:lastRenderedPageBreak/>
        <w:t>families (fig. 4.21).</w:t>
      </w:r>
      <w:r w:rsidRPr="00771E6E">
        <w:rPr>
          <w:rStyle w:val="FootnoteReference"/>
        </w:rPr>
        <w:footnoteReference w:id="788"/>
      </w:r>
      <w:r w:rsidRPr="00771E6E">
        <w:rPr>
          <w:color w:val="000000" w:themeColor="text1"/>
        </w:rPr>
        <w:t xml:space="preserve"> Much like the </w:t>
      </w:r>
      <w:r w:rsidRPr="00771E6E">
        <w:rPr>
          <w:i/>
          <w:color w:val="000000" w:themeColor="text1"/>
        </w:rPr>
        <w:t>cassone</w:t>
      </w:r>
      <w:r w:rsidRPr="00771E6E">
        <w:rPr>
          <w:color w:val="000000" w:themeColor="text1"/>
        </w:rPr>
        <w:t xml:space="preserve"> with musical putti, this </w:t>
      </w:r>
      <w:r w:rsidRPr="00771E6E">
        <w:rPr>
          <w:i/>
          <w:color w:val="000000" w:themeColor="text1"/>
        </w:rPr>
        <w:t>desco</w:t>
      </w:r>
      <w:r w:rsidRPr="00771E6E">
        <w:rPr>
          <w:color w:val="000000" w:themeColor="text1"/>
        </w:rPr>
        <w:t xml:space="preserve"> would likely have been part of the furnishings of a bedchamber, and so would have been visible to most members of the household on a regular basis, including the family’s children.</w:t>
      </w:r>
    </w:p>
    <w:p w14:paraId="2A0A336E" w14:textId="53E092D4" w:rsidR="00310CB2" w:rsidRPr="00771E6E" w:rsidRDefault="00310CB2" w:rsidP="00310CB2">
      <w:pPr>
        <w:pStyle w:val="NormalWeb"/>
        <w:spacing w:before="0" w:beforeAutospacing="0" w:after="0" w:afterAutospacing="0"/>
        <w:ind w:firstLine="720"/>
        <w:contextualSpacing/>
      </w:pPr>
      <w:r w:rsidRPr="00771E6E">
        <w:rPr>
          <w:color w:val="000000" w:themeColor="text1"/>
        </w:rPr>
        <w:t xml:space="preserve">As seen above, other pieces of furniture could also have been decorated. A small </w:t>
      </w:r>
      <w:r w:rsidR="0013288E" w:rsidRPr="00771E6E">
        <w:rPr>
          <w:color w:val="000000" w:themeColor="text1"/>
        </w:rPr>
        <w:t>(30.5</w:t>
      </w:r>
      <w:r w:rsidR="008B2F9F" w:rsidRPr="00771E6E">
        <w:rPr>
          <w:color w:val="000000" w:themeColor="text1"/>
        </w:rPr>
        <w:t xml:space="preserve"> by </w:t>
      </w:r>
      <w:r w:rsidR="0013288E" w:rsidRPr="00771E6E">
        <w:rPr>
          <w:color w:val="000000" w:themeColor="text1"/>
        </w:rPr>
        <w:t>36</w:t>
      </w:r>
      <w:r w:rsidR="008B2F9F" w:rsidRPr="00771E6E">
        <w:rPr>
          <w:color w:val="000000" w:themeColor="text1"/>
        </w:rPr>
        <w:t>cm</w:t>
      </w:r>
      <w:r w:rsidR="0013288E" w:rsidRPr="00771E6E">
        <w:rPr>
          <w:color w:val="000000" w:themeColor="text1"/>
        </w:rPr>
        <w:t xml:space="preserve">) </w:t>
      </w:r>
      <w:r w:rsidRPr="00771E6E">
        <w:rPr>
          <w:color w:val="000000" w:themeColor="text1"/>
        </w:rPr>
        <w:t xml:space="preserve">painted panel by the Sienese Giovanni di Paolo from around 1453 with the scene of the Birth of Saint John the Baptist, now kept at the National Gallery, London, provides an indication of the way beds could be painted (fig. 4.22). This panel was part of a </w:t>
      </w:r>
      <w:proofErr w:type="spellStart"/>
      <w:r w:rsidRPr="00771E6E">
        <w:rPr>
          <w:i/>
          <w:color w:val="000000" w:themeColor="text1"/>
        </w:rPr>
        <w:t>predella</w:t>
      </w:r>
      <w:proofErr w:type="spellEnd"/>
      <w:r w:rsidRPr="00771E6E">
        <w:rPr>
          <w:color w:val="000000" w:themeColor="text1"/>
        </w:rPr>
        <w:t xml:space="preserve"> to an altarpiece dedicated to Saint John the Baptist, probably that of the </w:t>
      </w:r>
      <w:r w:rsidRPr="00771E6E">
        <w:rPr>
          <w:i/>
          <w:color w:val="000000" w:themeColor="text1"/>
        </w:rPr>
        <w:t xml:space="preserve">Virgin and Child with Saints </w:t>
      </w:r>
      <w:r w:rsidRPr="00771E6E">
        <w:rPr>
          <w:color w:val="000000" w:themeColor="text1"/>
        </w:rPr>
        <w:t>now in the Metropolitan Museum of Art, New York.</w:t>
      </w:r>
      <w:r w:rsidRPr="00771E6E">
        <w:rPr>
          <w:rStyle w:val="FootnoteReference"/>
        </w:rPr>
        <w:footnoteReference w:id="789"/>
      </w:r>
      <w:r w:rsidRPr="00771E6E">
        <w:rPr>
          <w:color w:val="000000" w:themeColor="text1"/>
        </w:rPr>
        <w:t xml:space="preserve"> In this, musical angels decorate both the headboard and the front panel of Saint Elizabeth’s bed. Although it is probable that this panel is not depicting a real bed, it is known that in the fifteenth century beds were occasionally painted. For example, the bed commissioned by Salvi </w:t>
      </w:r>
      <w:proofErr w:type="spellStart"/>
      <w:r w:rsidRPr="00771E6E">
        <w:rPr>
          <w:color w:val="000000" w:themeColor="text1"/>
        </w:rPr>
        <w:t>Borgherini</w:t>
      </w:r>
      <w:proofErr w:type="spellEnd"/>
      <w:r w:rsidRPr="00771E6E">
        <w:rPr>
          <w:color w:val="000000" w:themeColor="text1"/>
        </w:rPr>
        <w:t xml:space="preserve"> in 1515 as part of his son </w:t>
      </w:r>
      <w:proofErr w:type="spellStart"/>
      <w:r w:rsidRPr="00771E6E">
        <w:rPr>
          <w:color w:val="000000" w:themeColor="text1"/>
        </w:rPr>
        <w:t>Pierfrancesco’s</w:t>
      </w:r>
      <w:proofErr w:type="spellEnd"/>
      <w:r w:rsidRPr="00771E6E">
        <w:rPr>
          <w:color w:val="000000" w:themeColor="text1"/>
        </w:rPr>
        <w:t xml:space="preserve"> matrimonial furniture was decorated with scenes from the biblical story of Joseph, in a very elaborate narrative that linked it to several other scenes decorated on different pieces of furniture, including the wall panelling and </w:t>
      </w:r>
      <w:r w:rsidRPr="00771E6E">
        <w:rPr>
          <w:i/>
          <w:color w:val="000000" w:themeColor="text1"/>
        </w:rPr>
        <w:t>cassoni</w:t>
      </w:r>
      <w:r w:rsidRPr="00771E6E">
        <w:rPr>
          <w:color w:val="000000" w:themeColor="text1"/>
        </w:rPr>
        <w:t>.</w:t>
      </w:r>
      <w:r w:rsidRPr="00771E6E">
        <w:rPr>
          <w:rStyle w:val="FootnoteReference"/>
        </w:rPr>
        <w:footnoteReference w:id="790"/>
      </w:r>
      <w:r w:rsidRPr="00771E6E">
        <w:rPr>
          <w:color w:val="000000" w:themeColor="text1"/>
        </w:rPr>
        <w:t xml:space="preserve"> Another painted bed is depicted in a panel with </w:t>
      </w:r>
      <w:r w:rsidRPr="00771E6E">
        <w:rPr>
          <w:i/>
          <w:color w:val="000000" w:themeColor="text1"/>
        </w:rPr>
        <w:t>Saint Francis and the Poor Knight and Francis’ Vision</w:t>
      </w:r>
      <w:r w:rsidRPr="00771E6E">
        <w:rPr>
          <w:color w:val="000000" w:themeColor="text1"/>
        </w:rPr>
        <w:t xml:space="preserve">, part of a large polyptych for the altar of San Francesco in Borgo </w:t>
      </w:r>
      <w:proofErr w:type="spellStart"/>
      <w:r w:rsidRPr="00771E6E">
        <w:rPr>
          <w:color w:val="000000" w:themeColor="text1"/>
        </w:rPr>
        <w:t>Sansepolcro</w:t>
      </w:r>
      <w:proofErr w:type="spellEnd"/>
      <w:r w:rsidRPr="00771E6E">
        <w:rPr>
          <w:color w:val="000000" w:themeColor="text1"/>
        </w:rPr>
        <w:t xml:space="preserve"> painted by </w:t>
      </w:r>
      <w:proofErr w:type="spellStart"/>
      <w:r w:rsidRPr="00771E6E">
        <w:rPr>
          <w:color w:val="000000" w:themeColor="text1"/>
        </w:rPr>
        <w:t>Sassetta</w:t>
      </w:r>
      <w:proofErr w:type="spellEnd"/>
      <w:r w:rsidRPr="00771E6E">
        <w:rPr>
          <w:color w:val="000000" w:themeColor="text1"/>
        </w:rPr>
        <w:t xml:space="preserve"> (Stefano di Giovanni) between 1437 and 1444 (fig. 4.23). In this case, however, the decoration of the top part of the headboard is much simpler: a blue sky with golden stars.</w:t>
      </w:r>
      <w:r w:rsidRPr="00771E6E">
        <w:t xml:space="preserve"> Luke Syson has suggested the possibility that bed heads could be painted with images of the Virgin or with the scene of the Annunciation.</w:t>
      </w:r>
      <w:r w:rsidRPr="00771E6E">
        <w:rPr>
          <w:rStyle w:val="FootnoteReference"/>
        </w:rPr>
        <w:footnoteReference w:id="791"/>
      </w:r>
      <w:r w:rsidRPr="00771E6E">
        <w:t xml:space="preserve"> A bed of this kind survives in the </w:t>
      </w:r>
      <w:proofErr w:type="spellStart"/>
      <w:r w:rsidRPr="00771E6E">
        <w:t>Ospedale</w:t>
      </w:r>
      <w:proofErr w:type="spellEnd"/>
      <w:r w:rsidRPr="00771E6E">
        <w:t xml:space="preserve"> del </w:t>
      </w:r>
      <w:proofErr w:type="spellStart"/>
      <w:r w:rsidRPr="00771E6E">
        <w:t>Ceppo</w:t>
      </w:r>
      <w:proofErr w:type="spellEnd"/>
      <w:r w:rsidRPr="00771E6E">
        <w:t xml:space="preserve"> in Pistoia, painted with the figures of the Virgin and Child accompanied by a donor, and was made in 1337. Although this particular example was actually made as a votive object, it may reflect a wider practise of painting beds, as is also suggested by Syson.</w:t>
      </w:r>
      <w:r w:rsidRPr="00771E6E">
        <w:rPr>
          <w:rStyle w:val="FootnoteReference"/>
        </w:rPr>
        <w:footnoteReference w:id="792"/>
      </w:r>
      <w:r w:rsidRPr="00771E6E">
        <w:t xml:space="preserve"> Two further decorated bed heads can be seen depicted in two fifteenth-century Florentine </w:t>
      </w:r>
      <w:r w:rsidRPr="00771E6E">
        <w:rPr>
          <w:i/>
        </w:rPr>
        <w:t>cassone</w:t>
      </w:r>
      <w:r w:rsidRPr="00771E6E">
        <w:t xml:space="preserve"> panels with the </w:t>
      </w:r>
      <w:r w:rsidRPr="00771E6E">
        <w:rPr>
          <w:i/>
        </w:rPr>
        <w:t xml:space="preserve">Story of Antiochus and </w:t>
      </w:r>
      <w:proofErr w:type="spellStart"/>
      <w:r w:rsidRPr="00771E6E">
        <w:rPr>
          <w:i/>
        </w:rPr>
        <w:t>Stratonice</w:t>
      </w:r>
      <w:proofErr w:type="spellEnd"/>
      <w:r w:rsidRPr="00771E6E">
        <w:t xml:space="preserve">, produced by the so-called </w:t>
      </w:r>
      <w:proofErr w:type="spellStart"/>
      <w:r w:rsidRPr="00771E6E">
        <w:t>Stratonice</w:t>
      </w:r>
      <w:proofErr w:type="spellEnd"/>
      <w:r w:rsidRPr="00771E6E">
        <w:t xml:space="preserve"> Master, although in this particular case the depicted subject is not clearly defined and is therefore not </w:t>
      </w:r>
      <w:r w:rsidRPr="00771E6E">
        <w:lastRenderedPageBreak/>
        <w:t>identifiable.</w:t>
      </w:r>
      <w:r w:rsidRPr="00771E6E">
        <w:rPr>
          <w:rStyle w:val="FootnoteReference"/>
        </w:rPr>
        <w:footnoteReference w:id="793"/>
      </w:r>
      <w:r w:rsidRPr="00771E6E">
        <w:t xml:space="preserve"> In light of these examples, it is conceivable that bed decoration could include figures of musical angels, contributing to the general devotional and moralistic atmosphere of a typical bedchamber of the Florentine elite.</w:t>
      </w:r>
    </w:p>
    <w:p w14:paraId="610A1078" w14:textId="4E3E4F3F" w:rsidR="00310CB2" w:rsidRPr="00771E6E" w:rsidRDefault="00310CB2" w:rsidP="000E2314">
      <w:pPr>
        <w:pStyle w:val="NormalWeb"/>
        <w:spacing w:before="0" w:beforeAutospacing="0" w:after="0" w:afterAutospacing="0"/>
        <w:contextualSpacing/>
        <w:rPr>
          <w:color w:val="000000" w:themeColor="text1"/>
        </w:rPr>
      </w:pPr>
      <w:r w:rsidRPr="00771E6E">
        <w:tab/>
        <w:t>In addition to decorating pieces of furniture, musical angels could also be part of the general decoration of a room</w:t>
      </w:r>
      <w:r w:rsidR="00D47D5F" w:rsidRPr="00771E6E">
        <w:t xml:space="preserve">, as seen in the </w:t>
      </w:r>
      <w:r w:rsidR="00D47D5F" w:rsidRPr="00771E6E">
        <w:rPr>
          <w:i/>
        </w:rPr>
        <w:t>Birth of the Virgin Mary</w:t>
      </w:r>
      <w:r w:rsidR="00D47D5F" w:rsidRPr="00771E6E">
        <w:t xml:space="preserve"> frescoed by Domenico Ghirlandaio and his workshop as part of the decoration of the Tornabuoni Chapel with stories from the lives of the Virgin and of Saint John the Baptist in the church of Santa Maria Novella, Florence, commissioned by Giovanni Tornabuoni (fig. 4.24)</w:t>
      </w:r>
      <w:r w:rsidR="00670AD5" w:rsidRPr="00771E6E">
        <w:t xml:space="preserve">. Ghirlandaio carried out this large commission </w:t>
      </w:r>
      <w:r w:rsidRPr="00771E6E">
        <w:t>between 1486 and 1490</w:t>
      </w:r>
      <w:r w:rsidR="00670AD5" w:rsidRPr="00771E6E">
        <w:t xml:space="preserve">, with the help of his workshop (which included </w:t>
      </w:r>
      <w:r w:rsidR="00C1385B" w:rsidRPr="00771E6E">
        <w:t xml:space="preserve">Domenico’s brothers and son, </w:t>
      </w:r>
      <w:r w:rsidR="00216CC9" w:rsidRPr="00771E6E">
        <w:t xml:space="preserve">and </w:t>
      </w:r>
      <w:r w:rsidR="006F52E3" w:rsidRPr="00771E6E">
        <w:t xml:space="preserve">probably </w:t>
      </w:r>
      <w:r w:rsidR="00216CC9" w:rsidRPr="00771E6E">
        <w:t>a</w:t>
      </w:r>
      <w:r w:rsidR="00670AD5" w:rsidRPr="00771E6E">
        <w:t xml:space="preserve"> young Michelangelo)</w:t>
      </w:r>
      <w:r w:rsidR="007E30C0" w:rsidRPr="00771E6E">
        <w:t>.</w:t>
      </w:r>
      <w:r w:rsidR="00C1385B" w:rsidRPr="00771E6E">
        <w:rPr>
          <w:rStyle w:val="FootnoteReference"/>
        </w:rPr>
        <w:footnoteReference w:id="794"/>
      </w:r>
      <w:r w:rsidR="001420C6" w:rsidRPr="00771E6E">
        <w:t xml:space="preserve"> </w:t>
      </w:r>
      <w:r w:rsidR="000E2314" w:rsidRPr="00771E6E">
        <w:t>T</w:t>
      </w:r>
      <w:r w:rsidR="006F52E3" w:rsidRPr="00771E6E">
        <w:t>he</w:t>
      </w:r>
      <w:r w:rsidR="00D47D5F" w:rsidRPr="00771E6E">
        <w:t xml:space="preserve"> scene with the</w:t>
      </w:r>
      <w:r w:rsidR="006F52E3" w:rsidRPr="00771E6E">
        <w:t xml:space="preserve"> </w:t>
      </w:r>
      <w:r w:rsidR="00D47D5F" w:rsidRPr="00771E6E">
        <w:rPr>
          <w:i/>
        </w:rPr>
        <w:t>Birth of the Virgin Mary</w:t>
      </w:r>
      <w:r w:rsidR="000E2314" w:rsidRPr="00771E6E">
        <w:rPr>
          <w:iCs/>
        </w:rPr>
        <w:t xml:space="preserve"> is</w:t>
      </w:r>
      <w:r w:rsidR="00D47D5F" w:rsidRPr="00771E6E">
        <w:rPr>
          <w:iCs/>
        </w:rPr>
        <w:t xml:space="preserve"> </w:t>
      </w:r>
      <w:r w:rsidR="007E30C0" w:rsidRPr="00771E6E">
        <w:rPr>
          <w:iCs/>
        </w:rPr>
        <w:t xml:space="preserve">the second </w:t>
      </w:r>
      <w:r w:rsidR="00216CC9" w:rsidRPr="00771E6E">
        <w:rPr>
          <w:iCs/>
        </w:rPr>
        <w:t>in</w:t>
      </w:r>
      <w:r w:rsidR="007E30C0" w:rsidRPr="00771E6E">
        <w:rPr>
          <w:iCs/>
        </w:rPr>
        <w:t xml:space="preserve"> th</w:t>
      </w:r>
      <w:r w:rsidR="00216CC9" w:rsidRPr="00771E6E">
        <w:rPr>
          <w:iCs/>
        </w:rPr>
        <w:t>is</w:t>
      </w:r>
      <w:r w:rsidR="007E30C0" w:rsidRPr="00771E6E">
        <w:rPr>
          <w:iCs/>
        </w:rPr>
        <w:t xml:space="preserve"> series</w:t>
      </w:r>
      <w:r w:rsidR="00ED0FCB" w:rsidRPr="00771E6E">
        <w:rPr>
          <w:iCs/>
        </w:rPr>
        <w:t xml:space="preserve">, </w:t>
      </w:r>
      <w:r w:rsidR="00216CC9" w:rsidRPr="00771E6E">
        <w:rPr>
          <w:iCs/>
        </w:rPr>
        <w:t xml:space="preserve">and is located </w:t>
      </w:r>
      <w:r w:rsidR="00D47D5F" w:rsidRPr="00771E6E">
        <w:rPr>
          <w:iCs/>
        </w:rPr>
        <w:t>on the lower register of the chapel’s left wall</w:t>
      </w:r>
      <w:r w:rsidR="0032500C" w:rsidRPr="00771E6E">
        <w:rPr>
          <w:iCs/>
        </w:rPr>
        <w:t xml:space="preserve">. </w:t>
      </w:r>
      <w:r w:rsidR="00841EFA" w:rsidRPr="00771E6E">
        <w:rPr>
          <w:iCs/>
        </w:rPr>
        <w:t xml:space="preserve">In a lavishly decorated room, Saint Anne is reclining on her bed </w:t>
      </w:r>
      <w:r w:rsidR="00216CC9" w:rsidRPr="00771E6E">
        <w:rPr>
          <w:iCs/>
        </w:rPr>
        <w:t>as</w:t>
      </w:r>
      <w:r w:rsidR="00841EFA" w:rsidRPr="00771E6E">
        <w:rPr>
          <w:iCs/>
        </w:rPr>
        <w:t xml:space="preserve"> three maids </w:t>
      </w:r>
      <w:r w:rsidR="00216CC9" w:rsidRPr="00771E6E">
        <w:rPr>
          <w:iCs/>
        </w:rPr>
        <w:t>prepare a</w:t>
      </w:r>
      <w:r w:rsidR="00841EFA" w:rsidRPr="00771E6E">
        <w:rPr>
          <w:iCs/>
        </w:rPr>
        <w:t xml:space="preserve"> bath for the new-born Virgin Mary, </w:t>
      </w:r>
      <w:r w:rsidR="00216CC9" w:rsidRPr="00771E6E">
        <w:rPr>
          <w:iCs/>
        </w:rPr>
        <w:t>while</w:t>
      </w:r>
      <w:r w:rsidR="009F2121" w:rsidRPr="00771E6E">
        <w:rPr>
          <w:iCs/>
        </w:rPr>
        <w:t>,</w:t>
      </w:r>
      <w:r w:rsidR="00841EFA" w:rsidRPr="00771E6E">
        <w:rPr>
          <w:iCs/>
        </w:rPr>
        <w:t xml:space="preserve"> </w:t>
      </w:r>
      <w:r w:rsidR="009F2121" w:rsidRPr="00771E6E">
        <w:rPr>
          <w:iCs/>
        </w:rPr>
        <w:t xml:space="preserve">in the foreground, </w:t>
      </w:r>
      <w:r w:rsidR="00841EFA" w:rsidRPr="00771E6E">
        <w:rPr>
          <w:iCs/>
        </w:rPr>
        <w:t xml:space="preserve">a number of elegantly dressed women are </w:t>
      </w:r>
      <w:r w:rsidR="00216CC9" w:rsidRPr="00771E6E">
        <w:rPr>
          <w:iCs/>
        </w:rPr>
        <w:t xml:space="preserve">depicted </w:t>
      </w:r>
      <w:r w:rsidR="00841EFA" w:rsidRPr="00771E6E">
        <w:rPr>
          <w:iCs/>
        </w:rPr>
        <w:t>visiting. M</w:t>
      </w:r>
      <w:r w:rsidR="00D47D5F" w:rsidRPr="00771E6E">
        <w:rPr>
          <w:iCs/>
        </w:rPr>
        <w:t>usical</w:t>
      </w:r>
      <w:r w:rsidR="00D47D5F" w:rsidRPr="00771E6E">
        <w:t xml:space="preserve"> childlike figures appear on a sculptural frieze above Saint Anne’s bed</w:t>
      </w:r>
      <w:r w:rsidR="00841EFA" w:rsidRPr="00771E6E">
        <w:t xml:space="preserve">, which </w:t>
      </w:r>
      <w:r w:rsidRPr="00771E6E">
        <w:t>runs along two adjoining walls between the inlayed wooden panelling and the ceiling</w:t>
      </w:r>
      <w:r w:rsidR="00216CC9" w:rsidRPr="00771E6E">
        <w:t>.</w:t>
      </w:r>
      <w:r w:rsidRPr="00771E6E">
        <w:t xml:space="preserve"> </w:t>
      </w:r>
      <w:r w:rsidR="009F2121" w:rsidRPr="00771E6E">
        <w:t>T</w:t>
      </w:r>
      <w:r w:rsidR="006118CF" w:rsidRPr="00771E6E">
        <w:t>he figures in the friez</w:t>
      </w:r>
      <w:r w:rsidR="009F2121" w:rsidRPr="00771E6E">
        <w:t xml:space="preserve">e </w:t>
      </w:r>
      <w:r w:rsidRPr="00771E6E">
        <w:t>recall</w:t>
      </w:r>
      <w:r w:rsidR="006118CF" w:rsidRPr="00771E6E">
        <w:t>,</w:t>
      </w:r>
      <w:r w:rsidRPr="00771E6E">
        <w:t xml:space="preserve"> on the one hand, the playful musical children sculpted by Donatello and Luca </w:t>
      </w:r>
      <w:proofErr w:type="spellStart"/>
      <w:r w:rsidRPr="00771E6E">
        <w:t>della</w:t>
      </w:r>
      <w:proofErr w:type="spellEnd"/>
      <w:r w:rsidRPr="00771E6E">
        <w:t xml:space="preserve"> Robbia in the </w:t>
      </w:r>
      <w:proofErr w:type="spellStart"/>
      <w:r w:rsidRPr="00771E6E">
        <w:rPr>
          <w:i/>
        </w:rPr>
        <w:t>cantorie</w:t>
      </w:r>
      <w:proofErr w:type="spellEnd"/>
      <w:r w:rsidRPr="00771E6E">
        <w:t xml:space="preserve"> for Florence cathedral and, on the other, the glazed terracotta figures produced by the Della </w:t>
      </w:r>
      <w:proofErr w:type="spellStart"/>
      <w:r w:rsidRPr="00771E6E">
        <w:t>Robbias</w:t>
      </w:r>
      <w:proofErr w:type="spellEnd"/>
      <w:r w:rsidRPr="00771E6E">
        <w:t>’ workshop.</w:t>
      </w:r>
      <w:r w:rsidRPr="00771E6E">
        <w:rPr>
          <w:rStyle w:val="FootnoteReference"/>
        </w:rPr>
        <w:footnoteReference w:id="795"/>
      </w:r>
      <w:r w:rsidRPr="00771E6E">
        <w:t xml:space="preserve"> Some of these figures play lyres, cymbals and panpipes and seem to be dancing. At their feet a Latin inscription reads “</w:t>
      </w:r>
      <w:proofErr w:type="spellStart"/>
      <w:r w:rsidRPr="00771E6E">
        <w:t>Nativitas</w:t>
      </w:r>
      <w:proofErr w:type="spellEnd"/>
      <w:r w:rsidRPr="00771E6E">
        <w:t xml:space="preserve"> </w:t>
      </w:r>
      <w:proofErr w:type="spellStart"/>
      <w:r w:rsidRPr="00771E6E">
        <w:t>tua</w:t>
      </w:r>
      <w:proofErr w:type="spellEnd"/>
      <w:r w:rsidRPr="00771E6E">
        <w:t xml:space="preserve"> </w:t>
      </w:r>
      <w:proofErr w:type="spellStart"/>
      <w:r w:rsidRPr="00771E6E">
        <w:t>dei</w:t>
      </w:r>
      <w:proofErr w:type="spellEnd"/>
      <w:r w:rsidRPr="00771E6E">
        <w:t xml:space="preserve"> genitrix </w:t>
      </w:r>
      <w:proofErr w:type="spellStart"/>
      <w:r w:rsidRPr="00771E6E">
        <w:t>virgo</w:t>
      </w:r>
      <w:proofErr w:type="spellEnd"/>
      <w:r w:rsidRPr="00771E6E">
        <w:t xml:space="preserve"> </w:t>
      </w:r>
      <w:proofErr w:type="spellStart"/>
      <w:r w:rsidRPr="00771E6E">
        <w:t>gaudium</w:t>
      </w:r>
      <w:proofErr w:type="spellEnd"/>
      <w:r w:rsidRPr="00771E6E">
        <w:t xml:space="preserve"> </w:t>
      </w:r>
      <w:proofErr w:type="spellStart"/>
      <w:r w:rsidRPr="00771E6E">
        <w:t>annuntiavit</w:t>
      </w:r>
      <w:proofErr w:type="spellEnd"/>
      <w:r w:rsidRPr="00771E6E">
        <w:t xml:space="preserve"> </w:t>
      </w:r>
      <w:proofErr w:type="spellStart"/>
      <w:r w:rsidRPr="00771E6E">
        <w:t>universo</w:t>
      </w:r>
      <w:proofErr w:type="spellEnd"/>
      <w:r w:rsidRPr="00771E6E">
        <w:t xml:space="preserve"> </w:t>
      </w:r>
      <w:proofErr w:type="spellStart"/>
      <w:r w:rsidRPr="00771E6E">
        <w:t>mundo</w:t>
      </w:r>
      <w:proofErr w:type="spellEnd"/>
      <w:r w:rsidRPr="00771E6E">
        <w:t xml:space="preserve">” (Thy birth, Oh Virgin Mother of God, brings joy to the whole world). This detail indicates that the childlike figures depicted can be interpreted as musical angels, as these words were the incipit of an antiphon regularly sung at Matins or Vespers on the </w:t>
      </w:r>
      <w:r w:rsidRPr="00771E6E">
        <w:rPr>
          <w:color w:val="000000" w:themeColor="text1"/>
        </w:rPr>
        <w:t xml:space="preserve">feast of the Nativity of the Virgin on 8 September, which also survives in polyphonic settings. A motet setting composed by </w:t>
      </w:r>
      <w:proofErr w:type="spellStart"/>
      <w:r w:rsidRPr="00771E6E">
        <w:rPr>
          <w:color w:val="000000" w:themeColor="text1"/>
        </w:rPr>
        <w:t>Gaffurius</w:t>
      </w:r>
      <w:proofErr w:type="spellEnd"/>
      <w:r w:rsidRPr="00771E6E">
        <w:rPr>
          <w:color w:val="000000" w:themeColor="text1"/>
        </w:rPr>
        <w:t xml:space="preserve"> is included in the manuscript known as </w:t>
      </w:r>
      <w:proofErr w:type="spellStart"/>
      <w:r w:rsidRPr="00771E6E">
        <w:rPr>
          <w:color w:val="000000" w:themeColor="text1"/>
        </w:rPr>
        <w:t>Librone</w:t>
      </w:r>
      <w:proofErr w:type="spellEnd"/>
      <w:r w:rsidRPr="00771E6E">
        <w:rPr>
          <w:color w:val="000000" w:themeColor="text1"/>
        </w:rPr>
        <w:t xml:space="preserve"> 4 (</w:t>
      </w:r>
      <w:r w:rsidRPr="00771E6E">
        <w:t xml:space="preserve">Milan, </w:t>
      </w:r>
      <w:proofErr w:type="spellStart"/>
      <w:r w:rsidRPr="00771E6E">
        <w:t>Archivio</w:t>
      </w:r>
      <w:proofErr w:type="spellEnd"/>
      <w:r w:rsidRPr="00771E6E">
        <w:t xml:space="preserve"> </w:t>
      </w:r>
      <w:proofErr w:type="spellStart"/>
      <w:r w:rsidRPr="00771E6E">
        <w:t>della</w:t>
      </w:r>
      <w:proofErr w:type="spellEnd"/>
      <w:r w:rsidRPr="00771E6E">
        <w:t xml:space="preserve"> </w:t>
      </w:r>
      <w:proofErr w:type="spellStart"/>
      <w:r w:rsidRPr="00771E6E">
        <w:t>Veneranda</w:t>
      </w:r>
      <w:proofErr w:type="spellEnd"/>
      <w:r w:rsidRPr="00771E6E">
        <w:t xml:space="preserve"> </w:t>
      </w:r>
      <w:proofErr w:type="spellStart"/>
      <w:r w:rsidRPr="00771E6E">
        <w:t>Fabbrica</w:t>
      </w:r>
      <w:proofErr w:type="spellEnd"/>
      <w:r w:rsidRPr="00771E6E">
        <w:t xml:space="preserve"> del Duomo, </w:t>
      </w:r>
      <w:proofErr w:type="spellStart"/>
      <w:r w:rsidRPr="00771E6E">
        <w:t>Sezione</w:t>
      </w:r>
      <w:proofErr w:type="spellEnd"/>
      <w:r w:rsidRPr="00771E6E">
        <w:t xml:space="preserve"> Musicale, MS 2266), copied under </w:t>
      </w:r>
      <w:proofErr w:type="spellStart"/>
      <w:r w:rsidRPr="00771E6E">
        <w:t>Gaffurius</w:t>
      </w:r>
      <w:proofErr w:type="spellEnd"/>
      <w:r w:rsidRPr="00771E6E">
        <w:t xml:space="preserve">’ supervision in the 1480s, thus exactly the same decade as the </w:t>
      </w:r>
      <w:r w:rsidR="000F0078" w:rsidRPr="00771E6E">
        <w:t>frescoes</w:t>
      </w:r>
      <w:r w:rsidRPr="00771E6E">
        <w:t xml:space="preserve"> in the Tornabuoni Chapel.</w:t>
      </w:r>
      <w:r w:rsidR="007E30C0" w:rsidRPr="00771E6E">
        <w:rPr>
          <w:color w:val="000000" w:themeColor="text1"/>
        </w:rPr>
        <w:t xml:space="preserve"> </w:t>
      </w:r>
      <w:proofErr w:type="spellStart"/>
      <w:r w:rsidRPr="00771E6E">
        <w:rPr>
          <w:color w:val="000000" w:themeColor="text1"/>
        </w:rPr>
        <w:t>Lindow</w:t>
      </w:r>
      <w:proofErr w:type="spellEnd"/>
      <w:r w:rsidRPr="00771E6E">
        <w:rPr>
          <w:color w:val="000000" w:themeColor="text1"/>
        </w:rPr>
        <w:t xml:space="preserve">, when considering the wainscot panelling that decorates the walls in this scene, has suggested that the fresco of the </w:t>
      </w:r>
      <w:r w:rsidRPr="00771E6E">
        <w:rPr>
          <w:i/>
          <w:color w:val="000000" w:themeColor="text1"/>
        </w:rPr>
        <w:t xml:space="preserve">Birth of the Virgin </w:t>
      </w:r>
      <w:r w:rsidRPr="00771E6E">
        <w:rPr>
          <w:i/>
          <w:color w:val="000000" w:themeColor="text1"/>
        </w:rPr>
        <w:lastRenderedPageBreak/>
        <w:t>Mary</w:t>
      </w:r>
      <w:r w:rsidRPr="00771E6E">
        <w:rPr>
          <w:color w:val="000000" w:themeColor="text1"/>
        </w:rPr>
        <w:t>, although not depicting a specific room in the Tornabuoni palace, may still be representative of a space that its patron would have considered familiar.</w:t>
      </w:r>
      <w:r w:rsidRPr="00771E6E">
        <w:rPr>
          <w:rStyle w:val="FootnoteReference"/>
        </w:rPr>
        <w:footnoteReference w:id="796"/>
      </w:r>
    </w:p>
    <w:p w14:paraId="5A26B624" w14:textId="27C99E7A" w:rsidR="00310CB2" w:rsidRPr="00771E6E" w:rsidRDefault="00310CB2" w:rsidP="00310CB2">
      <w:pPr>
        <w:pStyle w:val="NormalWeb"/>
        <w:spacing w:before="0" w:beforeAutospacing="0" w:after="0" w:afterAutospacing="0"/>
        <w:contextualSpacing/>
        <w:rPr>
          <w:color w:val="000000" w:themeColor="text1"/>
        </w:rPr>
      </w:pPr>
      <w:r w:rsidRPr="00771E6E">
        <w:rPr>
          <w:color w:val="000000" w:themeColor="text1"/>
        </w:rPr>
        <w:tab/>
      </w:r>
      <w:r w:rsidR="00787D82" w:rsidRPr="00771E6E">
        <w:rPr>
          <w:color w:val="000000" w:themeColor="text1"/>
        </w:rPr>
        <w:t xml:space="preserve">Another </w:t>
      </w:r>
      <w:r w:rsidR="00216CC9" w:rsidRPr="00771E6E">
        <w:rPr>
          <w:color w:val="000000" w:themeColor="text1"/>
        </w:rPr>
        <w:t xml:space="preserve">indication </w:t>
      </w:r>
      <w:r w:rsidR="00787D82" w:rsidRPr="00771E6E">
        <w:rPr>
          <w:color w:val="000000" w:themeColor="text1"/>
        </w:rPr>
        <w:t xml:space="preserve">of where childlike figures could be found in </w:t>
      </w:r>
      <w:r w:rsidR="00817046" w:rsidRPr="00771E6E">
        <w:rPr>
          <w:color w:val="000000" w:themeColor="text1"/>
        </w:rPr>
        <w:t>Fif</w:t>
      </w:r>
      <w:r w:rsidR="00787D82" w:rsidRPr="00771E6E">
        <w:rPr>
          <w:color w:val="000000" w:themeColor="text1"/>
        </w:rPr>
        <w:t>teenth</w:t>
      </w:r>
      <w:r w:rsidR="00216CC9" w:rsidRPr="00771E6E">
        <w:rPr>
          <w:color w:val="000000" w:themeColor="text1"/>
        </w:rPr>
        <w:t>-</w:t>
      </w:r>
      <w:r w:rsidR="00787D82" w:rsidRPr="00771E6E">
        <w:rPr>
          <w:color w:val="000000" w:themeColor="text1"/>
        </w:rPr>
        <w:t>century</w:t>
      </w:r>
      <w:r w:rsidR="00216CC9" w:rsidRPr="00771E6E">
        <w:rPr>
          <w:color w:val="000000" w:themeColor="text1"/>
        </w:rPr>
        <w:t xml:space="preserve"> homes</w:t>
      </w:r>
      <w:r w:rsidR="00787D82" w:rsidRPr="00771E6E">
        <w:rPr>
          <w:color w:val="000000" w:themeColor="text1"/>
        </w:rPr>
        <w:t xml:space="preserve"> is given by a</w:t>
      </w:r>
      <w:r w:rsidRPr="00771E6E">
        <w:rPr>
          <w:color w:val="000000" w:themeColor="text1"/>
        </w:rPr>
        <w:t xml:space="preserve">nother fresco, also on the theme of the </w:t>
      </w:r>
      <w:r w:rsidRPr="00771E6E">
        <w:rPr>
          <w:i/>
          <w:color w:val="000000" w:themeColor="text1"/>
        </w:rPr>
        <w:t>Birth of the Virgin Mary</w:t>
      </w:r>
      <w:r w:rsidRPr="00771E6E">
        <w:rPr>
          <w:color w:val="000000" w:themeColor="text1"/>
        </w:rPr>
        <w:t xml:space="preserve">, realised between 1513 and 1514 by Andrea del </w:t>
      </w:r>
      <w:proofErr w:type="spellStart"/>
      <w:r w:rsidRPr="00771E6E">
        <w:rPr>
          <w:color w:val="000000" w:themeColor="text1"/>
        </w:rPr>
        <w:t>Sarto</w:t>
      </w:r>
      <w:proofErr w:type="spellEnd"/>
      <w:r w:rsidRPr="00771E6E">
        <w:rPr>
          <w:color w:val="000000" w:themeColor="text1"/>
        </w:rPr>
        <w:t xml:space="preserve"> in the </w:t>
      </w:r>
      <w:proofErr w:type="spellStart"/>
      <w:r w:rsidRPr="00771E6E">
        <w:rPr>
          <w:color w:val="000000" w:themeColor="text1"/>
        </w:rPr>
        <w:t>Chiostro</w:t>
      </w:r>
      <w:proofErr w:type="spellEnd"/>
      <w:r w:rsidRPr="00771E6E">
        <w:rPr>
          <w:color w:val="000000" w:themeColor="text1"/>
        </w:rPr>
        <w:t xml:space="preserve"> </w:t>
      </w:r>
      <w:proofErr w:type="spellStart"/>
      <w:r w:rsidRPr="00771E6E">
        <w:rPr>
          <w:color w:val="000000" w:themeColor="text1"/>
        </w:rPr>
        <w:t>dei</w:t>
      </w:r>
      <w:proofErr w:type="spellEnd"/>
      <w:r w:rsidRPr="00771E6E">
        <w:rPr>
          <w:color w:val="000000" w:themeColor="text1"/>
        </w:rPr>
        <w:t xml:space="preserve"> </w:t>
      </w:r>
      <w:proofErr w:type="spellStart"/>
      <w:r w:rsidRPr="00771E6E">
        <w:rPr>
          <w:color w:val="000000" w:themeColor="text1"/>
        </w:rPr>
        <w:t>Voti</w:t>
      </w:r>
      <w:proofErr w:type="spellEnd"/>
      <w:r w:rsidRPr="00771E6E">
        <w:rPr>
          <w:color w:val="000000" w:themeColor="text1"/>
        </w:rPr>
        <w:t xml:space="preserve">, the forecourt of the church of </w:t>
      </w:r>
      <w:proofErr w:type="spellStart"/>
      <w:r w:rsidRPr="00771E6E">
        <w:rPr>
          <w:color w:val="000000" w:themeColor="text1"/>
        </w:rPr>
        <w:t>Santissima</w:t>
      </w:r>
      <w:proofErr w:type="spellEnd"/>
      <w:r w:rsidRPr="00771E6E">
        <w:rPr>
          <w:color w:val="000000" w:themeColor="text1"/>
        </w:rPr>
        <w:t xml:space="preserve"> Annunziata in Florence</w:t>
      </w:r>
      <w:r w:rsidR="00787D82" w:rsidRPr="00771E6E">
        <w:rPr>
          <w:color w:val="000000" w:themeColor="text1"/>
        </w:rPr>
        <w:t xml:space="preserve"> </w:t>
      </w:r>
      <w:r w:rsidRPr="00771E6E">
        <w:rPr>
          <w:color w:val="000000" w:themeColor="text1"/>
        </w:rPr>
        <w:t>(fig. 4.25). Th</w:t>
      </w:r>
      <w:r w:rsidR="00787D82" w:rsidRPr="00771E6E">
        <w:rPr>
          <w:color w:val="000000" w:themeColor="text1"/>
        </w:rPr>
        <w:t>is</w:t>
      </w:r>
      <w:r w:rsidRPr="00771E6E">
        <w:rPr>
          <w:color w:val="000000" w:themeColor="text1"/>
        </w:rPr>
        <w:t xml:space="preserve"> </w:t>
      </w:r>
      <w:r w:rsidR="00C5430C" w:rsidRPr="00771E6E">
        <w:rPr>
          <w:color w:val="000000" w:themeColor="text1"/>
        </w:rPr>
        <w:t>large fresco (410</w:t>
      </w:r>
      <w:r w:rsidR="00216CC9" w:rsidRPr="00771E6E">
        <w:rPr>
          <w:color w:val="000000" w:themeColor="text1"/>
        </w:rPr>
        <w:t xml:space="preserve"> </w:t>
      </w:r>
      <w:r w:rsidR="00174F42" w:rsidRPr="00771E6E">
        <w:rPr>
          <w:color w:val="000000" w:themeColor="text1"/>
        </w:rPr>
        <w:t>by</w:t>
      </w:r>
      <w:r w:rsidR="00216CC9" w:rsidRPr="00771E6E">
        <w:rPr>
          <w:color w:val="000000" w:themeColor="text1"/>
        </w:rPr>
        <w:t xml:space="preserve"> </w:t>
      </w:r>
      <w:r w:rsidR="00C5430C" w:rsidRPr="00771E6E">
        <w:rPr>
          <w:color w:val="000000" w:themeColor="text1"/>
        </w:rPr>
        <w:t>340</w:t>
      </w:r>
      <w:r w:rsidR="00216CC9" w:rsidRPr="00771E6E">
        <w:rPr>
          <w:color w:val="000000" w:themeColor="text1"/>
        </w:rPr>
        <w:t>cm</w:t>
      </w:r>
      <w:r w:rsidR="00C5430C" w:rsidRPr="00771E6E">
        <w:rPr>
          <w:color w:val="000000" w:themeColor="text1"/>
        </w:rPr>
        <w:t xml:space="preserve">) </w:t>
      </w:r>
      <w:r w:rsidR="00216CC9" w:rsidRPr="00771E6E">
        <w:rPr>
          <w:color w:val="000000" w:themeColor="text1"/>
        </w:rPr>
        <w:t>also</w:t>
      </w:r>
      <w:r w:rsidR="00C62005" w:rsidRPr="00771E6E">
        <w:rPr>
          <w:color w:val="000000" w:themeColor="text1"/>
        </w:rPr>
        <w:t xml:space="preserve"> </w:t>
      </w:r>
      <w:r w:rsidRPr="00771E6E">
        <w:rPr>
          <w:color w:val="000000" w:themeColor="text1"/>
        </w:rPr>
        <w:t>depicts an elaborate contemporary interior as the setting for this scene</w:t>
      </w:r>
      <w:r w:rsidR="00C62005" w:rsidRPr="00771E6E">
        <w:rPr>
          <w:color w:val="000000" w:themeColor="text1"/>
        </w:rPr>
        <w:t xml:space="preserve">. </w:t>
      </w:r>
      <w:r w:rsidR="00216CC9" w:rsidRPr="00771E6E">
        <w:rPr>
          <w:color w:val="000000" w:themeColor="text1"/>
        </w:rPr>
        <w:t>In much the same way as the</w:t>
      </w:r>
      <w:r w:rsidR="00C62005" w:rsidRPr="00771E6E">
        <w:rPr>
          <w:color w:val="000000" w:themeColor="text1"/>
        </w:rPr>
        <w:t xml:space="preserve"> Ghirlandaio</w:t>
      </w:r>
      <w:r w:rsidR="00174F42" w:rsidRPr="00771E6E">
        <w:rPr>
          <w:color w:val="000000" w:themeColor="text1"/>
        </w:rPr>
        <w:t>’s fresco</w:t>
      </w:r>
      <w:r w:rsidR="00C62005" w:rsidRPr="00771E6E">
        <w:rPr>
          <w:color w:val="000000" w:themeColor="text1"/>
        </w:rPr>
        <w:t xml:space="preserve"> </w:t>
      </w:r>
      <w:r w:rsidR="00216CC9" w:rsidRPr="00771E6E">
        <w:rPr>
          <w:color w:val="000000" w:themeColor="text1"/>
        </w:rPr>
        <w:t>discussed previously</w:t>
      </w:r>
      <w:r w:rsidR="00C62005" w:rsidRPr="00771E6E">
        <w:rPr>
          <w:color w:val="000000" w:themeColor="text1"/>
        </w:rPr>
        <w:t xml:space="preserve">, several women are present in the room, some </w:t>
      </w:r>
      <w:r w:rsidR="00216CC9" w:rsidRPr="00771E6E">
        <w:rPr>
          <w:color w:val="000000" w:themeColor="text1"/>
        </w:rPr>
        <w:t xml:space="preserve">of whom </w:t>
      </w:r>
      <w:r w:rsidR="00C62005" w:rsidRPr="00771E6E">
        <w:rPr>
          <w:color w:val="000000" w:themeColor="text1"/>
        </w:rPr>
        <w:t xml:space="preserve">are visiting Saint Anne and attending to her needs, while others are preparing a bath for new-born near the fireplace. Two large </w:t>
      </w:r>
      <w:r w:rsidR="00C62005" w:rsidRPr="00771E6E">
        <w:rPr>
          <w:i/>
          <w:iCs/>
          <w:color w:val="000000" w:themeColor="text1"/>
        </w:rPr>
        <w:t xml:space="preserve">putti </w:t>
      </w:r>
      <w:r w:rsidR="00C62005" w:rsidRPr="00771E6E">
        <w:rPr>
          <w:color w:val="000000" w:themeColor="text1"/>
        </w:rPr>
        <w:t xml:space="preserve">holding a plaque bearing the artist’s signature </w:t>
      </w:r>
      <w:r w:rsidR="00174F42" w:rsidRPr="00771E6E">
        <w:rPr>
          <w:color w:val="000000" w:themeColor="text1"/>
        </w:rPr>
        <w:t>are</w:t>
      </w:r>
      <w:r w:rsidR="00C62005" w:rsidRPr="00771E6E">
        <w:rPr>
          <w:color w:val="000000" w:themeColor="text1"/>
        </w:rPr>
        <w:t xml:space="preserve"> located above the fireplace’s </w:t>
      </w:r>
      <w:r w:rsidRPr="00771E6E">
        <w:rPr>
          <w:color w:val="000000" w:themeColor="text1"/>
        </w:rPr>
        <w:t xml:space="preserve">sculptural frieze, </w:t>
      </w:r>
      <w:r w:rsidR="00174F42" w:rsidRPr="00771E6E">
        <w:rPr>
          <w:color w:val="000000" w:themeColor="text1"/>
        </w:rPr>
        <w:t xml:space="preserve">the detail of </w:t>
      </w:r>
      <w:r w:rsidR="00C62005" w:rsidRPr="00771E6E">
        <w:rPr>
          <w:color w:val="000000" w:themeColor="text1"/>
        </w:rPr>
        <w:t xml:space="preserve">which </w:t>
      </w:r>
      <w:r w:rsidR="00174F42" w:rsidRPr="00771E6E">
        <w:rPr>
          <w:color w:val="000000" w:themeColor="text1"/>
        </w:rPr>
        <w:t>is</w:t>
      </w:r>
      <w:r w:rsidRPr="00771E6E">
        <w:rPr>
          <w:color w:val="000000" w:themeColor="text1"/>
        </w:rPr>
        <w:t xml:space="preserve"> </w:t>
      </w:r>
      <w:r w:rsidR="0021150C" w:rsidRPr="00771E6E">
        <w:rPr>
          <w:color w:val="000000" w:themeColor="text1"/>
        </w:rPr>
        <w:t>unfortunately</w:t>
      </w:r>
      <w:r w:rsidRPr="00771E6E">
        <w:rPr>
          <w:color w:val="000000" w:themeColor="text1"/>
        </w:rPr>
        <w:t xml:space="preserve"> </w:t>
      </w:r>
      <w:r w:rsidR="00174F42" w:rsidRPr="00771E6E">
        <w:rPr>
          <w:color w:val="000000" w:themeColor="text1"/>
        </w:rPr>
        <w:t xml:space="preserve">no longer </w:t>
      </w:r>
      <w:r w:rsidRPr="00771E6E">
        <w:rPr>
          <w:color w:val="000000" w:themeColor="text1"/>
        </w:rPr>
        <w:t>discernible.</w:t>
      </w:r>
      <w:r w:rsidR="000F0078" w:rsidRPr="00771E6E">
        <w:rPr>
          <w:color w:val="000000" w:themeColor="text1"/>
        </w:rPr>
        <w:t xml:space="preserve"> </w:t>
      </w:r>
      <w:r w:rsidRPr="00771E6E">
        <w:rPr>
          <w:color w:val="000000" w:themeColor="text1"/>
        </w:rPr>
        <w:t xml:space="preserve">Indeed, this particular part of a fireplace was frequently decorated, and could include musical angels, as can be seen in the example realised by the Florentine-trained sculptor Domenico </w:t>
      </w:r>
      <w:proofErr w:type="spellStart"/>
      <w:r w:rsidRPr="00771E6E">
        <w:rPr>
          <w:color w:val="000000" w:themeColor="text1"/>
        </w:rPr>
        <w:t>Rosselli</w:t>
      </w:r>
      <w:proofErr w:type="spellEnd"/>
      <w:r w:rsidRPr="00771E6E">
        <w:rPr>
          <w:color w:val="000000" w:themeColor="text1"/>
        </w:rPr>
        <w:t xml:space="preserve"> for the </w:t>
      </w:r>
      <w:r w:rsidRPr="00771E6E">
        <w:rPr>
          <w:i/>
          <w:iCs/>
          <w:color w:val="000000" w:themeColor="text1"/>
        </w:rPr>
        <w:t xml:space="preserve">Sala </w:t>
      </w:r>
      <w:proofErr w:type="spellStart"/>
      <w:r w:rsidRPr="00771E6E">
        <w:rPr>
          <w:i/>
          <w:iCs/>
          <w:color w:val="000000" w:themeColor="text1"/>
        </w:rPr>
        <w:t>degli</w:t>
      </w:r>
      <w:proofErr w:type="spellEnd"/>
      <w:r w:rsidRPr="00771E6E">
        <w:rPr>
          <w:i/>
          <w:iCs/>
          <w:color w:val="000000" w:themeColor="text1"/>
        </w:rPr>
        <w:t xml:space="preserve"> </w:t>
      </w:r>
      <w:proofErr w:type="spellStart"/>
      <w:r w:rsidRPr="00771E6E">
        <w:rPr>
          <w:i/>
          <w:iCs/>
          <w:color w:val="000000" w:themeColor="text1"/>
        </w:rPr>
        <w:t>Angeli</w:t>
      </w:r>
      <w:proofErr w:type="spellEnd"/>
      <w:r w:rsidRPr="00771E6E">
        <w:rPr>
          <w:color w:val="000000" w:themeColor="text1"/>
        </w:rPr>
        <w:t xml:space="preserve"> (Angels’ Hall) in the Ducal Palace, Urbino, during the last quarter of the fifteenth century (fig. 4.26). Here, it seems that the artist has attempted to imitate the effect of glazed terracotta, with white figures on a blue background. These childlike figures, playing musical instruments and dancing, provide yet another example of the constant presence of musical angels in the home, serving as moralistic reminders for the occupants.</w:t>
      </w:r>
    </w:p>
    <w:p w14:paraId="1A266829" w14:textId="77777777" w:rsidR="00310CB2" w:rsidRPr="00771E6E" w:rsidRDefault="00310CB2" w:rsidP="00310CB2">
      <w:pPr>
        <w:pStyle w:val="NormalWeb"/>
        <w:spacing w:before="0" w:beforeAutospacing="0" w:after="0" w:afterAutospacing="0"/>
        <w:contextualSpacing/>
        <w:rPr>
          <w:color w:val="000000" w:themeColor="text1"/>
        </w:rPr>
      </w:pPr>
      <w:r w:rsidRPr="00771E6E">
        <w:rPr>
          <w:color w:val="000000" w:themeColor="text1"/>
        </w:rPr>
        <w:tab/>
        <w:t>Small, everyday household objects could also be sumptuously decorated, and, once again, musical subjects often appeared on them, as can be seen, for example, on a walnut coffer possibly from Siena, produced in the early fifteenth century, with gesso figures in relief, painted and gilded, a type of</w:t>
      </w:r>
      <w:r w:rsidRPr="00771E6E" w:rsidDel="003C020B">
        <w:rPr>
          <w:i/>
          <w:color w:val="000000" w:themeColor="text1"/>
        </w:rPr>
        <w:t xml:space="preserve"> </w:t>
      </w:r>
      <w:r w:rsidRPr="00771E6E">
        <w:rPr>
          <w:color w:val="000000" w:themeColor="text1"/>
        </w:rPr>
        <w:t xml:space="preserve">decoration known as </w:t>
      </w:r>
      <w:r w:rsidRPr="00771E6E">
        <w:rPr>
          <w:i/>
          <w:color w:val="000000" w:themeColor="text1"/>
        </w:rPr>
        <w:t>pastiglia</w:t>
      </w:r>
      <w:r w:rsidRPr="00771E6E">
        <w:rPr>
          <w:color w:val="000000" w:themeColor="text1"/>
        </w:rPr>
        <w:t xml:space="preserve"> (fig. 4.27). While the cover and one of the sides of the main body of the coffer are decorated with images that are typical of courtly love such as a lady crowning a knight surrounded by musicians and dancers, jousting knights and a hunting scene, the sides of the main body show five winged childlike figures in higher relief, of which one is playing a rebec and another possibly a harp. Inscribed on the top of its cover is “</w:t>
      </w:r>
      <w:proofErr w:type="spellStart"/>
      <w:r w:rsidRPr="00771E6E">
        <w:rPr>
          <w:color w:val="000000" w:themeColor="text1"/>
        </w:rPr>
        <w:t>onesstà</w:t>
      </w:r>
      <w:proofErr w:type="spellEnd"/>
      <w:r w:rsidRPr="00771E6E">
        <w:rPr>
          <w:color w:val="000000" w:themeColor="text1"/>
        </w:rPr>
        <w:t xml:space="preserve"> fa </w:t>
      </w:r>
      <w:proofErr w:type="spellStart"/>
      <w:r w:rsidRPr="00771E6E">
        <w:rPr>
          <w:color w:val="000000" w:themeColor="text1"/>
        </w:rPr>
        <w:t>bella</w:t>
      </w:r>
      <w:proofErr w:type="spellEnd"/>
      <w:r w:rsidRPr="00771E6E">
        <w:rPr>
          <w:color w:val="000000" w:themeColor="text1"/>
        </w:rPr>
        <w:t xml:space="preserve"> donna” (Honesty [or Integrity] makes a woman beautiful). Objects such as this were likely to have been betrothal gifts, the word “</w:t>
      </w:r>
      <w:proofErr w:type="spellStart"/>
      <w:r w:rsidRPr="00771E6E">
        <w:rPr>
          <w:color w:val="000000" w:themeColor="text1"/>
        </w:rPr>
        <w:t>onestà</w:t>
      </w:r>
      <w:proofErr w:type="spellEnd"/>
      <w:r w:rsidRPr="00771E6E">
        <w:rPr>
          <w:color w:val="000000" w:themeColor="text1"/>
        </w:rPr>
        <w:t>” being a synonym for “chastity.”</w:t>
      </w:r>
      <w:r w:rsidRPr="00771E6E">
        <w:rPr>
          <w:color w:val="000000" w:themeColor="text1"/>
          <w:vertAlign w:val="superscript"/>
        </w:rPr>
        <w:t xml:space="preserve"> </w:t>
      </w:r>
      <w:r w:rsidRPr="00771E6E">
        <w:rPr>
          <w:rStyle w:val="FootnoteReference"/>
        </w:rPr>
        <w:footnoteReference w:id="797"/>
      </w:r>
      <w:r w:rsidRPr="00771E6E">
        <w:rPr>
          <w:color w:val="000000" w:themeColor="text1"/>
        </w:rPr>
        <w:t xml:space="preserve"> Another wooden casket, decorated with </w:t>
      </w:r>
      <w:r w:rsidRPr="00771E6E">
        <w:rPr>
          <w:color w:val="000000" w:themeColor="text1"/>
        </w:rPr>
        <w:lastRenderedPageBreak/>
        <w:t xml:space="preserve">similar figures, is now in the Museo </w:t>
      </w:r>
      <w:proofErr w:type="spellStart"/>
      <w:r w:rsidRPr="00771E6E">
        <w:rPr>
          <w:color w:val="000000" w:themeColor="text1"/>
        </w:rPr>
        <w:t>Bardini</w:t>
      </w:r>
      <w:proofErr w:type="spellEnd"/>
      <w:r w:rsidRPr="00771E6E">
        <w:rPr>
          <w:color w:val="000000" w:themeColor="text1"/>
        </w:rPr>
        <w:t xml:space="preserve">, Florence (fig. 4.28). Although the inlay work decorating this example of Florentine production has suffered some damage, the figures of wingless musical children can still be discerned on its surface. Whereas the children on the two long sides dance and play instruments such as bagpipes, tambourines, triangles and cymbals, the children on the short ends can be seen playing games. These closely resemble those that could be seen on the reverse of </w:t>
      </w:r>
      <w:r w:rsidRPr="00771E6E">
        <w:rPr>
          <w:i/>
          <w:color w:val="000000" w:themeColor="text1"/>
        </w:rPr>
        <w:t>deschi da parto</w:t>
      </w:r>
      <w:r w:rsidRPr="00771E6E">
        <w:rPr>
          <w:color w:val="000000" w:themeColor="text1"/>
        </w:rPr>
        <w:t xml:space="preserve">, which were likely intended to bear similar moralistic connotations. </w:t>
      </w:r>
    </w:p>
    <w:p w14:paraId="4E76A1A5" w14:textId="77777777" w:rsidR="00D25620" w:rsidRPr="00771E6E" w:rsidRDefault="00310CB2" w:rsidP="00310CB2">
      <w:pPr>
        <w:pStyle w:val="NormalWeb"/>
        <w:spacing w:before="0" w:beforeAutospacing="0" w:after="0" w:afterAutospacing="0"/>
        <w:contextualSpacing/>
        <w:rPr>
          <w:color w:val="000000" w:themeColor="text1"/>
        </w:rPr>
      </w:pPr>
      <w:r w:rsidRPr="00771E6E">
        <w:rPr>
          <w:color w:val="000000" w:themeColor="text1"/>
        </w:rPr>
        <w:tab/>
        <w:t xml:space="preserve">Casket decorations were not only made from wood and stucco, but also from bone. Such caskets were produced from the same workshop run by </w:t>
      </w:r>
      <w:proofErr w:type="spellStart"/>
      <w:r w:rsidRPr="00771E6E">
        <w:rPr>
          <w:color w:val="000000" w:themeColor="text1"/>
        </w:rPr>
        <w:t>Baldassarre</w:t>
      </w:r>
      <w:proofErr w:type="spellEnd"/>
      <w:r w:rsidRPr="00771E6E">
        <w:rPr>
          <w:color w:val="000000" w:themeColor="text1"/>
        </w:rPr>
        <w:t xml:space="preserve"> </w:t>
      </w:r>
      <w:proofErr w:type="spellStart"/>
      <w:r w:rsidRPr="00771E6E">
        <w:rPr>
          <w:color w:val="000000" w:themeColor="text1"/>
        </w:rPr>
        <w:t>degli</w:t>
      </w:r>
      <w:proofErr w:type="spellEnd"/>
      <w:r w:rsidRPr="00771E6E">
        <w:rPr>
          <w:color w:val="000000" w:themeColor="text1"/>
        </w:rPr>
        <w:t xml:space="preserve"> </w:t>
      </w:r>
      <w:proofErr w:type="spellStart"/>
      <w:r w:rsidRPr="00771E6E">
        <w:rPr>
          <w:color w:val="000000" w:themeColor="text1"/>
        </w:rPr>
        <w:t>Embriachi</w:t>
      </w:r>
      <w:proofErr w:type="spellEnd"/>
      <w:r w:rsidRPr="00771E6E">
        <w:rPr>
          <w:color w:val="000000" w:themeColor="text1"/>
        </w:rPr>
        <w:t xml:space="preserve"> in the first half of the fifteenth century that produced the ivory mirror frame decorated with flying angels discussed in Chapter 3.1.1. A small angelic figure, now kept at the Museum of Fine Arts, Boston, was likely part of the carved decoration of a casket of this type (fig. 4.29). Here, an angel is holding a blank scroll horizontally with both hands. Ellen </w:t>
      </w:r>
      <w:proofErr w:type="spellStart"/>
      <w:r w:rsidRPr="00771E6E">
        <w:rPr>
          <w:color w:val="000000" w:themeColor="text1"/>
        </w:rPr>
        <w:t>Callmann</w:t>
      </w:r>
      <w:proofErr w:type="spellEnd"/>
      <w:r w:rsidRPr="00771E6E">
        <w:rPr>
          <w:color w:val="000000" w:themeColor="text1"/>
        </w:rPr>
        <w:t xml:space="preserve"> has suggested that the scroll could have been painted with a motto.</w:t>
      </w:r>
      <w:r w:rsidRPr="00771E6E">
        <w:rPr>
          <w:rStyle w:val="FootnoteReference"/>
        </w:rPr>
        <w:footnoteReference w:id="798"/>
      </w:r>
      <w:r w:rsidRPr="00771E6E">
        <w:rPr>
          <w:color w:val="000000" w:themeColor="text1"/>
        </w:rPr>
        <w:t xml:space="preserve"> However, it seems equally likely that the scroll would have been painted with the words of a hymn, or even perhaps tiny musical notes, as it closely resembles a number of the musical angels in other works discussed previously, suggesting that this figure was a musical angel as well.</w:t>
      </w:r>
      <w:r w:rsidR="00D25620" w:rsidRPr="00771E6E">
        <w:rPr>
          <w:color w:val="000000" w:themeColor="text1"/>
        </w:rPr>
        <w:t xml:space="preserve"> </w:t>
      </w:r>
    </w:p>
    <w:p w14:paraId="38240BFC" w14:textId="5D1DC225" w:rsidR="00D25620" w:rsidRPr="00771E6E" w:rsidRDefault="00D25620" w:rsidP="00310CB2">
      <w:pPr>
        <w:pStyle w:val="NormalWeb"/>
        <w:spacing w:before="0" w:beforeAutospacing="0" w:after="0" w:afterAutospacing="0"/>
        <w:contextualSpacing/>
        <w:rPr>
          <w:color w:val="000000" w:themeColor="text1"/>
        </w:rPr>
      </w:pPr>
      <w:r w:rsidRPr="00771E6E">
        <w:rPr>
          <w:color w:val="000000" w:themeColor="text1"/>
        </w:rPr>
        <w:tab/>
        <w:t xml:space="preserve">Engaging with the sense of touch of the owners, domestic objects such as the caskets and coffret described have the potential to render the images depicted or carved in relief upon them even more powerful, </w:t>
      </w:r>
      <w:r w:rsidR="00174F42" w:rsidRPr="00771E6E">
        <w:rPr>
          <w:color w:val="000000" w:themeColor="text1"/>
        </w:rPr>
        <w:t>thanks to</w:t>
      </w:r>
      <w:r w:rsidRPr="00771E6E">
        <w:rPr>
          <w:color w:val="000000" w:themeColor="text1"/>
        </w:rPr>
        <w:t xml:space="preserve"> the </w:t>
      </w:r>
      <w:r w:rsidR="00174F42" w:rsidRPr="00771E6E">
        <w:rPr>
          <w:color w:val="000000" w:themeColor="text1"/>
        </w:rPr>
        <w:t xml:space="preserve">more </w:t>
      </w:r>
      <w:r w:rsidRPr="00771E6E">
        <w:rPr>
          <w:color w:val="000000" w:themeColor="text1"/>
        </w:rPr>
        <w:t>intimate interaction with them and the stimulation of tactile sensation.</w:t>
      </w:r>
      <w:r w:rsidR="00174F42" w:rsidRPr="00771E6E">
        <w:rPr>
          <w:color w:val="000000" w:themeColor="text1"/>
        </w:rPr>
        <w:t xml:space="preserve"> </w:t>
      </w:r>
    </w:p>
    <w:p w14:paraId="59ECA29B" w14:textId="77777777" w:rsidR="00310CB2" w:rsidRPr="00771E6E" w:rsidRDefault="00310CB2" w:rsidP="00310CB2">
      <w:pPr>
        <w:pStyle w:val="NormalWeb"/>
        <w:spacing w:before="0" w:beforeAutospacing="0" w:after="0" w:afterAutospacing="0"/>
        <w:ind w:firstLine="720"/>
        <w:contextualSpacing/>
        <w:rPr>
          <w:color w:val="000000" w:themeColor="text1"/>
        </w:rPr>
      </w:pPr>
      <w:r w:rsidRPr="00771E6E">
        <w:rPr>
          <w:color w:val="000000" w:themeColor="text1"/>
        </w:rPr>
        <w:t xml:space="preserve">Domestic environments were inhabited by musical angels that decorated a vast range of objects, from extravagant </w:t>
      </w:r>
      <w:r w:rsidRPr="00771E6E">
        <w:rPr>
          <w:i/>
          <w:color w:val="000000" w:themeColor="text1"/>
        </w:rPr>
        <w:t>cassoni</w:t>
      </w:r>
      <w:r w:rsidRPr="00771E6E">
        <w:rPr>
          <w:color w:val="000000" w:themeColor="text1"/>
        </w:rPr>
        <w:t>, fireplaces, decorative friezes and beds, to more everyday items such as small caskets. These examples demonstrate not only how pervasive the presence of angels would have been in the home, but also how familiar these figures would have been to those who lived there. At every turn, the inhabitants of a Florentine home would have encountered musical angels, constantly reaffirming their moral message.</w:t>
      </w:r>
      <w:r w:rsidR="00D25620" w:rsidRPr="00771E6E">
        <w:rPr>
          <w:color w:val="000000" w:themeColor="text1"/>
        </w:rPr>
        <w:t xml:space="preserve"> </w:t>
      </w:r>
    </w:p>
    <w:p w14:paraId="6626E8E7" w14:textId="77777777" w:rsidR="00310CB2" w:rsidRPr="00771E6E" w:rsidRDefault="00310CB2" w:rsidP="00310CB2">
      <w:pPr>
        <w:pStyle w:val="NormalWeb"/>
        <w:spacing w:before="0" w:beforeAutospacing="0" w:after="0" w:afterAutospacing="0"/>
        <w:contextualSpacing/>
        <w:rPr>
          <w:color w:val="000000" w:themeColor="text1"/>
        </w:rPr>
      </w:pPr>
    </w:p>
    <w:p w14:paraId="7DC1C287" w14:textId="77777777" w:rsidR="00310CB2" w:rsidRPr="00771E6E" w:rsidRDefault="00310CB2" w:rsidP="00310CB2">
      <w:pPr>
        <w:contextualSpacing/>
        <w:rPr>
          <w:rFonts w:cs="Times New Roman"/>
        </w:rPr>
      </w:pPr>
      <w:r w:rsidRPr="00771E6E">
        <w:rPr>
          <w:rFonts w:cs="Times New Roman"/>
        </w:rPr>
        <w:t xml:space="preserve">This chapter has looked at a number of further examples of musical angels which could be found among the domestic furnishings in the Renaissance Florentine home. Furthermore, </w:t>
      </w:r>
      <w:r w:rsidRPr="00771E6E">
        <w:rPr>
          <w:rFonts w:cs="Times New Roman"/>
        </w:rPr>
        <w:lastRenderedPageBreak/>
        <w:t>in looking at how a domestic chapel would have been decorated, we have considered the environment in which private religious practices would have been carried out when cost was not a significant factor. These images would have served as examples for the household, and the angels within them would have been particularly resonant for the youngest members. It is notable that some of the children within the household would even have seen themselves realistically depicted within the images, something that would only ever have been possible in a piece specifically commissioned by the family.</w:t>
      </w:r>
    </w:p>
    <w:p w14:paraId="0D50A25E" w14:textId="77777777" w:rsidR="00310CB2" w:rsidRPr="00771E6E" w:rsidRDefault="00310CB2" w:rsidP="00310CB2">
      <w:pPr>
        <w:ind w:firstLine="720"/>
        <w:contextualSpacing/>
        <w:rPr>
          <w:rFonts w:cs="Times New Roman"/>
        </w:rPr>
      </w:pPr>
      <w:r w:rsidRPr="00771E6E">
        <w:rPr>
          <w:rFonts w:cs="Times New Roman"/>
        </w:rPr>
        <w:t xml:space="preserve">However, in contrast to this, inexpensive devotional images, which at this time were becoming progressively more common thanks to developing manufacturing techniques, would have had a significant impact on domestic devotion. By providing a focus for these practices within the home, such images would have aided private piety for a much wider part of society beyond those few who could afford to build a dedicated chapel within their dwellings. These affordable devotional images brought religion into the home for many more people, with their relatable, </w:t>
      </w:r>
      <w:proofErr w:type="spellStart"/>
      <w:r w:rsidRPr="00771E6E">
        <w:rPr>
          <w:rFonts w:cs="Times New Roman"/>
        </w:rPr>
        <w:t>moralising</w:t>
      </w:r>
      <w:proofErr w:type="spellEnd"/>
      <w:r w:rsidRPr="00771E6E">
        <w:rPr>
          <w:rFonts w:cs="Times New Roman"/>
        </w:rPr>
        <w:t xml:space="preserve"> imagery, and so exposed them to the positive examples that they provide. Their somewhat “mass-produced” nature also represents a shift in their positioning from bespoke works commissioned from the finest masters to much more practical objects, with a functional purpose in addition to their aesthetic value. In this light, it becomes even more apparent that these images were crafted with functional purposes in mind, and among their functions was to bring virtuous examples into the home and place them before its inhabitants. Considered in this way, the musical angels within these images should be seen not just as part of the background noise of domestic decoration, but purposeful images intended to be relatable examples aimed in particular at the young members of the household who would see themselves in these youthful characters.</w:t>
      </w:r>
    </w:p>
    <w:p w14:paraId="6971A439" w14:textId="77777777" w:rsidR="00310CB2" w:rsidRPr="00771E6E" w:rsidRDefault="00310CB2" w:rsidP="00310CB2">
      <w:pPr>
        <w:ind w:firstLine="720"/>
        <w:contextualSpacing/>
        <w:rPr>
          <w:rFonts w:cs="Times New Roman"/>
        </w:rPr>
      </w:pPr>
      <w:r w:rsidRPr="00771E6E">
        <w:rPr>
          <w:rFonts w:cs="Times New Roman"/>
        </w:rPr>
        <w:t>Finally, the presence of angels decorating domestic furniture serves to underline both the ubiquity of these images, and how visible they would have been to children. It also demonstrates that few opportunities to present positive moral messages in the home would have been missed, with a wide range of objects decorated to reinforce moral messages.</w:t>
      </w:r>
    </w:p>
    <w:p w14:paraId="47B601C3" w14:textId="77777777" w:rsidR="00310CB2" w:rsidRPr="00771E6E" w:rsidRDefault="00310CB2" w:rsidP="00310CB2">
      <w:pPr>
        <w:ind w:firstLine="720"/>
        <w:contextualSpacing/>
        <w:rPr>
          <w:rFonts w:cs="Times New Roman"/>
        </w:rPr>
      </w:pPr>
      <w:r w:rsidRPr="00771E6E">
        <w:rPr>
          <w:rFonts w:cs="Times New Roman"/>
        </w:rPr>
        <w:t xml:space="preserve">The inclusion of musical angels in the decoration of these objects, as discussed over the previous chapters, was very likely designed to provide examples to children in particular. Bearing in mind contemporary ideas about learning and moral education, the frequent presence of musical angels in domestic decoration corroborates the theory that </w:t>
      </w:r>
      <w:r w:rsidRPr="00771E6E">
        <w:rPr>
          <w:rFonts w:cs="Times New Roman"/>
        </w:rPr>
        <w:lastRenderedPageBreak/>
        <w:t xml:space="preserve">these images provided positive </w:t>
      </w:r>
      <w:r w:rsidRPr="00771E6E">
        <w:rPr>
          <w:rFonts w:cs="Times New Roman"/>
          <w:i/>
        </w:rPr>
        <w:t>exempla</w:t>
      </w:r>
      <w:r w:rsidRPr="00771E6E">
        <w:rPr>
          <w:rFonts w:cs="Times New Roman"/>
        </w:rPr>
        <w:t xml:space="preserve"> in particular to the youngest members of the household during their formative years.</w:t>
      </w:r>
    </w:p>
    <w:p w14:paraId="2C6E74A0" w14:textId="77777777" w:rsidR="00310CB2" w:rsidRPr="00771E6E" w:rsidRDefault="00310CB2" w:rsidP="00310CB2">
      <w:pPr>
        <w:pStyle w:val="NormalWeb"/>
        <w:spacing w:before="0" w:beforeAutospacing="0" w:after="0" w:afterAutospacing="0"/>
        <w:contextualSpacing/>
        <w:rPr>
          <w:color w:val="000000" w:themeColor="text1"/>
        </w:rPr>
      </w:pPr>
    </w:p>
    <w:p w14:paraId="58FC8F98" w14:textId="77777777" w:rsidR="00182EED" w:rsidRPr="00771E6E" w:rsidRDefault="00182EED">
      <w:pPr>
        <w:spacing w:line="240" w:lineRule="auto"/>
        <w:rPr>
          <w:rStyle w:val="a-size-medium"/>
        </w:rPr>
        <w:sectPr w:rsidR="00182EED" w:rsidRPr="00771E6E" w:rsidSect="00182EED">
          <w:footnotePr>
            <w:numRestart w:val="eachSect"/>
          </w:footnotePr>
          <w:pgSz w:w="11900" w:h="16840"/>
          <w:pgMar w:top="1440" w:right="1418" w:bottom="1440" w:left="1701" w:header="709" w:footer="709" w:gutter="0"/>
          <w:cols w:space="708"/>
          <w:docGrid w:linePitch="360"/>
        </w:sectPr>
      </w:pPr>
    </w:p>
    <w:p w14:paraId="67F6FF46" w14:textId="77777777" w:rsidR="003D0037" w:rsidRPr="00771E6E" w:rsidRDefault="003D0037" w:rsidP="003D0037">
      <w:pPr>
        <w:pStyle w:val="Heading1"/>
      </w:pPr>
      <w:bookmarkStart w:id="83" w:name="_Toc20167619"/>
      <w:r w:rsidRPr="00771E6E">
        <w:rPr>
          <w:lang w:val="en-GB"/>
        </w:rPr>
        <w:lastRenderedPageBreak/>
        <w:t>Conclusions</w:t>
      </w:r>
      <w:bookmarkEnd w:id="83"/>
    </w:p>
    <w:p w14:paraId="27A4041C" w14:textId="77777777" w:rsidR="003D0037" w:rsidRPr="00771E6E" w:rsidRDefault="003D0037" w:rsidP="003D0037">
      <w:pPr>
        <w:rPr>
          <w:lang w:val="en-GB"/>
        </w:rPr>
      </w:pPr>
    </w:p>
    <w:p w14:paraId="5A3E60EA" w14:textId="77777777" w:rsidR="003D0037" w:rsidRPr="00771E6E" w:rsidRDefault="003D0037" w:rsidP="003D0037">
      <w:pPr>
        <w:rPr>
          <w:lang w:val="en-GB"/>
        </w:rPr>
      </w:pPr>
      <w:r w:rsidRPr="00771E6E">
        <w:rPr>
          <w:lang w:val="en-GB"/>
        </w:rPr>
        <w:t>This thesis has studied the ways in which musical angels and their visual representations were perceived in fifteenth- and early sixteenth-century Florentine society, and the meanings viewers most likely found in them when presented in domestic settings. Given the youthful physical appearance of angels in works of art, it seems quite clear that they held a particularly special relationship with those members of the society that they most closely resembled. In the intimate surroundings of the home, the resonance of this likeness would have had a compelling influence upon young viewers.</w:t>
      </w:r>
    </w:p>
    <w:p w14:paraId="2618DA6F" w14:textId="77777777" w:rsidR="003D0037" w:rsidRPr="00771E6E" w:rsidRDefault="003D0037" w:rsidP="003D0037">
      <w:pPr>
        <w:rPr>
          <w:lang w:val="en-GB"/>
        </w:rPr>
      </w:pPr>
      <w:r w:rsidRPr="00771E6E">
        <w:rPr>
          <w:lang w:val="en-GB"/>
        </w:rPr>
        <w:tab/>
        <w:t xml:space="preserve">The home was considered to be an intrinsically educational space, in which moral training took many forms and the role played by parents in this process was considered to be extremely important. At least at the earliest stages, responsibility for such matters would have largely rested with the child’s mother, who was considered to be responsible for the moral training of children right from the moment of birth. Indeed, it was believed that through breastfeeding moral qualities would be transmitted, even when this task was delegated to wet-nurses, revealing the existence of a connection between lactation and education. </w:t>
      </w:r>
    </w:p>
    <w:p w14:paraId="22809D9B" w14:textId="77777777" w:rsidR="003D0037" w:rsidRPr="00771E6E" w:rsidRDefault="003D0037" w:rsidP="003D0037">
      <w:pPr>
        <w:ind w:firstLine="720"/>
        <w:rPr>
          <w:lang w:val="en-GB"/>
        </w:rPr>
      </w:pPr>
      <w:r w:rsidRPr="00771E6E">
        <w:rPr>
          <w:lang w:val="en-GB"/>
        </w:rPr>
        <w:t xml:space="preserve">When a child reached the age of seven, formal schooling would begin. During this period in Italy, great importance was given to the </w:t>
      </w:r>
      <w:r w:rsidRPr="00771E6E">
        <w:rPr>
          <w:iCs/>
          <w:lang w:val="en-GB"/>
        </w:rPr>
        <w:t xml:space="preserve">relationship between morality and the </w:t>
      </w:r>
      <w:proofErr w:type="spellStart"/>
      <w:r w:rsidRPr="00771E6E">
        <w:rPr>
          <w:i/>
          <w:iCs/>
          <w:lang w:val="en-GB"/>
        </w:rPr>
        <w:t>studia</w:t>
      </w:r>
      <w:proofErr w:type="spellEnd"/>
      <w:r w:rsidRPr="00771E6E">
        <w:rPr>
          <w:i/>
          <w:iCs/>
          <w:lang w:val="en-GB"/>
        </w:rPr>
        <w:t xml:space="preserve"> </w:t>
      </w:r>
      <w:proofErr w:type="spellStart"/>
      <w:r w:rsidRPr="00771E6E">
        <w:rPr>
          <w:i/>
          <w:iCs/>
          <w:lang w:val="en-GB"/>
        </w:rPr>
        <w:t>humanitatis</w:t>
      </w:r>
      <w:proofErr w:type="spellEnd"/>
      <w:r w:rsidRPr="00771E6E">
        <w:rPr>
          <w:iCs/>
          <w:lang w:val="en-GB"/>
        </w:rPr>
        <w:t xml:space="preserve"> (humanistic studies), and in particular history and moral philosophy. </w:t>
      </w:r>
      <w:r w:rsidRPr="00771E6E">
        <w:rPr>
          <w:rFonts w:cs="Times New Roman"/>
          <w:lang w:val="en-GB"/>
        </w:rPr>
        <w:t xml:space="preserve">This correlated closely with the genre of </w:t>
      </w:r>
      <w:r w:rsidRPr="00771E6E">
        <w:rPr>
          <w:rFonts w:cs="Times New Roman"/>
          <w:i/>
          <w:lang w:val="en-GB"/>
        </w:rPr>
        <w:t xml:space="preserve">specula </w:t>
      </w:r>
      <w:proofErr w:type="spellStart"/>
      <w:r w:rsidRPr="00771E6E">
        <w:rPr>
          <w:rFonts w:cs="Times New Roman"/>
          <w:i/>
          <w:lang w:val="en-GB"/>
        </w:rPr>
        <w:t>principum</w:t>
      </w:r>
      <w:proofErr w:type="spellEnd"/>
      <w:r w:rsidRPr="00771E6E">
        <w:rPr>
          <w:rFonts w:cs="Times New Roman"/>
          <w:i/>
          <w:lang w:val="en-GB"/>
        </w:rPr>
        <w:t xml:space="preserve"> </w:t>
      </w:r>
      <w:r w:rsidRPr="00771E6E">
        <w:rPr>
          <w:rFonts w:cs="Times New Roman"/>
          <w:lang w:val="en-GB"/>
        </w:rPr>
        <w:t>(Mirrors of princes), which sought to impart values such</w:t>
      </w:r>
      <w:r w:rsidRPr="00771E6E">
        <w:rPr>
          <w:lang w:val="en-GB"/>
        </w:rPr>
        <w:t xml:space="preserve"> as justice, wisdom, fortitude and temperance (</w:t>
      </w:r>
      <w:proofErr w:type="spellStart"/>
      <w:r w:rsidRPr="00771E6E">
        <w:rPr>
          <w:i/>
          <w:lang w:val="en-GB"/>
        </w:rPr>
        <w:t>iustitia</w:t>
      </w:r>
      <w:proofErr w:type="spellEnd"/>
      <w:r w:rsidRPr="00771E6E">
        <w:rPr>
          <w:lang w:val="en-GB"/>
        </w:rPr>
        <w:t xml:space="preserve">, </w:t>
      </w:r>
      <w:proofErr w:type="spellStart"/>
      <w:r w:rsidRPr="00771E6E">
        <w:rPr>
          <w:i/>
          <w:lang w:val="en-GB"/>
        </w:rPr>
        <w:t>sapientia</w:t>
      </w:r>
      <w:proofErr w:type="spellEnd"/>
      <w:r w:rsidRPr="00771E6E">
        <w:rPr>
          <w:lang w:val="en-GB"/>
        </w:rPr>
        <w:t xml:space="preserve">, </w:t>
      </w:r>
      <w:r w:rsidRPr="00771E6E">
        <w:rPr>
          <w:i/>
          <w:lang w:val="en-GB"/>
        </w:rPr>
        <w:t>constantia</w:t>
      </w:r>
      <w:r w:rsidRPr="00771E6E">
        <w:rPr>
          <w:lang w:val="en-GB"/>
        </w:rPr>
        <w:t xml:space="preserve">, </w:t>
      </w:r>
      <w:proofErr w:type="spellStart"/>
      <w:r w:rsidRPr="00771E6E">
        <w:rPr>
          <w:i/>
          <w:lang w:val="en-GB"/>
        </w:rPr>
        <w:t>temperantia</w:t>
      </w:r>
      <w:proofErr w:type="spellEnd"/>
      <w:r w:rsidRPr="00771E6E">
        <w:rPr>
          <w:lang w:val="en-GB"/>
        </w:rPr>
        <w:t xml:space="preserve">) to rulers, through the use of illustrious </w:t>
      </w:r>
      <w:r w:rsidRPr="00771E6E">
        <w:rPr>
          <w:i/>
          <w:lang w:val="en-GB"/>
        </w:rPr>
        <w:t>exempla</w:t>
      </w:r>
      <w:r w:rsidRPr="00771E6E">
        <w:rPr>
          <w:lang w:val="en-GB"/>
        </w:rPr>
        <w:t xml:space="preserve">, which individuals were advised to emulate in order to attain similar virtues. Indeed, contemporary humanistic theories of education held imitation in high regard, and advocated its use as a means of teaching young people. This was based on an extensive canon of historical literature reaching back to classical sources, including </w:t>
      </w:r>
      <w:proofErr w:type="spellStart"/>
      <w:r w:rsidRPr="00771E6E">
        <w:rPr>
          <w:i/>
          <w:lang w:val="en-GB"/>
        </w:rPr>
        <w:t>exampla</w:t>
      </w:r>
      <w:proofErr w:type="spellEnd"/>
      <w:r w:rsidRPr="00771E6E">
        <w:rPr>
          <w:lang w:val="en-GB"/>
        </w:rPr>
        <w:t xml:space="preserve"> drawn from classical history, but also Christian sources. A primary </w:t>
      </w:r>
      <w:r w:rsidRPr="00771E6E">
        <w:rPr>
          <w:i/>
          <w:lang w:val="en-GB"/>
        </w:rPr>
        <w:t>exemplum</w:t>
      </w:r>
      <w:r w:rsidRPr="00771E6E">
        <w:rPr>
          <w:lang w:val="en-GB"/>
        </w:rPr>
        <w:t>, in fact, was the Virgin Mary, who was commonly configured as an example of the ideal woman who should be imitated by wives and mothers in their daily lives.</w:t>
      </w:r>
    </w:p>
    <w:p w14:paraId="3B2B0F83" w14:textId="77777777" w:rsidR="003D0037" w:rsidRPr="00771E6E" w:rsidRDefault="003D0037" w:rsidP="003D0037">
      <w:pPr>
        <w:ind w:firstLine="720"/>
        <w:rPr>
          <w:lang w:val="en-GB"/>
        </w:rPr>
      </w:pPr>
      <w:r w:rsidRPr="00771E6E">
        <w:rPr>
          <w:lang w:val="en-GB"/>
        </w:rPr>
        <w:t xml:space="preserve">It is clear that Renaissance Italians were encouraged to find and imitate virtuous examples, and children were no exception. However, providing examples that would be attractive and engaging to children required particular deliberation. While figures of the Infant Christ and the young Saint John the Baptist played their part, as recommended by </w:t>
      </w:r>
      <w:r w:rsidRPr="00771E6E">
        <w:rPr>
          <w:lang w:val="en-GB"/>
        </w:rPr>
        <w:lastRenderedPageBreak/>
        <w:t xml:space="preserve">Giovanni </w:t>
      </w:r>
      <w:proofErr w:type="spellStart"/>
      <w:r w:rsidRPr="00771E6E">
        <w:rPr>
          <w:lang w:val="en-GB"/>
        </w:rPr>
        <w:t>Dominici</w:t>
      </w:r>
      <w:proofErr w:type="spellEnd"/>
      <w:r w:rsidRPr="00771E6E">
        <w:rPr>
          <w:lang w:val="en-GB"/>
        </w:rPr>
        <w:t xml:space="preserve">, childlike angels were also an obvious type of </w:t>
      </w:r>
      <w:r w:rsidRPr="00771E6E">
        <w:rPr>
          <w:i/>
          <w:lang w:val="en-GB"/>
        </w:rPr>
        <w:t>exemplum</w:t>
      </w:r>
      <w:r w:rsidRPr="00771E6E">
        <w:rPr>
          <w:lang w:val="en-GB"/>
        </w:rPr>
        <w:t xml:space="preserve"> for young viewers. Children, at an early stage in their development, were considered to be extremely impressionable. Thus,</w:t>
      </w:r>
      <w:r w:rsidRPr="00771E6E">
        <w:rPr>
          <w:color w:val="FF0000"/>
          <w:lang w:val="en-GB"/>
        </w:rPr>
        <w:t xml:space="preserve"> </w:t>
      </w:r>
      <w:r w:rsidRPr="00771E6E">
        <w:rPr>
          <w:lang w:val="en-GB"/>
        </w:rPr>
        <w:t xml:space="preserve">the domestic environment would have become the location for further teaching, by displaying images designed to have a positive impact on the moral development of young members of the household, and in particular by displaying examples of virtue to which they could relate. </w:t>
      </w:r>
      <w:proofErr w:type="spellStart"/>
      <w:r w:rsidRPr="00771E6E">
        <w:rPr>
          <w:lang w:val="en-GB"/>
        </w:rPr>
        <w:t>Dominici</w:t>
      </w:r>
      <w:proofErr w:type="spellEnd"/>
      <w:r w:rsidRPr="00771E6E">
        <w:rPr>
          <w:lang w:val="en-GB"/>
        </w:rPr>
        <w:t xml:space="preserve"> advises parents to “have in the home paintings of young saints or young virgins, </w:t>
      </w:r>
      <w:r w:rsidRPr="00771E6E">
        <w:rPr>
          <w:color w:val="000000"/>
          <w:lang w:val="en-GB"/>
        </w:rPr>
        <w:t>in which your child, still in swaddling clothes, may take delight and be blissful for being similar [to them], with acts and signs pleasing to children.”</w:t>
      </w:r>
      <w:r w:rsidRPr="00771E6E">
        <w:rPr>
          <w:rStyle w:val="FootnoteReference"/>
        </w:rPr>
        <w:footnoteReference w:id="799"/>
      </w:r>
      <w:r w:rsidRPr="00771E6E">
        <w:rPr>
          <w:lang w:val="en-GB"/>
        </w:rPr>
        <w:t xml:space="preserve"> </w:t>
      </w:r>
    </w:p>
    <w:p w14:paraId="7DFEE403" w14:textId="77777777" w:rsidR="003D0037" w:rsidRPr="00771E6E" w:rsidRDefault="003D0037" w:rsidP="003D0037">
      <w:pPr>
        <w:ind w:firstLine="720"/>
        <w:rPr>
          <w:rFonts w:eastAsia="Times New Roman" w:cs="Times New Roman"/>
          <w:color w:val="141414"/>
          <w:lang w:val="en-GB"/>
        </w:rPr>
      </w:pPr>
      <w:r w:rsidRPr="00771E6E">
        <w:rPr>
          <w:lang w:val="en-GB"/>
        </w:rPr>
        <w:t>Music studies were also similarly advocated as means of acquiring virtue. Musical training was thought t</w:t>
      </w:r>
      <w:r w:rsidRPr="00771E6E">
        <w:rPr>
          <w:bCs/>
          <w:iCs/>
          <w:color w:val="000000" w:themeColor="text1"/>
          <w:lang w:val="en-GB"/>
        </w:rPr>
        <w:t xml:space="preserve">o “enhance character,” according to </w:t>
      </w:r>
      <w:proofErr w:type="spellStart"/>
      <w:r w:rsidRPr="00771E6E">
        <w:rPr>
          <w:bCs/>
          <w:iCs/>
          <w:color w:val="000000" w:themeColor="text1"/>
          <w:lang w:val="en-GB"/>
        </w:rPr>
        <w:t>Gaffurius</w:t>
      </w:r>
      <w:proofErr w:type="spellEnd"/>
      <w:r w:rsidRPr="00771E6E">
        <w:rPr>
          <w:bCs/>
          <w:iCs/>
          <w:color w:val="000000" w:themeColor="text1"/>
          <w:lang w:val="en-GB"/>
        </w:rPr>
        <w:t>,</w:t>
      </w:r>
      <w:r w:rsidRPr="00771E6E">
        <w:rPr>
          <w:rStyle w:val="FootnoteReference"/>
        </w:rPr>
        <w:footnoteReference w:id="800"/>
      </w:r>
      <w:r w:rsidRPr="00771E6E">
        <w:rPr>
          <w:bCs/>
          <w:iCs/>
          <w:color w:val="000000" w:themeColor="text1"/>
          <w:lang w:val="en-GB"/>
        </w:rPr>
        <w:t xml:space="preserve"> and to “</w:t>
      </w:r>
      <w:r w:rsidRPr="00771E6E">
        <w:rPr>
          <w:lang w:val="en-GB"/>
        </w:rPr>
        <w:t>moderate the movements of the soul under the rule of reason,</w:t>
      </w:r>
      <w:r w:rsidRPr="00771E6E">
        <w:rPr>
          <w:bCs/>
          <w:iCs/>
          <w:color w:val="000000" w:themeColor="text1"/>
          <w:lang w:val="en-GB"/>
        </w:rPr>
        <w:t xml:space="preserve">” in the words of </w:t>
      </w:r>
      <w:proofErr w:type="spellStart"/>
      <w:r w:rsidRPr="00771E6E">
        <w:rPr>
          <w:bCs/>
          <w:iCs/>
          <w:color w:val="000000" w:themeColor="text1"/>
          <w:lang w:val="en-GB"/>
        </w:rPr>
        <w:t>Vergerio</w:t>
      </w:r>
      <w:proofErr w:type="spellEnd"/>
      <w:r w:rsidRPr="00771E6E">
        <w:rPr>
          <w:bCs/>
          <w:iCs/>
          <w:color w:val="000000" w:themeColor="text1"/>
          <w:lang w:val="en-GB"/>
        </w:rPr>
        <w:t>.</w:t>
      </w:r>
      <w:r w:rsidRPr="00771E6E">
        <w:rPr>
          <w:rStyle w:val="FootnoteReference"/>
        </w:rPr>
        <w:footnoteReference w:id="801"/>
      </w:r>
      <w:r w:rsidRPr="00771E6E">
        <w:rPr>
          <w:bCs/>
          <w:iCs/>
          <w:color w:val="000000" w:themeColor="text1"/>
          <w:lang w:val="en-GB"/>
        </w:rPr>
        <w:t xml:space="preserve"> </w:t>
      </w:r>
      <w:r w:rsidRPr="00771E6E">
        <w:rPr>
          <w:rFonts w:eastAsia="Times New Roman" w:cs="Times New Roman"/>
          <w:color w:val="141414"/>
          <w:lang w:val="en-GB"/>
        </w:rPr>
        <w:t xml:space="preserve">Of course, not all music was considered equal: some types of music were considered to be lascivious and sinful, and therefore in order to develop a virtuous character children should only be exposed to the correct music. Music would have permeated the domestic environment, and musical activities would have involved the whole family. The </w:t>
      </w:r>
      <w:r w:rsidRPr="00771E6E">
        <w:rPr>
          <w:rFonts w:eastAsia="Times New Roman" w:cs="Times New Roman"/>
          <w:i/>
          <w:color w:val="141414"/>
          <w:lang w:val="en-GB"/>
        </w:rPr>
        <w:t>camera</w:t>
      </w:r>
      <w:r w:rsidRPr="00771E6E">
        <w:rPr>
          <w:rFonts w:eastAsia="Times New Roman" w:cs="Times New Roman"/>
          <w:color w:val="141414"/>
          <w:lang w:val="en-GB"/>
        </w:rPr>
        <w:t xml:space="preserve">, in particular, can be understood as a multi-purpose space, in which music-making took place alongside a number of other activities. As young people from elite families would have been closely acquainted with the theory and practice of music, they would have certainly been able to recognise and relate to the musical and music-pedagogical practices depicted in the images around them. </w:t>
      </w:r>
    </w:p>
    <w:p w14:paraId="367E359C" w14:textId="77777777" w:rsidR="003D0037" w:rsidRPr="00771E6E" w:rsidRDefault="003D0037" w:rsidP="003D0037">
      <w:pPr>
        <w:ind w:firstLine="720"/>
        <w:rPr>
          <w:rFonts w:eastAsia="Times New Roman" w:cs="Times New Roman"/>
          <w:color w:val="141414"/>
          <w:lang w:val="en-GB"/>
        </w:rPr>
      </w:pPr>
      <w:r w:rsidRPr="00771E6E">
        <w:rPr>
          <w:rFonts w:eastAsia="Times New Roman" w:cs="Times New Roman"/>
          <w:color w:val="141414"/>
          <w:lang w:val="en-GB"/>
        </w:rPr>
        <w:t>Domestic environments can therefore be seen as the setting for a range of educational practices. Learning was considered to be constantly occurring, and so careful consideration had to be taken in determining the types of visual stimuli that were suitable for this space, due to the perceived power of images over the beholder. This would, of course, have been especially true in spaces where children were present, since they were considered highly impressionable</w:t>
      </w:r>
      <w:r w:rsidRPr="00771E6E">
        <w:rPr>
          <w:lang w:val="en-GB"/>
        </w:rPr>
        <w:t xml:space="preserve"> and described by contemporary authors as malleable </w:t>
      </w:r>
      <w:r w:rsidRPr="00771E6E">
        <w:rPr>
          <w:lang w:val="en-GB"/>
        </w:rPr>
        <w:lastRenderedPageBreak/>
        <w:t>“like soft wax.”</w:t>
      </w:r>
      <w:r w:rsidRPr="00771E6E">
        <w:rPr>
          <w:rFonts w:eastAsia="Times New Roman" w:cs="Times New Roman"/>
          <w:color w:val="141414"/>
          <w:lang w:val="en-GB"/>
        </w:rPr>
        <w:t xml:space="preserve"> Given the importance assigned to moral education, and the power that images were understood to have, it becomes clear that providing positive moral examples would have been of paramount importance in Renaissance homes.</w:t>
      </w:r>
    </w:p>
    <w:p w14:paraId="22DB7884" w14:textId="77777777" w:rsidR="003D0037" w:rsidRPr="00771E6E" w:rsidRDefault="003D0037" w:rsidP="003D0037">
      <w:pPr>
        <w:ind w:firstLine="720"/>
        <w:rPr>
          <w:lang w:val="en-GB"/>
        </w:rPr>
      </w:pPr>
      <w:r w:rsidRPr="00771E6E">
        <w:rPr>
          <w:lang w:val="en-GB"/>
        </w:rPr>
        <w:t xml:space="preserve">Angels were omnipresent in the daily lives of Renaissance Florentines. Biblical notions of angels were already well established by this time, and carried enormous significance. Alongside the Virgin and Child, who were unquestionably the most popular subject in religious art, angels appeared frequently in both ecclesiastical and domestic devotional art during this period. Many angels represented in art were explicitly musical, and over the course of this study it has become increasingly obvious that many others contain more subtle musical references which allude to their music-making. </w:t>
      </w:r>
    </w:p>
    <w:p w14:paraId="58AB276F" w14:textId="77777777" w:rsidR="003D0037" w:rsidRPr="00771E6E" w:rsidRDefault="003D0037" w:rsidP="003D0037">
      <w:pPr>
        <w:ind w:firstLine="720"/>
        <w:rPr>
          <w:lang w:val="en-GB"/>
        </w:rPr>
      </w:pPr>
      <w:r w:rsidRPr="00771E6E">
        <w:rPr>
          <w:lang w:val="en-GB"/>
        </w:rPr>
        <w:t xml:space="preserve">The present research has also reconsidered the traditional definition of </w:t>
      </w:r>
      <w:r w:rsidRPr="00771E6E">
        <w:rPr>
          <w:i/>
          <w:lang w:val="en-GB"/>
        </w:rPr>
        <w:t>musical</w:t>
      </w:r>
      <w:r w:rsidRPr="00771E6E">
        <w:rPr>
          <w:lang w:val="en-GB"/>
        </w:rPr>
        <w:t xml:space="preserve"> angels, and the indicative factors that facilitate their identification. This has led me to the conclusion that it is possible to identify musical angels based upon a far wider range of indicators than simply the presence of musical instruments or written notation. The words of hymns known to have been set to music during this period, which can be noticed in a number of these works of art, would doubtless have invoked a musical reading of these angels in the minds of contemporary viewers. Marian symbols, or other attributes such as the book of the </w:t>
      </w:r>
      <w:r w:rsidRPr="00771E6E">
        <w:rPr>
          <w:i/>
          <w:lang w:val="en-GB"/>
        </w:rPr>
        <w:t>Magnificat</w:t>
      </w:r>
      <w:r w:rsidRPr="00771E6E">
        <w:rPr>
          <w:lang w:val="en-GB"/>
        </w:rPr>
        <w:t xml:space="preserve">, could also be understood as musical references, and would have resonated with contemporary viewers in ways which, from a modern perspective, are no longer obvious. Furthermore, the largely unrecognised presence of the </w:t>
      </w:r>
      <w:r w:rsidRPr="00771E6E">
        <w:rPr>
          <w:i/>
          <w:lang w:val="en-GB"/>
        </w:rPr>
        <w:t>tactus</w:t>
      </w:r>
      <w:r w:rsidRPr="00771E6E">
        <w:rPr>
          <w:lang w:val="en-GB"/>
        </w:rPr>
        <w:t xml:space="preserve"> gesture in a vast number of works depicting musical angels has been instrumental in allowing this thesis to identify angels who are engaging in musical practices, despite the absence of other visual indicators. This serves to transform them into </w:t>
      </w:r>
      <w:r w:rsidRPr="00771E6E">
        <w:rPr>
          <w:i/>
          <w:lang w:val="en-GB"/>
        </w:rPr>
        <w:t>musical</w:t>
      </w:r>
      <w:r w:rsidRPr="00771E6E">
        <w:rPr>
          <w:lang w:val="en-GB"/>
        </w:rPr>
        <w:t xml:space="preserve"> angels, and indeed also transforms our understanding of them and their role. </w:t>
      </w:r>
    </w:p>
    <w:p w14:paraId="3914B21B" w14:textId="77777777" w:rsidR="003D0037" w:rsidRPr="00771E6E" w:rsidRDefault="003D0037" w:rsidP="003D0037">
      <w:pPr>
        <w:contextualSpacing/>
        <w:rPr>
          <w:lang w:val="en-GB"/>
        </w:rPr>
      </w:pPr>
      <w:r w:rsidRPr="00771E6E">
        <w:rPr>
          <w:lang w:val="en-GB"/>
        </w:rPr>
        <w:tab/>
        <w:t xml:space="preserve">Whether as part of biblical stories, paintings in churches, or private devotional images, the presence of angels would have been constant. However, the scarcity of documentary records concerning the inclusion of angels in images makes their direct study more difficult than their ubiquity would seem to deserve. In view of the extensive angelic contribution to daily life, the presence, significance and influence of musical angels would have been carefully thought through when bringing them into the home. When considering likely models for impressionable children in this light, angelic figures seem a natural choice. While other figures commonly depicted, such as the Virgin Mary, appear to be aimed more at the older members of the family, these youthful characters, seemingly ancillary in much the same way that children themselves were ancillary to the important </w:t>
      </w:r>
      <w:r w:rsidRPr="00771E6E">
        <w:rPr>
          <w:lang w:val="en-GB"/>
        </w:rPr>
        <w:lastRenderedPageBreak/>
        <w:t>activities of their mothers and fathers, emerge as an indispensable asset for dispensing moral learning.</w:t>
      </w:r>
    </w:p>
    <w:p w14:paraId="6A01750C" w14:textId="77777777" w:rsidR="003D0037" w:rsidRPr="00771E6E" w:rsidRDefault="003D0037" w:rsidP="003D0037">
      <w:pPr>
        <w:ind w:firstLine="720"/>
        <w:rPr>
          <w:rFonts w:cs="Times New Roman"/>
          <w:color w:val="000000"/>
        </w:rPr>
      </w:pPr>
      <w:r w:rsidRPr="00771E6E">
        <w:rPr>
          <w:lang w:val="en-GB"/>
        </w:rPr>
        <w:t xml:space="preserve">This relationship between children and angels was, in fact, complex and profound. Angels were presented as guides and teachers in other contexts. The story of Tobias and the Angel embodies this, as the biblical adult Tobias becomes a child of varying ages in the Florentine art of the time. Young people were encouraged to emulate angels in many different ways, perhaps the most striking example being the way in which children would play the role of angels in </w:t>
      </w:r>
      <w:proofErr w:type="spellStart"/>
      <w:r w:rsidRPr="00771E6E">
        <w:rPr>
          <w:rFonts w:cs="Times New Roman"/>
          <w:i/>
          <w:color w:val="000000"/>
        </w:rPr>
        <w:t>sacre</w:t>
      </w:r>
      <w:proofErr w:type="spellEnd"/>
      <w:r w:rsidRPr="00771E6E">
        <w:rPr>
          <w:rFonts w:cs="Times New Roman"/>
          <w:i/>
          <w:color w:val="000000"/>
        </w:rPr>
        <w:t xml:space="preserve"> </w:t>
      </w:r>
      <w:proofErr w:type="spellStart"/>
      <w:r w:rsidRPr="00771E6E">
        <w:rPr>
          <w:rFonts w:cs="Times New Roman"/>
          <w:i/>
          <w:color w:val="000000"/>
        </w:rPr>
        <w:t>rappresentazioni</w:t>
      </w:r>
      <w:proofErr w:type="spellEnd"/>
      <w:r w:rsidRPr="00771E6E">
        <w:rPr>
          <w:rFonts w:cs="Times New Roman"/>
          <w:color w:val="000000"/>
        </w:rPr>
        <w:t xml:space="preserve">, making music and singing. This childhood engagement with the angelic figure and with music-making demonstrates the extent of their interwoven identities. The fact that devices used for teaching music such as </w:t>
      </w:r>
      <w:r w:rsidRPr="00771E6E">
        <w:rPr>
          <w:rFonts w:cs="Times New Roman"/>
          <w:i/>
          <w:color w:val="000000"/>
        </w:rPr>
        <w:t>tactus</w:t>
      </w:r>
      <w:r w:rsidRPr="00771E6E">
        <w:rPr>
          <w:rFonts w:cs="Times New Roman"/>
          <w:color w:val="000000"/>
        </w:rPr>
        <w:t xml:space="preserve"> were depicted in images of musical angels further reinforces their role as guides and teachers.</w:t>
      </w:r>
    </w:p>
    <w:p w14:paraId="54F432E3" w14:textId="77777777" w:rsidR="003D0037" w:rsidRPr="00771E6E" w:rsidRDefault="003D0037" w:rsidP="003D0037">
      <w:pPr>
        <w:ind w:firstLine="720"/>
        <w:rPr>
          <w:lang w:val="en-GB"/>
        </w:rPr>
      </w:pPr>
      <w:r w:rsidRPr="00771E6E">
        <w:rPr>
          <w:rFonts w:cs="Times New Roman"/>
          <w:color w:val="000000"/>
        </w:rPr>
        <w:t xml:space="preserve">Considering that contemporary artists routinely modelled their representations of angels on children, it follows that the nature of the relationship between musical angels and children was reciprocal: musical angels were depicted as children, and at the same time actual children imitated musical angels and were described as angelic. </w:t>
      </w:r>
      <w:r w:rsidRPr="00771E6E">
        <w:rPr>
          <w:lang w:val="en-GB"/>
        </w:rPr>
        <w:t xml:space="preserve">In light of this, it seems reasonable to conclude that angelic, music-making figures in the home would have appeared as profoundly relatable for young members of the household. As such, they would have been perfectly placed to provide moralising </w:t>
      </w:r>
      <w:r w:rsidRPr="00771E6E">
        <w:rPr>
          <w:i/>
          <w:lang w:val="en-GB"/>
        </w:rPr>
        <w:t>exempla</w:t>
      </w:r>
      <w:r w:rsidRPr="00771E6E">
        <w:rPr>
          <w:lang w:val="en-GB"/>
        </w:rPr>
        <w:t xml:space="preserve"> for children, who would be encouraged to imitate them in their music-making, and in their musical praise of divine figures such as the Virgin and Child.</w:t>
      </w:r>
    </w:p>
    <w:p w14:paraId="37510D06" w14:textId="77777777" w:rsidR="003D0037" w:rsidRPr="00771E6E" w:rsidRDefault="003D0037" w:rsidP="003D0037">
      <w:pPr>
        <w:ind w:firstLine="720"/>
        <w:rPr>
          <w:lang w:val="en-GB"/>
        </w:rPr>
      </w:pPr>
      <w:r w:rsidRPr="00771E6E">
        <w:rPr>
          <w:lang w:val="en-GB"/>
        </w:rPr>
        <w:t xml:space="preserve">Despite a lack of detailed documentary evidence, and the difficulty in assigning a specific work to a precise domestic location, some works can be placed with a greater degree of certainty. Among these, Florentine </w:t>
      </w:r>
      <w:r w:rsidRPr="00771E6E">
        <w:rPr>
          <w:i/>
          <w:lang w:val="en-GB"/>
        </w:rPr>
        <w:t>tondi</w:t>
      </w:r>
      <w:r w:rsidRPr="00771E6E">
        <w:rPr>
          <w:lang w:val="en-GB"/>
        </w:rPr>
        <w:t xml:space="preserve">, frequently featuring musical angels and relatively securely associated with a domestic setting, offer an excellent case study. </w:t>
      </w:r>
      <w:r w:rsidRPr="00771E6E">
        <w:rPr>
          <w:i/>
          <w:lang w:val="en-GB"/>
        </w:rPr>
        <w:t>Tondi</w:t>
      </w:r>
      <w:r w:rsidRPr="00771E6E">
        <w:rPr>
          <w:lang w:val="en-GB"/>
        </w:rPr>
        <w:t xml:space="preserve"> show a remarkable correlation with domestic mirrors, in both their shape and their usage. Encouraging viewers to “mirror” themselves in the figures depicted within these </w:t>
      </w:r>
      <w:r w:rsidRPr="00771E6E">
        <w:rPr>
          <w:i/>
          <w:lang w:val="en-GB"/>
        </w:rPr>
        <w:t>tondi</w:t>
      </w:r>
      <w:r w:rsidRPr="00771E6E">
        <w:rPr>
          <w:lang w:val="en-GB"/>
        </w:rPr>
        <w:t xml:space="preserve"> helps to configure them as divine aspirational models, reflecting idealised virtue. The fact that they would often hang in the same domestic space as an actual mirror certainly created a juxtaposition of the earthly and the heavenly, which would have had the effect of accentuating their moralising message. While this imitable quality may seem most apparent when considered in relation to their primary characters – most often the Virgin and Child – this would, of course, equally apply to the musical angels that accompanied them in these </w:t>
      </w:r>
      <w:r w:rsidRPr="00771E6E">
        <w:rPr>
          <w:i/>
          <w:lang w:val="en-GB"/>
        </w:rPr>
        <w:t>tondi</w:t>
      </w:r>
      <w:r w:rsidRPr="00771E6E">
        <w:rPr>
          <w:lang w:val="en-GB"/>
        </w:rPr>
        <w:t>, whom the children in the house would have been expected to imitate.</w:t>
      </w:r>
    </w:p>
    <w:p w14:paraId="3B6D81DC" w14:textId="77777777" w:rsidR="003D0037" w:rsidRPr="00771E6E" w:rsidRDefault="003D0037" w:rsidP="003D0037">
      <w:pPr>
        <w:ind w:firstLine="720"/>
        <w:rPr>
          <w:lang w:val="en-GB"/>
        </w:rPr>
      </w:pPr>
      <w:r w:rsidRPr="00771E6E">
        <w:rPr>
          <w:lang w:val="en-GB"/>
        </w:rPr>
        <w:lastRenderedPageBreak/>
        <w:t xml:space="preserve">Having established that the musical angels in these </w:t>
      </w:r>
      <w:r w:rsidRPr="00771E6E">
        <w:rPr>
          <w:i/>
          <w:lang w:val="en-GB"/>
        </w:rPr>
        <w:t>tondi</w:t>
      </w:r>
      <w:r w:rsidRPr="00771E6E">
        <w:rPr>
          <w:lang w:val="en-GB"/>
        </w:rPr>
        <w:t xml:space="preserve"> seem to be ideal for providing </w:t>
      </w:r>
      <w:r w:rsidRPr="00771E6E">
        <w:rPr>
          <w:i/>
          <w:lang w:val="en-GB"/>
        </w:rPr>
        <w:t>exempla</w:t>
      </w:r>
      <w:r w:rsidRPr="00771E6E">
        <w:rPr>
          <w:lang w:val="en-GB"/>
        </w:rPr>
        <w:t xml:space="preserve"> of virtuous behaviour for children, I have used this foundation to provide a new reading of the role of musical angels in a number of surviving </w:t>
      </w:r>
      <w:r w:rsidRPr="00771E6E">
        <w:rPr>
          <w:i/>
          <w:lang w:val="en-GB"/>
        </w:rPr>
        <w:t>tondi</w:t>
      </w:r>
      <w:r w:rsidRPr="00771E6E">
        <w:rPr>
          <w:lang w:val="en-GB"/>
        </w:rPr>
        <w:t xml:space="preserve">, including those produced by great masters such as Botticelli. Using these as case studies, it becomes apparent that the musical angels in these works, far from merely being incidental background figures, are in fact performing a complex pedagogic function, engaging with young viewers and providing them with relatable examples to emulate. The inclusion of musical </w:t>
      </w:r>
      <w:proofErr w:type="spellStart"/>
      <w:r w:rsidRPr="00771E6E">
        <w:rPr>
          <w:i/>
          <w:lang w:val="en-GB"/>
        </w:rPr>
        <w:t>festaioli</w:t>
      </w:r>
      <w:proofErr w:type="spellEnd"/>
      <w:r w:rsidRPr="00771E6E">
        <w:rPr>
          <w:lang w:val="en-GB"/>
        </w:rPr>
        <w:t xml:space="preserve"> in these pictures serves exactly this purpose, </w:t>
      </w:r>
      <w:r w:rsidRPr="00771E6E">
        <w:t>helping to engage young viewers with the event depicted and encouraging them to join in with their musical worship.</w:t>
      </w:r>
    </w:p>
    <w:p w14:paraId="731BB73A" w14:textId="77777777" w:rsidR="003D0037" w:rsidRPr="00771E6E" w:rsidRDefault="003D0037" w:rsidP="003D0037">
      <w:pPr>
        <w:ind w:firstLine="720"/>
        <w:rPr>
          <w:lang w:val="en-GB"/>
        </w:rPr>
      </w:pPr>
      <w:r w:rsidRPr="00771E6E">
        <w:rPr>
          <w:lang w:val="en-GB"/>
        </w:rPr>
        <w:t xml:space="preserve">While </w:t>
      </w:r>
      <w:r w:rsidRPr="00771E6E">
        <w:rPr>
          <w:i/>
          <w:lang w:val="en-GB"/>
        </w:rPr>
        <w:t>tondi</w:t>
      </w:r>
      <w:r w:rsidRPr="00771E6E">
        <w:rPr>
          <w:lang w:val="en-GB"/>
        </w:rPr>
        <w:t xml:space="preserve"> provide a rich source of examples which readily demonstrate the positioning of musical angels as didactic models, this concept extends far beyond the </w:t>
      </w:r>
      <w:r w:rsidRPr="00771E6E">
        <w:rPr>
          <w:i/>
          <w:lang w:val="en-GB"/>
        </w:rPr>
        <w:t>tondi</w:t>
      </w:r>
      <w:r w:rsidRPr="00771E6E">
        <w:rPr>
          <w:lang w:val="en-GB"/>
        </w:rPr>
        <w:t xml:space="preserve"> discussed. I have considered a number of other examples of decorated objects and domestic furnishings in which musical angels appear, which can be interpreted in the same way as seen for </w:t>
      </w:r>
      <w:r w:rsidRPr="00771E6E">
        <w:rPr>
          <w:i/>
          <w:lang w:val="en-GB"/>
        </w:rPr>
        <w:t>tondi</w:t>
      </w:r>
      <w:r w:rsidRPr="00771E6E">
        <w:rPr>
          <w:lang w:val="en-GB"/>
        </w:rPr>
        <w:t>. In addition, I have reassessed the angelic figures in the Magi Chapel in the Medici Palace, which exemplifies how the function of these musical angels can be understood when employed in the wealthiest domestic environment; and in contrast, I have also studied devotional images in reproducible media, to uncover parallel strategies even in inexpensive domestic images.</w:t>
      </w:r>
    </w:p>
    <w:p w14:paraId="095111E7" w14:textId="5776AC49" w:rsidR="00535ED7" w:rsidRPr="00771E6E" w:rsidRDefault="003D0037" w:rsidP="00535ED7">
      <w:pPr>
        <w:ind w:firstLine="720"/>
      </w:pPr>
      <w:r w:rsidRPr="00771E6E">
        <w:rPr>
          <w:lang w:val="en-GB"/>
        </w:rPr>
        <w:t xml:space="preserve">In sum, this thesis presents a substantive reconsideration of the role of musical angels during the fifteenth and sixteenth century in Florence, and helps to reinterpret angels as far more significant figures in domestic art than has previously been appreciated. This thesis establishes a firm understanding of their pedagogic function within the home, an area of study which, until this time, </w:t>
      </w:r>
      <w:r w:rsidR="000E683A" w:rsidRPr="00771E6E">
        <w:rPr>
          <w:lang w:val="en-GB"/>
        </w:rPr>
        <w:t xml:space="preserve">has </w:t>
      </w:r>
      <w:r w:rsidRPr="00771E6E">
        <w:rPr>
          <w:lang w:val="en-GB"/>
        </w:rPr>
        <w:t xml:space="preserve">been under-investigated. Whilst I have considered a large portfolio of examples, and given substantial new readings of several artworks, the context and the approach presented here will undoubtedly help to interpret many other images not under consideration in this study, and in taking this work forward future research may uncover further aspects of the didactic function of musical angels. In particular, miniatures of musical angels sometimes decorate the pages of devotional texts such as Books of Hours, a type of image not considered in the present study. Books of hours and psalters were used in teaching children how to read, and so these small-format images would make an obvious starting point for future research on this topic. </w:t>
      </w:r>
      <w:r w:rsidRPr="00771E6E">
        <w:t xml:space="preserve">Furthermore, it would be interesting to see how the depiction of musical angels, and their pedagogic function, changes during the Counter-Reformation, when the production of </w:t>
      </w:r>
      <w:r w:rsidRPr="00771E6E">
        <w:lastRenderedPageBreak/>
        <w:t xml:space="preserve">images was regulated by strict norms dictated by the Catholic Church – or indeed whether musical angels remain unaffected. </w:t>
      </w:r>
      <w:r w:rsidRPr="00771E6E">
        <w:rPr>
          <w:lang w:val="en-GB"/>
        </w:rPr>
        <w:t>Finally, it would also be interesting to draw on modern scientific theories on the perception of images as part of child development and learning to investigate the cognitive efficacy of the imitative methods of education discussed in this thesis. These new prospects offer rich possibilities for a postdoctoral project.</w:t>
      </w:r>
    </w:p>
    <w:p w14:paraId="062878B4" w14:textId="77777777" w:rsidR="00535ED7" w:rsidRPr="00771E6E" w:rsidRDefault="00535ED7">
      <w:pPr>
        <w:spacing w:line="240" w:lineRule="auto"/>
      </w:pPr>
      <w:r w:rsidRPr="00771E6E">
        <w:br w:type="page"/>
      </w:r>
    </w:p>
    <w:p w14:paraId="59AB4431" w14:textId="77777777" w:rsidR="008A116C" w:rsidRPr="00771E6E" w:rsidRDefault="00535ED7" w:rsidP="00535ED7">
      <w:pPr>
        <w:pStyle w:val="Heading1"/>
        <w:rPr>
          <w:rStyle w:val="a-size-medium"/>
        </w:rPr>
      </w:pPr>
      <w:bookmarkStart w:id="84" w:name="_Toc20167620"/>
      <w:proofErr w:type="spellStart"/>
      <w:r w:rsidRPr="00771E6E">
        <w:rPr>
          <w:rStyle w:val="a-size-medium"/>
        </w:rPr>
        <w:lastRenderedPageBreak/>
        <w:t>Bibliography</w:t>
      </w:r>
      <w:bookmarkEnd w:id="84"/>
      <w:proofErr w:type="spellEnd"/>
    </w:p>
    <w:p w14:paraId="1A63EB7D" w14:textId="77777777" w:rsidR="00F33779" w:rsidRPr="00771E6E" w:rsidRDefault="00F33779" w:rsidP="00182EED">
      <w:pPr>
        <w:rPr>
          <w:rStyle w:val="a-size-medium"/>
        </w:rPr>
      </w:pPr>
    </w:p>
    <w:p w14:paraId="064DCC2B" w14:textId="77777777" w:rsidR="00F33779" w:rsidRPr="00771E6E" w:rsidRDefault="00F33779" w:rsidP="00182EED">
      <w:pPr>
        <w:pStyle w:val="Subchapter"/>
        <w:rPr>
          <w:b/>
          <w:bCs/>
          <w:i w:val="0"/>
          <w:iCs/>
        </w:rPr>
      </w:pPr>
      <w:bookmarkStart w:id="85" w:name="_Toc20167621"/>
      <w:r w:rsidRPr="00771E6E">
        <w:rPr>
          <w:b/>
          <w:bCs/>
          <w:i w:val="0"/>
          <w:iCs/>
        </w:rPr>
        <w:t>Primary Sources</w:t>
      </w:r>
      <w:bookmarkEnd w:id="85"/>
    </w:p>
    <w:p w14:paraId="719E321C" w14:textId="77777777" w:rsidR="00F33779" w:rsidRPr="00771E6E" w:rsidRDefault="00F33779" w:rsidP="00F33779"/>
    <w:p w14:paraId="5CF5479E" w14:textId="77777777" w:rsidR="00F33779" w:rsidRPr="00771E6E" w:rsidRDefault="00F33779" w:rsidP="00F33779">
      <w:pPr>
        <w:pStyle w:val="Bibliography"/>
        <w:ind w:left="709" w:hanging="709"/>
      </w:pPr>
      <w:r w:rsidRPr="00771E6E">
        <w:t xml:space="preserve">Alani de </w:t>
      </w:r>
      <w:proofErr w:type="spellStart"/>
      <w:r w:rsidRPr="00771E6E">
        <w:t>Insulis</w:t>
      </w:r>
      <w:proofErr w:type="spellEnd"/>
      <w:r w:rsidRPr="00771E6E">
        <w:t xml:space="preserve">. “De sex </w:t>
      </w:r>
      <w:proofErr w:type="spellStart"/>
      <w:r w:rsidRPr="00771E6E">
        <w:t>alis</w:t>
      </w:r>
      <w:proofErr w:type="spellEnd"/>
      <w:r w:rsidRPr="00771E6E">
        <w:t xml:space="preserve"> cherubim.” In </w:t>
      </w:r>
      <w:r w:rsidRPr="00771E6E">
        <w:rPr>
          <w:i/>
          <w:iCs/>
        </w:rPr>
        <w:t>Opera Omnia</w:t>
      </w:r>
      <w:r w:rsidRPr="00771E6E">
        <w:t xml:space="preserve">, edited by J. P. </w:t>
      </w:r>
      <w:proofErr w:type="spellStart"/>
      <w:r w:rsidRPr="00771E6E">
        <w:t>Migne</w:t>
      </w:r>
      <w:proofErr w:type="spellEnd"/>
      <w:r w:rsidRPr="00771E6E">
        <w:t xml:space="preserve">, Vol. 210. </w:t>
      </w:r>
      <w:proofErr w:type="spellStart"/>
      <w:r w:rsidRPr="00771E6E">
        <w:t>Patrologia</w:t>
      </w:r>
      <w:proofErr w:type="spellEnd"/>
      <w:r w:rsidRPr="00771E6E">
        <w:t xml:space="preserve"> Latina. Paris: </w:t>
      </w:r>
      <w:proofErr w:type="spellStart"/>
      <w:r w:rsidRPr="00771E6E">
        <w:t>Migne</w:t>
      </w:r>
      <w:proofErr w:type="spellEnd"/>
      <w:r w:rsidRPr="00771E6E">
        <w:t>, 1855.</w:t>
      </w:r>
    </w:p>
    <w:p w14:paraId="48C96485" w14:textId="77777777" w:rsidR="00F33779" w:rsidRPr="00771E6E" w:rsidRDefault="00F33779" w:rsidP="00F33779">
      <w:pPr>
        <w:pStyle w:val="Bibliography"/>
        <w:ind w:left="709" w:hanging="709"/>
      </w:pPr>
      <w:r w:rsidRPr="00771E6E">
        <w:t xml:space="preserve">Alberti, Leon Battista. </w:t>
      </w:r>
      <w:r w:rsidRPr="00771E6E">
        <w:rPr>
          <w:i/>
          <w:iCs/>
        </w:rPr>
        <w:t xml:space="preserve">I libri </w:t>
      </w:r>
      <w:proofErr w:type="spellStart"/>
      <w:r w:rsidRPr="00771E6E">
        <w:rPr>
          <w:i/>
          <w:iCs/>
        </w:rPr>
        <w:t>della</w:t>
      </w:r>
      <w:proofErr w:type="spellEnd"/>
      <w:r w:rsidRPr="00771E6E">
        <w:rPr>
          <w:i/>
          <w:iCs/>
        </w:rPr>
        <w:t xml:space="preserve"> </w:t>
      </w:r>
      <w:proofErr w:type="spellStart"/>
      <w:r w:rsidRPr="00771E6E">
        <w:rPr>
          <w:i/>
          <w:iCs/>
        </w:rPr>
        <w:t>famiglia</w:t>
      </w:r>
      <w:proofErr w:type="spellEnd"/>
      <w:r w:rsidRPr="00771E6E">
        <w:t xml:space="preserve">. Edited by Ruggiero Romano and Alberto </w:t>
      </w:r>
      <w:proofErr w:type="spellStart"/>
      <w:r w:rsidRPr="00771E6E">
        <w:t>Tenenti</w:t>
      </w:r>
      <w:proofErr w:type="spellEnd"/>
      <w:r w:rsidRPr="00771E6E">
        <w:t xml:space="preserve">. Turin: Giulio Einaudi </w:t>
      </w:r>
      <w:proofErr w:type="spellStart"/>
      <w:r w:rsidRPr="00771E6E">
        <w:t>Editore</w:t>
      </w:r>
      <w:proofErr w:type="spellEnd"/>
      <w:r w:rsidRPr="00771E6E">
        <w:t>, 1969.</w:t>
      </w:r>
    </w:p>
    <w:p w14:paraId="71222046" w14:textId="77777777" w:rsidR="00F33779" w:rsidRPr="00771E6E" w:rsidRDefault="00F33779" w:rsidP="00F33779">
      <w:pPr>
        <w:pStyle w:val="Bibliography"/>
        <w:ind w:left="709" w:hanging="709"/>
      </w:pPr>
      <w:r w:rsidRPr="00771E6E">
        <w:t xml:space="preserve">———. </w:t>
      </w:r>
      <w:proofErr w:type="spellStart"/>
      <w:r w:rsidRPr="00771E6E">
        <w:rPr>
          <w:i/>
          <w:iCs/>
        </w:rPr>
        <w:t>L’Architettura</w:t>
      </w:r>
      <w:proofErr w:type="spellEnd"/>
      <w:r w:rsidRPr="00771E6E">
        <w:rPr>
          <w:i/>
          <w:iCs/>
        </w:rPr>
        <w:t xml:space="preserve"> (De re </w:t>
      </w:r>
      <w:proofErr w:type="spellStart"/>
      <w:r w:rsidRPr="00771E6E">
        <w:rPr>
          <w:i/>
          <w:iCs/>
        </w:rPr>
        <w:t>aedificatoria</w:t>
      </w:r>
      <w:proofErr w:type="spellEnd"/>
      <w:r w:rsidRPr="00771E6E">
        <w:rPr>
          <w:i/>
          <w:iCs/>
        </w:rPr>
        <w:t>)</w:t>
      </w:r>
      <w:r w:rsidRPr="00771E6E">
        <w:t xml:space="preserve">. Edited and translated by Giovanni </w:t>
      </w:r>
      <w:proofErr w:type="spellStart"/>
      <w:r w:rsidRPr="00771E6E">
        <w:t>Orlandi</w:t>
      </w:r>
      <w:proofErr w:type="spellEnd"/>
      <w:r w:rsidRPr="00771E6E">
        <w:t xml:space="preserve">. Milan: </w:t>
      </w:r>
      <w:proofErr w:type="spellStart"/>
      <w:r w:rsidRPr="00771E6E">
        <w:t>Edizioni</w:t>
      </w:r>
      <w:proofErr w:type="spellEnd"/>
      <w:r w:rsidRPr="00771E6E">
        <w:t xml:space="preserve"> Il </w:t>
      </w:r>
      <w:proofErr w:type="spellStart"/>
      <w:r w:rsidRPr="00771E6E">
        <w:t>Polifilo</w:t>
      </w:r>
      <w:proofErr w:type="spellEnd"/>
      <w:r w:rsidRPr="00771E6E">
        <w:t>, 1966.</w:t>
      </w:r>
    </w:p>
    <w:p w14:paraId="453D1517" w14:textId="77777777" w:rsidR="00F33779" w:rsidRPr="00771E6E" w:rsidRDefault="00F33779" w:rsidP="00F33779">
      <w:pPr>
        <w:pStyle w:val="Bibliography"/>
        <w:ind w:left="709" w:hanging="709"/>
      </w:pPr>
      <w:r w:rsidRPr="00771E6E">
        <w:t xml:space="preserve">———. </w:t>
      </w:r>
      <w:r w:rsidRPr="00771E6E">
        <w:rPr>
          <w:i/>
          <w:iCs/>
        </w:rPr>
        <w:t>On the Art of Building in Ten Books</w:t>
      </w:r>
      <w:r w:rsidRPr="00771E6E">
        <w:t xml:space="preserve">. Translated by Joseph </w:t>
      </w:r>
      <w:proofErr w:type="spellStart"/>
      <w:r w:rsidRPr="00771E6E">
        <w:t>Rywert</w:t>
      </w:r>
      <w:proofErr w:type="spellEnd"/>
      <w:r w:rsidRPr="00771E6E">
        <w:t xml:space="preserve">, Neil Leach, and Robert </w:t>
      </w:r>
      <w:proofErr w:type="spellStart"/>
      <w:r w:rsidRPr="00771E6E">
        <w:t>Tavernor</w:t>
      </w:r>
      <w:proofErr w:type="spellEnd"/>
      <w:r w:rsidRPr="00771E6E">
        <w:t>. Cambridge, MA.: MIT Press, 1988.</w:t>
      </w:r>
    </w:p>
    <w:p w14:paraId="535EF057" w14:textId="77777777" w:rsidR="00F33779" w:rsidRPr="00771E6E" w:rsidRDefault="00F33779" w:rsidP="00F33779">
      <w:pPr>
        <w:pStyle w:val="Bibliography"/>
        <w:ind w:left="709" w:hanging="709"/>
      </w:pPr>
      <w:proofErr w:type="spellStart"/>
      <w:r w:rsidRPr="00771E6E">
        <w:t>Antoninus</w:t>
      </w:r>
      <w:proofErr w:type="spellEnd"/>
      <w:r w:rsidRPr="00771E6E">
        <w:t xml:space="preserve"> (Saint). </w:t>
      </w:r>
      <w:r w:rsidRPr="00771E6E">
        <w:rPr>
          <w:i/>
          <w:iCs/>
        </w:rPr>
        <w:t>Opera a ben vivere</w:t>
      </w:r>
      <w:r w:rsidRPr="00771E6E">
        <w:t>. Edited by Francesco Palermo. Florence: Tipi di M. Cellini e C., 1858.</w:t>
      </w:r>
    </w:p>
    <w:p w14:paraId="7C372367" w14:textId="77777777" w:rsidR="00F33779" w:rsidRPr="00771E6E" w:rsidRDefault="00F33779" w:rsidP="00F33779">
      <w:pPr>
        <w:pStyle w:val="Bibliography"/>
        <w:ind w:left="709" w:hanging="709"/>
      </w:pPr>
      <w:r w:rsidRPr="00771E6E">
        <w:t xml:space="preserve">Aristotle. </w:t>
      </w:r>
      <w:r w:rsidRPr="00771E6E">
        <w:rPr>
          <w:i/>
          <w:iCs/>
        </w:rPr>
        <w:t>Politics</w:t>
      </w:r>
      <w:r w:rsidRPr="00771E6E">
        <w:t xml:space="preserve">. Translated by Harris </w:t>
      </w:r>
      <w:proofErr w:type="spellStart"/>
      <w:r w:rsidRPr="00771E6E">
        <w:t>Rackman</w:t>
      </w:r>
      <w:proofErr w:type="spellEnd"/>
      <w:r w:rsidRPr="00771E6E">
        <w:t>. London: William Heinemann Ltd, 1959.</w:t>
      </w:r>
    </w:p>
    <w:p w14:paraId="6A56128A" w14:textId="77777777" w:rsidR="00F33779" w:rsidRPr="00771E6E" w:rsidRDefault="00F33779" w:rsidP="00F33779">
      <w:pPr>
        <w:pStyle w:val="Bibliography"/>
        <w:ind w:left="709" w:hanging="709"/>
      </w:pPr>
      <w:r w:rsidRPr="00771E6E">
        <w:t xml:space="preserve">Augustine. </w:t>
      </w:r>
      <w:r w:rsidRPr="00771E6E">
        <w:rPr>
          <w:i/>
          <w:iCs/>
        </w:rPr>
        <w:t>Confessions</w:t>
      </w:r>
      <w:r w:rsidRPr="00771E6E">
        <w:t>. Translated by William Watts. London: William Heinemann, 1912.</w:t>
      </w:r>
    </w:p>
    <w:p w14:paraId="0312162C" w14:textId="77777777" w:rsidR="00F33779" w:rsidRPr="00771E6E" w:rsidRDefault="00F33779" w:rsidP="00F33779">
      <w:pPr>
        <w:pStyle w:val="Bibliography"/>
        <w:ind w:left="709" w:hanging="709"/>
      </w:pPr>
      <w:proofErr w:type="spellStart"/>
      <w:r w:rsidRPr="00771E6E">
        <w:t>Barbaro</w:t>
      </w:r>
      <w:proofErr w:type="spellEnd"/>
      <w:r w:rsidRPr="00771E6E">
        <w:t>, Francesco. “</w:t>
      </w:r>
      <w:r w:rsidRPr="00771E6E">
        <w:rPr>
          <w:i/>
          <w:iCs/>
        </w:rPr>
        <w:t xml:space="preserve">De </w:t>
      </w:r>
      <w:proofErr w:type="spellStart"/>
      <w:r w:rsidRPr="00771E6E">
        <w:rPr>
          <w:i/>
          <w:iCs/>
        </w:rPr>
        <w:t>Liberorum</w:t>
      </w:r>
      <w:proofErr w:type="spellEnd"/>
      <w:r w:rsidRPr="00771E6E">
        <w:rPr>
          <w:i/>
          <w:iCs/>
        </w:rPr>
        <w:t xml:space="preserve"> </w:t>
      </w:r>
      <w:proofErr w:type="spellStart"/>
      <w:r w:rsidRPr="00771E6E">
        <w:rPr>
          <w:i/>
          <w:iCs/>
        </w:rPr>
        <w:t>Educatione</w:t>
      </w:r>
      <w:proofErr w:type="spellEnd"/>
      <w:r w:rsidRPr="00771E6E">
        <w:t xml:space="preserve"> Dal </w:t>
      </w:r>
      <w:r w:rsidRPr="00771E6E">
        <w:rPr>
          <w:i/>
          <w:iCs/>
        </w:rPr>
        <w:t xml:space="preserve">De Re </w:t>
      </w:r>
      <w:proofErr w:type="spellStart"/>
      <w:r w:rsidRPr="00771E6E">
        <w:rPr>
          <w:i/>
          <w:iCs/>
        </w:rPr>
        <w:t>Uxoria</w:t>
      </w:r>
      <w:proofErr w:type="spellEnd"/>
      <w:r w:rsidRPr="00771E6E">
        <w:t xml:space="preserve">.” In </w:t>
      </w:r>
      <w:r w:rsidRPr="00771E6E">
        <w:rPr>
          <w:i/>
          <w:iCs/>
        </w:rPr>
        <w:t xml:space="preserve">Il </w:t>
      </w:r>
      <w:proofErr w:type="spellStart"/>
      <w:r w:rsidRPr="00771E6E">
        <w:rPr>
          <w:i/>
          <w:iCs/>
        </w:rPr>
        <w:t>Pensiero</w:t>
      </w:r>
      <w:proofErr w:type="spellEnd"/>
      <w:r w:rsidRPr="00771E6E">
        <w:rPr>
          <w:i/>
          <w:iCs/>
        </w:rPr>
        <w:t xml:space="preserve"> </w:t>
      </w:r>
      <w:proofErr w:type="spellStart"/>
      <w:r w:rsidRPr="00771E6E">
        <w:rPr>
          <w:i/>
          <w:iCs/>
        </w:rPr>
        <w:t>Pedagogico</w:t>
      </w:r>
      <w:proofErr w:type="spellEnd"/>
      <w:r w:rsidRPr="00771E6E">
        <w:rPr>
          <w:i/>
          <w:iCs/>
        </w:rPr>
        <w:t xml:space="preserve"> </w:t>
      </w:r>
      <w:proofErr w:type="spellStart"/>
      <w:r w:rsidRPr="00771E6E">
        <w:rPr>
          <w:i/>
          <w:iCs/>
        </w:rPr>
        <w:t>Dello</w:t>
      </w:r>
      <w:proofErr w:type="spellEnd"/>
      <w:r w:rsidRPr="00771E6E">
        <w:rPr>
          <w:i/>
          <w:iCs/>
        </w:rPr>
        <w:t xml:space="preserve"> </w:t>
      </w:r>
      <w:proofErr w:type="spellStart"/>
      <w:r w:rsidRPr="00771E6E">
        <w:rPr>
          <w:i/>
          <w:iCs/>
        </w:rPr>
        <w:t>Umanesimo</w:t>
      </w:r>
      <w:proofErr w:type="spellEnd"/>
      <w:r w:rsidRPr="00771E6E">
        <w:t xml:space="preserve">, translated by </w:t>
      </w:r>
      <w:proofErr w:type="spellStart"/>
      <w:r w:rsidRPr="00771E6E">
        <w:t>Garin</w:t>
      </w:r>
      <w:proofErr w:type="spellEnd"/>
      <w:r w:rsidRPr="00771E6E">
        <w:t xml:space="preserve"> Eugenio, 139–45. Florence: </w:t>
      </w:r>
      <w:proofErr w:type="spellStart"/>
      <w:r w:rsidRPr="00771E6E">
        <w:t>Coedizioni</w:t>
      </w:r>
      <w:proofErr w:type="spellEnd"/>
      <w:r w:rsidRPr="00771E6E">
        <w:t xml:space="preserve"> </w:t>
      </w:r>
      <w:proofErr w:type="spellStart"/>
      <w:r w:rsidRPr="00771E6E">
        <w:t>Giuntine</w:t>
      </w:r>
      <w:proofErr w:type="spellEnd"/>
      <w:r w:rsidRPr="00771E6E">
        <w:t xml:space="preserve"> </w:t>
      </w:r>
      <w:proofErr w:type="spellStart"/>
      <w:r w:rsidRPr="00771E6E">
        <w:t>Sansoni</w:t>
      </w:r>
      <w:proofErr w:type="spellEnd"/>
      <w:r w:rsidRPr="00771E6E">
        <w:t>, 1958.</w:t>
      </w:r>
    </w:p>
    <w:p w14:paraId="67E947E2" w14:textId="77777777" w:rsidR="00F33779" w:rsidRPr="00771E6E" w:rsidRDefault="00F33779" w:rsidP="00F33779">
      <w:pPr>
        <w:pStyle w:val="Bibliography"/>
        <w:ind w:left="709" w:hanging="709"/>
      </w:pPr>
      <w:r w:rsidRPr="00771E6E">
        <w:t xml:space="preserve">———. “On Wifely Duties.” In </w:t>
      </w:r>
      <w:proofErr w:type="gramStart"/>
      <w:r w:rsidRPr="00771E6E">
        <w:rPr>
          <w:i/>
          <w:iCs/>
        </w:rPr>
        <w:t>The</w:t>
      </w:r>
      <w:proofErr w:type="gramEnd"/>
      <w:r w:rsidRPr="00771E6E">
        <w:rPr>
          <w:i/>
          <w:iCs/>
        </w:rPr>
        <w:t xml:space="preserve"> Earthly Republic: Italian Humanists on Government and Society</w:t>
      </w:r>
      <w:r w:rsidRPr="00771E6E">
        <w:t>, translated by Benjamin G. Kohl. Manchester: Manchester University Press, 1978.</w:t>
      </w:r>
    </w:p>
    <w:p w14:paraId="7B77A841" w14:textId="77777777" w:rsidR="00F33779" w:rsidRPr="00771E6E" w:rsidRDefault="00F33779" w:rsidP="00F33779">
      <w:pPr>
        <w:pStyle w:val="Bibliography"/>
        <w:ind w:left="709" w:hanging="709"/>
      </w:pPr>
      <w:r w:rsidRPr="00771E6E">
        <w:t xml:space="preserve">Basil (Saint). </w:t>
      </w:r>
      <w:r w:rsidRPr="00771E6E">
        <w:rPr>
          <w:i/>
          <w:iCs/>
        </w:rPr>
        <w:t>The Letters</w:t>
      </w:r>
      <w:r w:rsidRPr="00771E6E">
        <w:t xml:space="preserve">. Edited and translated by Roy Joseph </w:t>
      </w:r>
      <w:proofErr w:type="spellStart"/>
      <w:r w:rsidRPr="00771E6E">
        <w:t>Deferrari</w:t>
      </w:r>
      <w:proofErr w:type="spellEnd"/>
      <w:r w:rsidRPr="00771E6E">
        <w:t>. Cambridge, MA.: Loeb Classical Library, 1961.</w:t>
      </w:r>
    </w:p>
    <w:p w14:paraId="387EBFD2" w14:textId="77777777" w:rsidR="00F33779" w:rsidRPr="00771E6E" w:rsidRDefault="00F33779" w:rsidP="00F33779">
      <w:pPr>
        <w:pStyle w:val="Bibliography"/>
        <w:ind w:left="709" w:hanging="709"/>
      </w:pPr>
      <w:proofErr w:type="spellStart"/>
      <w:r w:rsidRPr="00771E6E">
        <w:t>Beleth</w:t>
      </w:r>
      <w:proofErr w:type="spellEnd"/>
      <w:r w:rsidRPr="00771E6E">
        <w:t xml:space="preserve">, Johannes. “Summa de </w:t>
      </w:r>
      <w:proofErr w:type="spellStart"/>
      <w:r w:rsidRPr="00771E6E">
        <w:t>ecclesiasticis</w:t>
      </w:r>
      <w:proofErr w:type="spellEnd"/>
      <w:r w:rsidRPr="00771E6E">
        <w:t xml:space="preserve"> </w:t>
      </w:r>
      <w:proofErr w:type="spellStart"/>
      <w:r w:rsidRPr="00771E6E">
        <w:t>officiis</w:t>
      </w:r>
      <w:proofErr w:type="spellEnd"/>
      <w:r w:rsidRPr="00771E6E">
        <w:t xml:space="preserve">.” In </w:t>
      </w:r>
      <w:r w:rsidRPr="00771E6E">
        <w:rPr>
          <w:i/>
          <w:iCs/>
        </w:rPr>
        <w:t xml:space="preserve">Corpus </w:t>
      </w:r>
      <w:proofErr w:type="spellStart"/>
      <w:r w:rsidRPr="00771E6E">
        <w:rPr>
          <w:i/>
          <w:iCs/>
        </w:rPr>
        <w:t>Christianorum</w:t>
      </w:r>
      <w:proofErr w:type="spellEnd"/>
      <w:r w:rsidRPr="00771E6E">
        <w:rPr>
          <w:i/>
          <w:iCs/>
        </w:rPr>
        <w:t xml:space="preserve"> </w:t>
      </w:r>
      <w:proofErr w:type="spellStart"/>
      <w:r w:rsidRPr="00771E6E">
        <w:rPr>
          <w:i/>
          <w:iCs/>
        </w:rPr>
        <w:t>Continuatio</w:t>
      </w:r>
      <w:proofErr w:type="spellEnd"/>
      <w:r w:rsidRPr="00771E6E">
        <w:rPr>
          <w:i/>
          <w:iCs/>
        </w:rPr>
        <w:t xml:space="preserve"> </w:t>
      </w:r>
      <w:proofErr w:type="spellStart"/>
      <w:r w:rsidRPr="00771E6E">
        <w:rPr>
          <w:i/>
          <w:iCs/>
        </w:rPr>
        <w:t>Mediaevalis</w:t>
      </w:r>
      <w:proofErr w:type="spellEnd"/>
      <w:r w:rsidRPr="00771E6E">
        <w:t xml:space="preserve">, edited by Herbert </w:t>
      </w:r>
      <w:proofErr w:type="spellStart"/>
      <w:r w:rsidRPr="00771E6E">
        <w:t>Douteil</w:t>
      </w:r>
      <w:proofErr w:type="spellEnd"/>
      <w:r w:rsidRPr="00771E6E">
        <w:t xml:space="preserve">, Vol. 41. </w:t>
      </w:r>
      <w:proofErr w:type="spellStart"/>
      <w:r w:rsidRPr="00771E6E">
        <w:t>Turnholt</w:t>
      </w:r>
      <w:proofErr w:type="spellEnd"/>
      <w:r w:rsidRPr="00771E6E">
        <w:t xml:space="preserve">: </w:t>
      </w:r>
      <w:proofErr w:type="spellStart"/>
      <w:r w:rsidRPr="00771E6E">
        <w:t>Brepols</w:t>
      </w:r>
      <w:proofErr w:type="spellEnd"/>
      <w:r w:rsidRPr="00771E6E">
        <w:t>, 1976.</w:t>
      </w:r>
    </w:p>
    <w:p w14:paraId="7191BF04" w14:textId="77777777" w:rsidR="00F33779" w:rsidRPr="00771E6E" w:rsidRDefault="00F33779" w:rsidP="00F33779">
      <w:pPr>
        <w:pStyle w:val="Bibliography"/>
        <w:ind w:left="709" w:hanging="709"/>
      </w:pPr>
      <w:proofErr w:type="spellStart"/>
      <w:r w:rsidRPr="00771E6E">
        <w:t>Bembo</w:t>
      </w:r>
      <w:proofErr w:type="spellEnd"/>
      <w:r w:rsidRPr="00771E6E">
        <w:t xml:space="preserve">, </w:t>
      </w:r>
      <w:proofErr w:type="spellStart"/>
      <w:r w:rsidRPr="00771E6E">
        <w:t>Illuminata</w:t>
      </w:r>
      <w:proofErr w:type="spellEnd"/>
      <w:r w:rsidRPr="00771E6E">
        <w:t xml:space="preserve">. </w:t>
      </w:r>
      <w:proofErr w:type="spellStart"/>
      <w:r w:rsidRPr="00771E6E">
        <w:rPr>
          <w:i/>
          <w:iCs/>
        </w:rPr>
        <w:t>Specchio</w:t>
      </w:r>
      <w:proofErr w:type="spellEnd"/>
      <w:r w:rsidRPr="00771E6E">
        <w:rPr>
          <w:i/>
          <w:iCs/>
        </w:rPr>
        <w:t xml:space="preserve"> di </w:t>
      </w:r>
      <w:proofErr w:type="spellStart"/>
      <w:r w:rsidRPr="00771E6E">
        <w:rPr>
          <w:i/>
          <w:iCs/>
        </w:rPr>
        <w:t>illuminazione</w:t>
      </w:r>
      <w:proofErr w:type="spellEnd"/>
      <w:r w:rsidRPr="00771E6E">
        <w:t xml:space="preserve">. Edited by Silvia </w:t>
      </w:r>
      <w:proofErr w:type="spellStart"/>
      <w:r w:rsidRPr="00771E6E">
        <w:t>Mostaccio</w:t>
      </w:r>
      <w:proofErr w:type="spellEnd"/>
      <w:r w:rsidRPr="00771E6E">
        <w:t xml:space="preserve">. Florence: </w:t>
      </w:r>
      <w:proofErr w:type="spellStart"/>
      <w:r w:rsidRPr="00771E6E">
        <w:t>Sismel</w:t>
      </w:r>
      <w:proofErr w:type="spellEnd"/>
      <w:r w:rsidRPr="00771E6E">
        <w:t>, 2001.</w:t>
      </w:r>
    </w:p>
    <w:p w14:paraId="7F59F396" w14:textId="77777777" w:rsidR="00F33779" w:rsidRPr="00771E6E" w:rsidRDefault="00F33779" w:rsidP="00F33779">
      <w:pPr>
        <w:pStyle w:val="Bibliography"/>
        <w:ind w:left="709" w:hanging="709"/>
      </w:pPr>
      <w:r w:rsidRPr="00771E6E">
        <w:t xml:space="preserve">Bernard of Clairvaux (Saint). </w:t>
      </w:r>
      <w:r w:rsidRPr="00771E6E">
        <w:rPr>
          <w:i/>
          <w:iCs/>
        </w:rPr>
        <w:t xml:space="preserve">Sermons in </w:t>
      </w:r>
      <w:proofErr w:type="spellStart"/>
      <w:r w:rsidRPr="00771E6E">
        <w:rPr>
          <w:i/>
          <w:iCs/>
        </w:rPr>
        <w:t>Psalmum</w:t>
      </w:r>
      <w:proofErr w:type="spellEnd"/>
      <w:r w:rsidRPr="00771E6E">
        <w:rPr>
          <w:i/>
          <w:iCs/>
        </w:rPr>
        <w:t xml:space="preserve"> </w:t>
      </w:r>
      <w:proofErr w:type="gramStart"/>
      <w:r w:rsidRPr="00771E6E">
        <w:t>Qui</w:t>
      </w:r>
      <w:proofErr w:type="gramEnd"/>
      <w:r w:rsidRPr="00771E6E">
        <w:t xml:space="preserve"> Habitat. Edited by Jean </w:t>
      </w:r>
      <w:proofErr w:type="spellStart"/>
      <w:r w:rsidRPr="00771E6E">
        <w:t>Leclercq</w:t>
      </w:r>
      <w:proofErr w:type="spellEnd"/>
      <w:r w:rsidRPr="00771E6E">
        <w:t xml:space="preserve"> and Henri-Marie </w:t>
      </w:r>
      <w:proofErr w:type="spellStart"/>
      <w:r w:rsidRPr="00771E6E">
        <w:t>Rochais</w:t>
      </w:r>
      <w:proofErr w:type="spellEnd"/>
      <w:r w:rsidRPr="00771E6E">
        <w:t xml:space="preserve">. Vol. IV. S. </w:t>
      </w:r>
      <w:proofErr w:type="spellStart"/>
      <w:r w:rsidRPr="00771E6E">
        <w:t>Bernardi</w:t>
      </w:r>
      <w:proofErr w:type="spellEnd"/>
      <w:r w:rsidRPr="00771E6E">
        <w:t xml:space="preserve"> Opera. Rome: </w:t>
      </w:r>
      <w:proofErr w:type="spellStart"/>
      <w:r w:rsidRPr="00771E6E">
        <w:t>Editiones</w:t>
      </w:r>
      <w:proofErr w:type="spellEnd"/>
      <w:r w:rsidRPr="00771E6E">
        <w:t xml:space="preserve"> </w:t>
      </w:r>
      <w:proofErr w:type="spellStart"/>
      <w:r w:rsidRPr="00771E6E">
        <w:t>Cistercienses</w:t>
      </w:r>
      <w:proofErr w:type="spellEnd"/>
      <w:r w:rsidRPr="00771E6E">
        <w:t>, 1966.</w:t>
      </w:r>
    </w:p>
    <w:p w14:paraId="38E2BA81" w14:textId="77777777" w:rsidR="00F33779" w:rsidRPr="00771E6E" w:rsidRDefault="00F33779" w:rsidP="00F33779">
      <w:pPr>
        <w:pStyle w:val="Bibliography"/>
        <w:ind w:left="709" w:hanging="709"/>
      </w:pPr>
      <w:r w:rsidRPr="00771E6E">
        <w:t xml:space="preserve">Boethius, </w:t>
      </w:r>
      <w:proofErr w:type="spellStart"/>
      <w:r w:rsidRPr="00771E6E">
        <w:t>Anicius</w:t>
      </w:r>
      <w:proofErr w:type="spellEnd"/>
      <w:r w:rsidRPr="00771E6E">
        <w:t xml:space="preserve"> Manlius Severinus. </w:t>
      </w:r>
      <w:r w:rsidRPr="00771E6E">
        <w:rPr>
          <w:i/>
          <w:iCs/>
        </w:rPr>
        <w:t xml:space="preserve">De </w:t>
      </w:r>
      <w:proofErr w:type="spellStart"/>
      <w:r w:rsidRPr="00771E6E">
        <w:rPr>
          <w:i/>
          <w:iCs/>
        </w:rPr>
        <w:t>institutione</w:t>
      </w:r>
      <w:proofErr w:type="spellEnd"/>
      <w:r w:rsidRPr="00771E6E">
        <w:rPr>
          <w:i/>
          <w:iCs/>
        </w:rPr>
        <w:t xml:space="preserve"> </w:t>
      </w:r>
      <w:proofErr w:type="spellStart"/>
      <w:r w:rsidRPr="00771E6E">
        <w:rPr>
          <w:i/>
          <w:iCs/>
        </w:rPr>
        <w:t>arithmetica</w:t>
      </w:r>
      <w:proofErr w:type="spellEnd"/>
      <w:r w:rsidRPr="00771E6E">
        <w:rPr>
          <w:i/>
          <w:iCs/>
        </w:rPr>
        <w:t xml:space="preserve"> libri duo; De </w:t>
      </w:r>
      <w:proofErr w:type="spellStart"/>
      <w:r w:rsidRPr="00771E6E">
        <w:rPr>
          <w:i/>
          <w:iCs/>
        </w:rPr>
        <w:t>institutione</w:t>
      </w:r>
      <w:proofErr w:type="spellEnd"/>
      <w:r w:rsidRPr="00771E6E">
        <w:rPr>
          <w:i/>
          <w:iCs/>
        </w:rPr>
        <w:t xml:space="preserve"> </w:t>
      </w:r>
      <w:proofErr w:type="spellStart"/>
      <w:r w:rsidRPr="00771E6E">
        <w:rPr>
          <w:i/>
          <w:iCs/>
        </w:rPr>
        <w:t>musica</w:t>
      </w:r>
      <w:proofErr w:type="spellEnd"/>
      <w:r w:rsidRPr="00771E6E">
        <w:rPr>
          <w:i/>
          <w:iCs/>
        </w:rPr>
        <w:t xml:space="preserve"> libri </w:t>
      </w:r>
      <w:proofErr w:type="spellStart"/>
      <w:r w:rsidRPr="00771E6E">
        <w:rPr>
          <w:i/>
          <w:iCs/>
        </w:rPr>
        <w:t>quinque</w:t>
      </w:r>
      <w:proofErr w:type="spellEnd"/>
      <w:r w:rsidRPr="00771E6E">
        <w:t xml:space="preserve">. Edited by Gottfried </w:t>
      </w:r>
      <w:proofErr w:type="spellStart"/>
      <w:r w:rsidRPr="00771E6E">
        <w:t>Friedlein</w:t>
      </w:r>
      <w:proofErr w:type="spellEnd"/>
      <w:r w:rsidRPr="00771E6E">
        <w:t xml:space="preserve">. </w:t>
      </w:r>
      <w:proofErr w:type="spellStart"/>
      <w:r w:rsidRPr="00771E6E">
        <w:t>Lipsiae</w:t>
      </w:r>
      <w:proofErr w:type="spellEnd"/>
      <w:r w:rsidRPr="00771E6E">
        <w:t>: B.G. Teubner, 1867.</w:t>
      </w:r>
    </w:p>
    <w:p w14:paraId="6D19A7D3" w14:textId="77777777" w:rsidR="00F33779" w:rsidRPr="00771E6E" w:rsidRDefault="00F33779" w:rsidP="00F33779">
      <w:pPr>
        <w:pStyle w:val="Bibliography"/>
        <w:ind w:left="709" w:hanging="709"/>
      </w:pPr>
      <w:r w:rsidRPr="00771E6E">
        <w:t xml:space="preserve">———. </w:t>
      </w:r>
      <w:r w:rsidRPr="00771E6E">
        <w:rPr>
          <w:i/>
          <w:iCs/>
        </w:rPr>
        <w:t>Fundamentals of Music</w:t>
      </w:r>
      <w:r w:rsidRPr="00771E6E">
        <w:t xml:space="preserve">. Edited by Claude V. </w:t>
      </w:r>
      <w:proofErr w:type="spellStart"/>
      <w:r w:rsidRPr="00771E6E">
        <w:t>Palisca</w:t>
      </w:r>
      <w:proofErr w:type="spellEnd"/>
      <w:r w:rsidRPr="00771E6E">
        <w:t>. Translated by Calvin M. Bower. New Haven and London: Yale University Press, 1989.</w:t>
      </w:r>
    </w:p>
    <w:p w14:paraId="0C483601" w14:textId="77777777" w:rsidR="00F33779" w:rsidRPr="00771E6E" w:rsidRDefault="00F33779" w:rsidP="00F33779">
      <w:pPr>
        <w:pStyle w:val="Bibliography"/>
        <w:ind w:left="709" w:hanging="709"/>
      </w:pPr>
      <w:r w:rsidRPr="00771E6E">
        <w:t>Bonaventure (Saint). “</w:t>
      </w:r>
      <w:proofErr w:type="spellStart"/>
      <w:r w:rsidRPr="00771E6E">
        <w:t>Commentaria</w:t>
      </w:r>
      <w:proofErr w:type="spellEnd"/>
      <w:r w:rsidRPr="00771E6E">
        <w:t xml:space="preserve"> in </w:t>
      </w:r>
      <w:proofErr w:type="spellStart"/>
      <w:r w:rsidRPr="00771E6E">
        <w:t>Quatuor</w:t>
      </w:r>
      <w:proofErr w:type="spellEnd"/>
      <w:r w:rsidRPr="00771E6E">
        <w:t xml:space="preserve"> </w:t>
      </w:r>
      <w:proofErr w:type="spellStart"/>
      <w:r w:rsidRPr="00771E6E">
        <w:t>Libros</w:t>
      </w:r>
      <w:proofErr w:type="spellEnd"/>
      <w:r w:rsidRPr="00771E6E">
        <w:t xml:space="preserve"> </w:t>
      </w:r>
      <w:proofErr w:type="spellStart"/>
      <w:r w:rsidRPr="00771E6E">
        <w:t>Sententiarum</w:t>
      </w:r>
      <w:proofErr w:type="spellEnd"/>
      <w:r w:rsidRPr="00771E6E">
        <w:t xml:space="preserve"> </w:t>
      </w:r>
      <w:proofErr w:type="spellStart"/>
      <w:r w:rsidRPr="00771E6E">
        <w:t>Magistri</w:t>
      </w:r>
      <w:proofErr w:type="spellEnd"/>
      <w:r w:rsidRPr="00771E6E">
        <w:t xml:space="preserve"> Petri Lombardi.” In </w:t>
      </w:r>
      <w:r w:rsidRPr="00771E6E">
        <w:rPr>
          <w:i/>
          <w:iCs/>
        </w:rPr>
        <w:t>Opera Omnia</w:t>
      </w:r>
      <w:r w:rsidRPr="00771E6E">
        <w:t xml:space="preserve">, edited by the College of St. Bonaventura, Vol. 2. </w:t>
      </w:r>
      <w:proofErr w:type="spellStart"/>
      <w:r w:rsidRPr="00771E6E">
        <w:t>Quaracchi</w:t>
      </w:r>
      <w:proofErr w:type="spellEnd"/>
      <w:r w:rsidRPr="00771E6E">
        <w:t xml:space="preserve">: Collegium S. </w:t>
      </w:r>
      <w:proofErr w:type="spellStart"/>
      <w:r w:rsidRPr="00771E6E">
        <w:t>Bonaventurae</w:t>
      </w:r>
      <w:proofErr w:type="spellEnd"/>
      <w:r w:rsidRPr="00771E6E">
        <w:t>.</w:t>
      </w:r>
    </w:p>
    <w:p w14:paraId="494C6AA7" w14:textId="77777777" w:rsidR="00F33779" w:rsidRPr="00771E6E" w:rsidRDefault="00F33779" w:rsidP="00F33779">
      <w:pPr>
        <w:pStyle w:val="Bibliography"/>
        <w:ind w:left="709" w:hanging="709"/>
      </w:pPr>
      <w:proofErr w:type="spellStart"/>
      <w:r w:rsidRPr="00771E6E">
        <w:t>Brandolini</w:t>
      </w:r>
      <w:proofErr w:type="spellEnd"/>
      <w:r w:rsidRPr="00771E6E">
        <w:t xml:space="preserve">, Raffaele Lippo. </w:t>
      </w:r>
      <w:r w:rsidRPr="00771E6E">
        <w:rPr>
          <w:i/>
          <w:iCs/>
        </w:rPr>
        <w:t xml:space="preserve">On Music and Poetry (De </w:t>
      </w:r>
      <w:proofErr w:type="spellStart"/>
      <w:r w:rsidRPr="00771E6E">
        <w:rPr>
          <w:i/>
          <w:iCs/>
        </w:rPr>
        <w:t>Musica</w:t>
      </w:r>
      <w:proofErr w:type="spellEnd"/>
      <w:r w:rsidRPr="00771E6E">
        <w:rPr>
          <w:i/>
          <w:iCs/>
        </w:rPr>
        <w:t xml:space="preserve"> et </w:t>
      </w:r>
      <w:proofErr w:type="spellStart"/>
      <w:r w:rsidRPr="00771E6E">
        <w:rPr>
          <w:i/>
          <w:iCs/>
        </w:rPr>
        <w:t>Poetica</w:t>
      </w:r>
      <w:proofErr w:type="spellEnd"/>
      <w:r w:rsidRPr="00771E6E">
        <w:rPr>
          <w:i/>
          <w:iCs/>
        </w:rPr>
        <w:t>, 1513)</w:t>
      </w:r>
      <w:r w:rsidRPr="00771E6E">
        <w:t xml:space="preserve">. Edited and translated by Ann E. Moyer and Marc </w:t>
      </w:r>
      <w:proofErr w:type="spellStart"/>
      <w:r w:rsidRPr="00771E6E">
        <w:t>Laureys</w:t>
      </w:r>
      <w:proofErr w:type="spellEnd"/>
      <w:r w:rsidRPr="00771E6E">
        <w:t xml:space="preserve">. Tempe, AZ: Arizona </w:t>
      </w:r>
      <w:proofErr w:type="spellStart"/>
      <w:r w:rsidRPr="00771E6E">
        <w:t>Center</w:t>
      </w:r>
      <w:proofErr w:type="spellEnd"/>
      <w:r w:rsidRPr="00771E6E">
        <w:t xml:space="preserve"> for Medieval and Renaissance Studies, 2001.</w:t>
      </w:r>
    </w:p>
    <w:p w14:paraId="13A45B8B" w14:textId="77777777" w:rsidR="00F33779" w:rsidRPr="00771E6E" w:rsidRDefault="00F33779" w:rsidP="00F33779">
      <w:pPr>
        <w:pStyle w:val="Bibliography"/>
        <w:ind w:left="709" w:hanging="709"/>
      </w:pPr>
      <w:r w:rsidRPr="00771E6E">
        <w:t xml:space="preserve">Bruni, Leonardo. “The Study of Literature.” In </w:t>
      </w:r>
      <w:r w:rsidRPr="00771E6E">
        <w:rPr>
          <w:i/>
          <w:iCs/>
        </w:rPr>
        <w:t>Humanist Educational Treatises</w:t>
      </w:r>
      <w:r w:rsidRPr="00771E6E">
        <w:t xml:space="preserve">, edited by Craig W. </w:t>
      </w:r>
      <w:proofErr w:type="spellStart"/>
      <w:r w:rsidRPr="00771E6E">
        <w:t>Kallendorf</w:t>
      </w:r>
      <w:proofErr w:type="spellEnd"/>
      <w:r w:rsidRPr="00771E6E">
        <w:t xml:space="preserve">, translated by Craig W </w:t>
      </w:r>
      <w:proofErr w:type="spellStart"/>
      <w:r w:rsidRPr="00771E6E">
        <w:t>Kallendorf</w:t>
      </w:r>
      <w:proofErr w:type="spellEnd"/>
      <w:r w:rsidRPr="00771E6E">
        <w:t>, 92–125. Cambridge, MA, and London: Harvard University Press, 2002.</w:t>
      </w:r>
    </w:p>
    <w:p w14:paraId="235892EE" w14:textId="77777777" w:rsidR="00F33779" w:rsidRPr="00771E6E" w:rsidRDefault="00F33779" w:rsidP="00F33779">
      <w:pPr>
        <w:pStyle w:val="Bibliography"/>
        <w:ind w:left="709" w:hanging="709"/>
      </w:pPr>
      <w:r w:rsidRPr="00771E6E">
        <w:t xml:space="preserve">Cellini, Benvenuto. </w:t>
      </w:r>
      <w:r w:rsidRPr="00771E6E">
        <w:rPr>
          <w:i/>
          <w:iCs/>
        </w:rPr>
        <w:t>Vita</w:t>
      </w:r>
      <w:r w:rsidRPr="00771E6E">
        <w:t xml:space="preserve">. Edited by Giovanni </w:t>
      </w:r>
      <w:proofErr w:type="spellStart"/>
      <w:r w:rsidRPr="00771E6E">
        <w:t>Palamede</w:t>
      </w:r>
      <w:proofErr w:type="spellEnd"/>
      <w:r w:rsidRPr="00771E6E">
        <w:t xml:space="preserve"> </w:t>
      </w:r>
      <w:proofErr w:type="spellStart"/>
      <w:r w:rsidRPr="00771E6E">
        <w:t>Carpani</w:t>
      </w:r>
      <w:proofErr w:type="spellEnd"/>
      <w:r w:rsidRPr="00771E6E">
        <w:t xml:space="preserve">. Milan: </w:t>
      </w:r>
      <w:proofErr w:type="spellStart"/>
      <w:r w:rsidRPr="00771E6E">
        <w:t>Società</w:t>
      </w:r>
      <w:proofErr w:type="spellEnd"/>
      <w:r w:rsidRPr="00771E6E">
        <w:t xml:space="preserve"> </w:t>
      </w:r>
      <w:proofErr w:type="spellStart"/>
      <w:r w:rsidRPr="00771E6E">
        <w:t>Tipografica</w:t>
      </w:r>
      <w:proofErr w:type="spellEnd"/>
      <w:r w:rsidRPr="00771E6E">
        <w:t xml:space="preserve"> de’ </w:t>
      </w:r>
      <w:proofErr w:type="spellStart"/>
      <w:r w:rsidRPr="00771E6E">
        <w:t>Classici</w:t>
      </w:r>
      <w:proofErr w:type="spellEnd"/>
      <w:r w:rsidRPr="00771E6E">
        <w:t xml:space="preserve"> </w:t>
      </w:r>
      <w:proofErr w:type="spellStart"/>
      <w:r w:rsidRPr="00771E6E">
        <w:t>Italiani</w:t>
      </w:r>
      <w:proofErr w:type="spellEnd"/>
      <w:r w:rsidRPr="00771E6E">
        <w:t>, 1806.</w:t>
      </w:r>
    </w:p>
    <w:p w14:paraId="1809671D" w14:textId="77777777" w:rsidR="00F33779" w:rsidRPr="00771E6E" w:rsidRDefault="00F33779" w:rsidP="00F33779">
      <w:pPr>
        <w:pStyle w:val="Bibliography"/>
        <w:ind w:left="709" w:hanging="709"/>
      </w:pPr>
      <w:r w:rsidRPr="00771E6E">
        <w:lastRenderedPageBreak/>
        <w:t xml:space="preserve">Cicero, Marcus Tullius. </w:t>
      </w:r>
      <w:proofErr w:type="spellStart"/>
      <w:r w:rsidRPr="00771E6E">
        <w:rPr>
          <w:i/>
          <w:iCs/>
        </w:rPr>
        <w:t>Tusculan</w:t>
      </w:r>
      <w:proofErr w:type="spellEnd"/>
      <w:r w:rsidRPr="00771E6E">
        <w:rPr>
          <w:i/>
          <w:iCs/>
        </w:rPr>
        <w:t xml:space="preserve"> Disputations: Also, Treatises </w:t>
      </w:r>
      <w:proofErr w:type="gramStart"/>
      <w:r w:rsidRPr="00771E6E">
        <w:rPr>
          <w:i/>
          <w:iCs/>
        </w:rPr>
        <w:t>On</w:t>
      </w:r>
      <w:proofErr w:type="gramEnd"/>
      <w:r w:rsidRPr="00771E6E">
        <w:rPr>
          <w:i/>
          <w:iCs/>
        </w:rPr>
        <w:t xml:space="preserve"> The Nature Of The Gods, And On The Commonwealth</w:t>
      </w:r>
      <w:r w:rsidRPr="00771E6E">
        <w:t>. Translated by Charles Duke Yonge. New York: Harper &amp; Brothers Publishers, 1877. http://www.gutenberg.org/etext/14988.</w:t>
      </w:r>
    </w:p>
    <w:p w14:paraId="3BC59548" w14:textId="77777777" w:rsidR="00F33779" w:rsidRPr="00771E6E" w:rsidRDefault="00F33779" w:rsidP="00F33779">
      <w:pPr>
        <w:pStyle w:val="Bibliography"/>
        <w:ind w:left="709" w:hanging="709"/>
      </w:pPr>
      <w:proofErr w:type="spellStart"/>
      <w:r w:rsidRPr="00771E6E">
        <w:t>Dominici</w:t>
      </w:r>
      <w:proofErr w:type="spellEnd"/>
      <w:r w:rsidRPr="00771E6E">
        <w:t xml:space="preserve">, Giovanni. </w:t>
      </w:r>
      <w:proofErr w:type="spellStart"/>
      <w:r w:rsidRPr="00771E6E">
        <w:rPr>
          <w:i/>
          <w:iCs/>
        </w:rPr>
        <w:t>Regola</w:t>
      </w:r>
      <w:proofErr w:type="spellEnd"/>
      <w:r w:rsidRPr="00771E6E">
        <w:rPr>
          <w:i/>
          <w:iCs/>
        </w:rPr>
        <w:t xml:space="preserve"> Del </w:t>
      </w:r>
      <w:proofErr w:type="spellStart"/>
      <w:r w:rsidRPr="00771E6E">
        <w:rPr>
          <w:i/>
          <w:iCs/>
        </w:rPr>
        <w:t>Governo</w:t>
      </w:r>
      <w:proofErr w:type="spellEnd"/>
      <w:r w:rsidRPr="00771E6E">
        <w:rPr>
          <w:i/>
          <w:iCs/>
        </w:rPr>
        <w:t xml:space="preserve"> Di </w:t>
      </w:r>
      <w:proofErr w:type="spellStart"/>
      <w:r w:rsidRPr="00771E6E">
        <w:rPr>
          <w:i/>
          <w:iCs/>
        </w:rPr>
        <w:t>Cura</w:t>
      </w:r>
      <w:proofErr w:type="spellEnd"/>
      <w:r w:rsidRPr="00771E6E">
        <w:rPr>
          <w:i/>
          <w:iCs/>
        </w:rPr>
        <w:t xml:space="preserve"> </w:t>
      </w:r>
      <w:proofErr w:type="spellStart"/>
      <w:r w:rsidRPr="00771E6E">
        <w:rPr>
          <w:i/>
          <w:iCs/>
        </w:rPr>
        <w:t>Familiare</w:t>
      </w:r>
      <w:proofErr w:type="spellEnd"/>
      <w:r w:rsidRPr="00771E6E">
        <w:t xml:space="preserve">. Edited by Donato Salvi. Florence: </w:t>
      </w:r>
      <w:proofErr w:type="spellStart"/>
      <w:r w:rsidRPr="00771E6E">
        <w:t>Angiolo</w:t>
      </w:r>
      <w:proofErr w:type="spellEnd"/>
      <w:r w:rsidRPr="00771E6E">
        <w:t xml:space="preserve"> </w:t>
      </w:r>
      <w:proofErr w:type="spellStart"/>
      <w:r w:rsidRPr="00771E6E">
        <w:t>Garinei</w:t>
      </w:r>
      <w:proofErr w:type="spellEnd"/>
      <w:r w:rsidRPr="00771E6E">
        <w:t xml:space="preserve"> </w:t>
      </w:r>
      <w:proofErr w:type="spellStart"/>
      <w:r w:rsidRPr="00771E6E">
        <w:t>Libraio</w:t>
      </w:r>
      <w:proofErr w:type="spellEnd"/>
      <w:r w:rsidRPr="00771E6E">
        <w:t>, 1860.</w:t>
      </w:r>
    </w:p>
    <w:p w14:paraId="25FCCB84" w14:textId="77777777" w:rsidR="00F33779" w:rsidRPr="00771E6E" w:rsidRDefault="00F33779" w:rsidP="00F33779">
      <w:pPr>
        <w:pStyle w:val="Bibliography"/>
        <w:ind w:left="709" w:hanging="709"/>
      </w:pPr>
      <w:r w:rsidRPr="00771E6E">
        <w:t xml:space="preserve">Durando, </w:t>
      </w:r>
      <w:proofErr w:type="spellStart"/>
      <w:r w:rsidRPr="00771E6E">
        <w:t>Gulielmo</w:t>
      </w:r>
      <w:proofErr w:type="spellEnd"/>
      <w:r w:rsidRPr="00771E6E">
        <w:t xml:space="preserve">. </w:t>
      </w:r>
      <w:r w:rsidRPr="00771E6E">
        <w:rPr>
          <w:i/>
          <w:iCs/>
        </w:rPr>
        <w:t xml:space="preserve">Rationale </w:t>
      </w:r>
      <w:proofErr w:type="spellStart"/>
      <w:r w:rsidRPr="00771E6E">
        <w:rPr>
          <w:i/>
          <w:iCs/>
        </w:rPr>
        <w:t>Divinorum</w:t>
      </w:r>
      <w:proofErr w:type="spellEnd"/>
      <w:r w:rsidRPr="00771E6E">
        <w:rPr>
          <w:i/>
          <w:iCs/>
        </w:rPr>
        <w:t xml:space="preserve"> Officiorum</w:t>
      </w:r>
      <w:r w:rsidRPr="00771E6E">
        <w:t xml:space="preserve">. Naples: </w:t>
      </w:r>
      <w:proofErr w:type="spellStart"/>
      <w:r w:rsidRPr="00771E6E">
        <w:t>Josephum</w:t>
      </w:r>
      <w:proofErr w:type="spellEnd"/>
      <w:r w:rsidRPr="00771E6E">
        <w:t xml:space="preserve"> Dura </w:t>
      </w:r>
      <w:proofErr w:type="spellStart"/>
      <w:r w:rsidRPr="00771E6E">
        <w:t>Biblippolam</w:t>
      </w:r>
      <w:proofErr w:type="spellEnd"/>
      <w:r w:rsidRPr="00771E6E">
        <w:t>, 1859.</w:t>
      </w:r>
    </w:p>
    <w:p w14:paraId="6E18510E" w14:textId="77777777" w:rsidR="00F33779" w:rsidRPr="00771E6E" w:rsidRDefault="00F33779" w:rsidP="00F33779">
      <w:pPr>
        <w:pStyle w:val="Bibliography"/>
        <w:ind w:left="709" w:hanging="709"/>
      </w:pPr>
      <w:r w:rsidRPr="00771E6E">
        <w:t xml:space="preserve">Ficino, </w:t>
      </w:r>
      <w:proofErr w:type="spellStart"/>
      <w:r w:rsidRPr="00771E6E">
        <w:t>Marsilio</w:t>
      </w:r>
      <w:proofErr w:type="spellEnd"/>
      <w:r w:rsidRPr="00771E6E">
        <w:t xml:space="preserve">. </w:t>
      </w:r>
      <w:proofErr w:type="spellStart"/>
      <w:r w:rsidRPr="00771E6E">
        <w:rPr>
          <w:i/>
          <w:iCs/>
        </w:rPr>
        <w:t>Epistolae</w:t>
      </w:r>
      <w:proofErr w:type="spellEnd"/>
      <w:r w:rsidRPr="00771E6E">
        <w:rPr>
          <w:i/>
          <w:iCs/>
        </w:rPr>
        <w:t xml:space="preserve"> </w:t>
      </w:r>
      <w:proofErr w:type="spellStart"/>
      <w:r w:rsidRPr="00771E6E">
        <w:rPr>
          <w:i/>
          <w:iCs/>
        </w:rPr>
        <w:t>Marsilii</w:t>
      </w:r>
      <w:proofErr w:type="spellEnd"/>
      <w:r w:rsidRPr="00771E6E">
        <w:rPr>
          <w:i/>
          <w:iCs/>
        </w:rPr>
        <w:t xml:space="preserve"> </w:t>
      </w:r>
      <w:proofErr w:type="spellStart"/>
      <w:r w:rsidRPr="00771E6E">
        <w:rPr>
          <w:i/>
          <w:iCs/>
        </w:rPr>
        <w:t>Ficini</w:t>
      </w:r>
      <w:proofErr w:type="spellEnd"/>
      <w:r w:rsidRPr="00771E6E">
        <w:rPr>
          <w:i/>
          <w:iCs/>
        </w:rPr>
        <w:t xml:space="preserve"> </w:t>
      </w:r>
      <w:proofErr w:type="spellStart"/>
      <w:r w:rsidRPr="00771E6E">
        <w:rPr>
          <w:i/>
          <w:iCs/>
        </w:rPr>
        <w:t>Florentini</w:t>
      </w:r>
      <w:proofErr w:type="spellEnd"/>
      <w:r w:rsidRPr="00771E6E">
        <w:t xml:space="preserve">. Nuremberg: Per </w:t>
      </w:r>
      <w:proofErr w:type="spellStart"/>
      <w:r w:rsidRPr="00771E6E">
        <w:t>Antonium</w:t>
      </w:r>
      <w:proofErr w:type="spellEnd"/>
      <w:r w:rsidRPr="00771E6E">
        <w:t xml:space="preserve"> </w:t>
      </w:r>
      <w:proofErr w:type="spellStart"/>
      <w:r w:rsidRPr="00771E6E">
        <w:t>Koberger</w:t>
      </w:r>
      <w:proofErr w:type="spellEnd"/>
      <w:r w:rsidRPr="00771E6E">
        <w:t xml:space="preserve"> </w:t>
      </w:r>
      <w:proofErr w:type="spellStart"/>
      <w:r w:rsidRPr="00771E6E">
        <w:t>ímpraesse</w:t>
      </w:r>
      <w:proofErr w:type="spellEnd"/>
      <w:r w:rsidRPr="00771E6E">
        <w:t>, 1497.</w:t>
      </w:r>
    </w:p>
    <w:p w14:paraId="35EA7894" w14:textId="77777777" w:rsidR="00F33779" w:rsidRPr="00771E6E" w:rsidRDefault="00F33779" w:rsidP="00F33779">
      <w:pPr>
        <w:pStyle w:val="Bibliography"/>
        <w:ind w:left="709" w:hanging="709"/>
      </w:pPr>
      <w:r w:rsidRPr="00771E6E">
        <w:t xml:space="preserve">———. </w:t>
      </w:r>
      <w:r w:rsidRPr="00771E6E">
        <w:rPr>
          <w:i/>
          <w:iCs/>
        </w:rPr>
        <w:t xml:space="preserve">The Letters of </w:t>
      </w:r>
      <w:proofErr w:type="spellStart"/>
      <w:r w:rsidRPr="00771E6E">
        <w:rPr>
          <w:i/>
          <w:iCs/>
        </w:rPr>
        <w:t>Marsilio</w:t>
      </w:r>
      <w:proofErr w:type="spellEnd"/>
      <w:r w:rsidRPr="00771E6E">
        <w:rPr>
          <w:i/>
          <w:iCs/>
        </w:rPr>
        <w:t xml:space="preserve"> Ficino</w:t>
      </w:r>
      <w:r w:rsidRPr="00771E6E">
        <w:t>. Translated by from the Latin by members of the Language Department of the School of Economic Science, London. Vol. 1. London: Shepheard-Walwyn, 1975.</w:t>
      </w:r>
    </w:p>
    <w:p w14:paraId="7F208E38" w14:textId="77777777" w:rsidR="00F33779" w:rsidRPr="00771E6E" w:rsidRDefault="00F33779" w:rsidP="00F33779">
      <w:pPr>
        <w:pStyle w:val="Bibliography"/>
        <w:ind w:left="709" w:hanging="709"/>
      </w:pPr>
      <w:r w:rsidRPr="00771E6E">
        <w:t xml:space="preserve">———. </w:t>
      </w:r>
      <w:r w:rsidRPr="00771E6E">
        <w:rPr>
          <w:i/>
          <w:iCs/>
        </w:rPr>
        <w:t>Three Books on Life</w:t>
      </w:r>
      <w:r w:rsidRPr="00771E6E">
        <w:t xml:space="preserve">. Edited by Carol V. </w:t>
      </w:r>
      <w:proofErr w:type="spellStart"/>
      <w:r w:rsidRPr="00771E6E">
        <w:t>Kaske</w:t>
      </w:r>
      <w:proofErr w:type="spellEnd"/>
      <w:r w:rsidRPr="00771E6E">
        <w:t xml:space="preserve"> and John R. Clark. Tempe, AZ: Medieval &amp; Renaissance Texts &amp; Studies in conjunction with the Renaissance Society of America, 1998.</w:t>
      </w:r>
    </w:p>
    <w:p w14:paraId="1EFCECFD" w14:textId="77777777" w:rsidR="00F33779" w:rsidRPr="00771E6E" w:rsidRDefault="00F33779" w:rsidP="00F33779">
      <w:pPr>
        <w:pStyle w:val="Bibliography"/>
        <w:ind w:left="709" w:hanging="709"/>
      </w:pPr>
      <w:r w:rsidRPr="00771E6E">
        <w:t xml:space="preserve">Francis of Assisi (Saint). </w:t>
      </w:r>
      <w:r w:rsidRPr="00771E6E">
        <w:rPr>
          <w:i/>
          <w:iCs/>
        </w:rPr>
        <w:t xml:space="preserve">I </w:t>
      </w:r>
      <w:proofErr w:type="spellStart"/>
      <w:r w:rsidRPr="00771E6E">
        <w:rPr>
          <w:i/>
          <w:iCs/>
        </w:rPr>
        <w:t>Fioretti</w:t>
      </w:r>
      <w:proofErr w:type="spellEnd"/>
      <w:r w:rsidRPr="00771E6E">
        <w:rPr>
          <w:i/>
          <w:iCs/>
        </w:rPr>
        <w:t xml:space="preserve"> di S. Francesco (secondo la </w:t>
      </w:r>
      <w:proofErr w:type="spellStart"/>
      <w:r w:rsidRPr="00771E6E">
        <w:rPr>
          <w:i/>
          <w:iCs/>
        </w:rPr>
        <w:t>lezione</w:t>
      </w:r>
      <w:proofErr w:type="spellEnd"/>
      <w:r w:rsidRPr="00771E6E">
        <w:rPr>
          <w:i/>
          <w:iCs/>
        </w:rPr>
        <w:t xml:space="preserve"> </w:t>
      </w:r>
      <w:proofErr w:type="spellStart"/>
      <w:r w:rsidRPr="00771E6E">
        <w:rPr>
          <w:i/>
          <w:iCs/>
        </w:rPr>
        <w:t>adottata</w:t>
      </w:r>
      <w:proofErr w:type="spellEnd"/>
      <w:r w:rsidRPr="00771E6E">
        <w:rPr>
          <w:i/>
          <w:iCs/>
        </w:rPr>
        <w:t xml:space="preserve"> dal P. A. </w:t>
      </w:r>
      <w:proofErr w:type="spellStart"/>
      <w:r w:rsidRPr="00771E6E">
        <w:rPr>
          <w:i/>
          <w:iCs/>
        </w:rPr>
        <w:t>Cesari</w:t>
      </w:r>
      <w:proofErr w:type="spellEnd"/>
      <w:r w:rsidRPr="00771E6E">
        <w:rPr>
          <w:i/>
          <w:iCs/>
        </w:rPr>
        <w:t xml:space="preserve">), e Lo </w:t>
      </w:r>
      <w:proofErr w:type="spellStart"/>
      <w:r w:rsidRPr="00771E6E">
        <w:rPr>
          <w:i/>
          <w:iCs/>
        </w:rPr>
        <w:t>Specchio</w:t>
      </w:r>
      <w:proofErr w:type="spellEnd"/>
      <w:r w:rsidRPr="00771E6E">
        <w:rPr>
          <w:i/>
          <w:iCs/>
        </w:rPr>
        <w:t xml:space="preserve"> </w:t>
      </w:r>
      <w:proofErr w:type="spellStart"/>
      <w:r w:rsidRPr="00771E6E">
        <w:rPr>
          <w:i/>
          <w:iCs/>
        </w:rPr>
        <w:t>della</w:t>
      </w:r>
      <w:proofErr w:type="spellEnd"/>
      <w:r w:rsidRPr="00771E6E">
        <w:rPr>
          <w:i/>
          <w:iCs/>
        </w:rPr>
        <w:t xml:space="preserve"> </w:t>
      </w:r>
      <w:proofErr w:type="spellStart"/>
      <w:r w:rsidRPr="00771E6E">
        <w:rPr>
          <w:i/>
          <w:iCs/>
        </w:rPr>
        <w:t>vera</w:t>
      </w:r>
      <w:proofErr w:type="spellEnd"/>
      <w:r w:rsidRPr="00771E6E">
        <w:rPr>
          <w:i/>
          <w:iCs/>
        </w:rPr>
        <w:t xml:space="preserve"> </w:t>
      </w:r>
      <w:proofErr w:type="spellStart"/>
      <w:r w:rsidRPr="00771E6E">
        <w:rPr>
          <w:i/>
          <w:iCs/>
        </w:rPr>
        <w:t>penitenza</w:t>
      </w:r>
      <w:proofErr w:type="spellEnd"/>
      <w:r w:rsidRPr="00771E6E">
        <w:rPr>
          <w:i/>
          <w:iCs/>
        </w:rPr>
        <w:t xml:space="preserve"> di Fra </w:t>
      </w:r>
      <w:proofErr w:type="spellStart"/>
      <w:r w:rsidRPr="00771E6E">
        <w:rPr>
          <w:i/>
          <w:iCs/>
        </w:rPr>
        <w:t>Iacopo</w:t>
      </w:r>
      <w:proofErr w:type="spellEnd"/>
      <w:r w:rsidRPr="00771E6E">
        <w:rPr>
          <w:i/>
          <w:iCs/>
        </w:rPr>
        <w:t xml:space="preserve"> </w:t>
      </w:r>
      <w:proofErr w:type="spellStart"/>
      <w:r w:rsidRPr="00771E6E">
        <w:rPr>
          <w:i/>
          <w:iCs/>
        </w:rPr>
        <w:t>Passavanti</w:t>
      </w:r>
      <w:proofErr w:type="spellEnd"/>
      <w:r w:rsidRPr="00771E6E">
        <w:t xml:space="preserve">. Edited by Antonio </w:t>
      </w:r>
      <w:proofErr w:type="spellStart"/>
      <w:r w:rsidRPr="00771E6E">
        <w:t>Cesari</w:t>
      </w:r>
      <w:proofErr w:type="spellEnd"/>
      <w:r w:rsidRPr="00771E6E">
        <w:t xml:space="preserve">. Firenze: </w:t>
      </w:r>
      <w:proofErr w:type="spellStart"/>
      <w:r w:rsidRPr="00771E6E">
        <w:t>Poligrafia</w:t>
      </w:r>
      <w:proofErr w:type="spellEnd"/>
      <w:r w:rsidRPr="00771E6E">
        <w:t xml:space="preserve"> </w:t>
      </w:r>
      <w:proofErr w:type="spellStart"/>
      <w:r w:rsidRPr="00771E6E">
        <w:t>Italiana</w:t>
      </w:r>
      <w:proofErr w:type="spellEnd"/>
      <w:r w:rsidRPr="00771E6E">
        <w:t>, 1847.</w:t>
      </w:r>
    </w:p>
    <w:p w14:paraId="681C5616" w14:textId="77777777" w:rsidR="00F33779" w:rsidRPr="00771E6E" w:rsidRDefault="00F33779" w:rsidP="00F33779">
      <w:pPr>
        <w:pStyle w:val="Bibliography"/>
        <w:ind w:left="709" w:hanging="709"/>
      </w:pPr>
      <w:proofErr w:type="spellStart"/>
      <w:r w:rsidRPr="00771E6E">
        <w:t>Gaffurius</w:t>
      </w:r>
      <w:proofErr w:type="spellEnd"/>
      <w:r w:rsidRPr="00771E6E">
        <w:t xml:space="preserve">, </w:t>
      </w:r>
      <w:proofErr w:type="spellStart"/>
      <w:r w:rsidRPr="00771E6E">
        <w:t>Franchinus</w:t>
      </w:r>
      <w:proofErr w:type="spellEnd"/>
      <w:r w:rsidRPr="00771E6E">
        <w:t xml:space="preserve">. </w:t>
      </w:r>
      <w:proofErr w:type="spellStart"/>
      <w:r w:rsidRPr="00771E6E">
        <w:rPr>
          <w:i/>
          <w:iCs/>
        </w:rPr>
        <w:t>Practica</w:t>
      </w:r>
      <w:proofErr w:type="spellEnd"/>
      <w:r w:rsidRPr="00771E6E">
        <w:rPr>
          <w:i/>
          <w:iCs/>
        </w:rPr>
        <w:t xml:space="preserve"> </w:t>
      </w:r>
      <w:proofErr w:type="spellStart"/>
      <w:r w:rsidRPr="00771E6E">
        <w:rPr>
          <w:i/>
          <w:iCs/>
        </w:rPr>
        <w:t>musicae</w:t>
      </w:r>
      <w:proofErr w:type="spellEnd"/>
      <w:r w:rsidRPr="00771E6E">
        <w:t xml:space="preserve">. Milan: Guillaume Le </w:t>
      </w:r>
      <w:proofErr w:type="spellStart"/>
      <w:r w:rsidRPr="00771E6E">
        <w:t>Signerre</w:t>
      </w:r>
      <w:proofErr w:type="spellEnd"/>
      <w:r w:rsidRPr="00771E6E">
        <w:t xml:space="preserve">, per Giovanni Pietro da </w:t>
      </w:r>
      <w:proofErr w:type="spellStart"/>
      <w:r w:rsidRPr="00771E6E">
        <w:t>Lomazzo</w:t>
      </w:r>
      <w:proofErr w:type="spellEnd"/>
      <w:r w:rsidRPr="00771E6E">
        <w:t>, 30 IX, 1496. Reprint, Madison, Milwaukee and London: The University of Wisconsin Press, 1969.</w:t>
      </w:r>
    </w:p>
    <w:p w14:paraId="221F8254" w14:textId="77777777" w:rsidR="00F33779" w:rsidRPr="00771E6E" w:rsidRDefault="00F33779" w:rsidP="00FB0EFE">
      <w:pPr>
        <w:pStyle w:val="Bibliography"/>
        <w:ind w:left="709" w:hanging="709"/>
      </w:pPr>
      <w:r w:rsidRPr="00771E6E">
        <w:t xml:space="preserve">———. </w:t>
      </w:r>
      <w:r w:rsidRPr="00771E6E">
        <w:rPr>
          <w:i/>
          <w:iCs/>
        </w:rPr>
        <w:t xml:space="preserve">The </w:t>
      </w:r>
      <w:proofErr w:type="spellStart"/>
      <w:r w:rsidRPr="00771E6E">
        <w:rPr>
          <w:i/>
          <w:iCs/>
        </w:rPr>
        <w:t>Practica</w:t>
      </w:r>
      <w:proofErr w:type="spellEnd"/>
      <w:r w:rsidRPr="00771E6E">
        <w:rPr>
          <w:i/>
          <w:iCs/>
        </w:rPr>
        <w:t xml:space="preserve"> </w:t>
      </w:r>
      <w:proofErr w:type="spellStart"/>
      <w:r w:rsidRPr="00771E6E">
        <w:rPr>
          <w:i/>
          <w:iCs/>
        </w:rPr>
        <w:t>Musicae</w:t>
      </w:r>
      <w:proofErr w:type="spellEnd"/>
      <w:r w:rsidRPr="00771E6E">
        <w:rPr>
          <w:i/>
          <w:iCs/>
        </w:rPr>
        <w:t xml:space="preserve"> of </w:t>
      </w:r>
      <w:proofErr w:type="spellStart"/>
      <w:r w:rsidRPr="00771E6E">
        <w:rPr>
          <w:i/>
          <w:iCs/>
        </w:rPr>
        <w:t>Franchinus</w:t>
      </w:r>
      <w:proofErr w:type="spellEnd"/>
      <w:r w:rsidRPr="00771E6E">
        <w:rPr>
          <w:i/>
          <w:iCs/>
        </w:rPr>
        <w:t xml:space="preserve"> </w:t>
      </w:r>
      <w:proofErr w:type="spellStart"/>
      <w:r w:rsidRPr="00771E6E">
        <w:rPr>
          <w:i/>
          <w:iCs/>
        </w:rPr>
        <w:t>Gafurius</w:t>
      </w:r>
      <w:proofErr w:type="spellEnd"/>
      <w:r w:rsidRPr="00771E6E">
        <w:t>. Edited and translated by Irwin Young. Madison, Milwaukee and London: The University of Wisconsin Press, 1969.</w:t>
      </w:r>
    </w:p>
    <w:p w14:paraId="2DD79F6B" w14:textId="77777777" w:rsidR="00F33779" w:rsidRPr="00771E6E" w:rsidRDefault="00F33779" w:rsidP="00FB0EFE">
      <w:pPr>
        <w:spacing w:line="240" w:lineRule="auto"/>
        <w:ind w:left="709" w:hanging="709"/>
      </w:pPr>
      <w:proofErr w:type="spellStart"/>
      <w:r w:rsidRPr="00771E6E">
        <w:t>Gellius</w:t>
      </w:r>
      <w:proofErr w:type="spellEnd"/>
      <w:r w:rsidRPr="00771E6E">
        <w:t xml:space="preserve">, </w:t>
      </w:r>
      <w:proofErr w:type="spellStart"/>
      <w:r w:rsidRPr="00771E6E">
        <w:t>Aulus</w:t>
      </w:r>
      <w:proofErr w:type="spellEnd"/>
      <w:r w:rsidRPr="00771E6E">
        <w:t xml:space="preserve">. </w:t>
      </w:r>
      <w:r w:rsidRPr="00771E6E">
        <w:rPr>
          <w:i/>
          <w:iCs/>
        </w:rPr>
        <w:t xml:space="preserve">The Attic Nights of </w:t>
      </w:r>
      <w:proofErr w:type="spellStart"/>
      <w:r w:rsidRPr="00771E6E">
        <w:rPr>
          <w:i/>
          <w:iCs/>
        </w:rPr>
        <w:t>Aulus</w:t>
      </w:r>
      <w:proofErr w:type="spellEnd"/>
      <w:r w:rsidRPr="00771E6E">
        <w:rPr>
          <w:i/>
          <w:iCs/>
        </w:rPr>
        <w:t xml:space="preserve"> </w:t>
      </w:r>
      <w:proofErr w:type="spellStart"/>
      <w:r w:rsidRPr="00771E6E">
        <w:rPr>
          <w:i/>
          <w:iCs/>
        </w:rPr>
        <w:t>Gellius</w:t>
      </w:r>
      <w:proofErr w:type="spellEnd"/>
      <w:r w:rsidRPr="00771E6E">
        <w:t>. Translated by John C. Rolfe. Cambridge, Mass.: Harvard University Press, 1927.</w:t>
      </w:r>
    </w:p>
    <w:p w14:paraId="440B899D" w14:textId="77777777" w:rsidR="00F33779" w:rsidRPr="00771E6E" w:rsidRDefault="00F33779" w:rsidP="00FB0EFE">
      <w:pPr>
        <w:pStyle w:val="Bibliography"/>
        <w:ind w:left="709" w:hanging="709"/>
      </w:pPr>
      <w:r w:rsidRPr="00771E6E">
        <w:t xml:space="preserve">Giovanni di </w:t>
      </w:r>
      <w:proofErr w:type="spellStart"/>
      <w:r w:rsidRPr="00771E6E">
        <w:t>Dio</w:t>
      </w:r>
      <w:proofErr w:type="spellEnd"/>
      <w:r w:rsidRPr="00771E6E">
        <w:t xml:space="preserve"> da Venezia. </w:t>
      </w:r>
      <w:r w:rsidRPr="00771E6E">
        <w:rPr>
          <w:i/>
          <w:iCs/>
        </w:rPr>
        <w:t xml:space="preserve">Decor </w:t>
      </w:r>
      <w:proofErr w:type="spellStart"/>
      <w:r w:rsidRPr="00771E6E">
        <w:rPr>
          <w:i/>
          <w:iCs/>
        </w:rPr>
        <w:t>Puellarum</w:t>
      </w:r>
      <w:proofErr w:type="spellEnd"/>
      <w:r w:rsidRPr="00771E6E">
        <w:t>. Venice</w:t>
      </w:r>
      <w:r w:rsidR="00FB4EE3" w:rsidRPr="00771E6E">
        <w:t>: Nicolaus Jenson</w:t>
      </w:r>
      <w:r w:rsidRPr="00771E6E">
        <w:t>, 1471. http://www.internetculturale.it/jmms/iccuviewer/iccu.jsp? id=oai%3A193.206.197.121%3A18%3AVE0049%3AVEAE127961&amp;mode=all&amp;teca=marciana.</w:t>
      </w:r>
    </w:p>
    <w:p w14:paraId="09AB194A" w14:textId="77777777" w:rsidR="00F33779" w:rsidRPr="00771E6E" w:rsidRDefault="00F33779" w:rsidP="00F33779">
      <w:pPr>
        <w:pStyle w:val="Bibliography"/>
        <w:ind w:left="709" w:hanging="709"/>
      </w:pPr>
      <w:r w:rsidRPr="00771E6E">
        <w:t>Gregory the Great. “</w:t>
      </w:r>
      <w:proofErr w:type="spellStart"/>
      <w:r w:rsidRPr="00771E6E">
        <w:t>Dialogorum</w:t>
      </w:r>
      <w:proofErr w:type="spellEnd"/>
      <w:r w:rsidRPr="00771E6E">
        <w:t xml:space="preserve"> libri </w:t>
      </w:r>
      <w:proofErr w:type="spellStart"/>
      <w:r w:rsidRPr="00771E6E">
        <w:t>quattuor</w:t>
      </w:r>
      <w:proofErr w:type="spellEnd"/>
      <w:r w:rsidRPr="00771E6E">
        <w:t xml:space="preserve">.” In </w:t>
      </w:r>
      <w:r w:rsidRPr="00771E6E">
        <w:rPr>
          <w:i/>
          <w:iCs/>
        </w:rPr>
        <w:t>Opera Omnia</w:t>
      </w:r>
      <w:r w:rsidRPr="00771E6E">
        <w:t xml:space="preserve">, edited by J. P. </w:t>
      </w:r>
      <w:proofErr w:type="spellStart"/>
      <w:r w:rsidRPr="00771E6E">
        <w:t>Migne</w:t>
      </w:r>
      <w:proofErr w:type="spellEnd"/>
      <w:r w:rsidRPr="00771E6E">
        <w:t xml:space="preserve">, Vol. 77. </w:t>
      </w:r>
      <w:proofErr w:type="spellStart"/>
      <w:r w:rsidRPr="00771E6E">
        <w:t>Patrologia</w:t>
      </w:r>
      <w:proofErr w:type="spellEnd"/>
      <w:r w:rsidRPr="00771E6E">
        <w:t xml:space="preserve"> Latina. Paris: </w:t>
      </w:r>
      <w:proofErr w:type="spellStart"/>
      <w:r w:rsidRPr="00771E6E">
        <w:t>Migne</w:t>
      </w:r>
      <w:proofErr w:type="spellEnd"/>
      <w:r w:rsidRPr="00771E6E">
        <w:t>, 1896.</w:t>
      </w:r>
    </w:p>
    <w:p w14:paraId="03F5E9C7" w14:textId="77777777" w:rsidR="00F33779" w:rsidRPr="00771E6E" w:rsidRDefault="00F33779" w:rsidP="00F33779">
      <w:pPr>
        <w:pStyle w:val="Bibliography"/>
        <w:ind w:left="709" w:hanging="709"/>
      </w:pPr>
      <w:r w:rsidRPr="00771E6E">
        <w:t>———. “</w:t>
      </w:r>
      <w:proofErr w:type="spellStart"/>
      <w:r w:rsidRPr="00771E6E">
        <w:t>Epistola</w:t>
      </w:r>
      <w:proofErr w:type="spellEnd"/>
      <w:r w:rsidRPr="00771E6E">
        <w:t xml:space="preserve"> Ad </w:t>
      </w:r>
      <w:proofErr w:type="spellStart"/>
      <w:r w:rsidRPr="00771E6E">
        <w:t>Serenum</w:t>
      </w:r>
      <w:proofErr w:type="spellEnd"/>
      <w:r w:rsidRPr="00771E6E">
        <w:t xml:space="preserve"> </w:t>
      </w:r>
      <w:proofErr w:type="spellStart"/>
      <w:r w:rsidRPr="00771E6E">
        <w:t>Massiliensem</w:t>
      </w:r>
      <w:proofErr w:type="spellEnd"/>
      <w:r w:rsidRPr="00771E6E">
        <w:t xml:space="preserve"> </w:t>
      </w:r>
      <w:proofErr w:type="spellStart"/>
      <w:r w:rsidRPr="00771E6E">
        <w:t>Episcopum</w:t>
      </w:r>
      <w:proofErr w:type="spellEnd"/>
      <w:r w:rsidRPr="00771E6E">
        <w:t xml:space="preserve">.” In </w:t>
      </w:r>
      <w:proofErr w:type="spellStart"/>
      <w:r w:rsidRPr="00771E6E">
        <w:rPr>
          <w:i/>
          <w:iCs/>
        </w:rPr>
        <w:t>Patrologiae</w:t>
      </w:r>
      <w:proofErr w:type="spellEnd"/>
      <w:r w:rsidRPr="00771E6E">
        <w:rPr>
          <w:i/>
          <w:iCs/>
        </w:rPr>
        <w:t xml:space="preserve"> Cursus </w:t>
      </w:r>
      <w:proofErr w:type="spellStart"/>
      <w:r w:rsidRPr="00771E6E">
        <w:rPr>
          <w:i/>
          <w:iCs/>
        </w:rPr>
        <w:t>Completus</w:t>
      </w:r>
      <w:proofErr w:type="spellEnd"/>
      <w:r w:rsidRPr="00771E6E">
        <w:rPr>
          <w:i/>
          <w:iCs/>
        </w:rPr>
        <w:t xml:space="preserve">. Series Prima. </w:t>
      </w:r>
      <w:proofErr w:type="spellStart"/>
      <w:r w:rsidRPr="00771E6E">
        <w:rPr>
          <w:i/>
          <w:iCs/>
        </w:rPr>
        <w:t>Patrologiae</w:t>
      </w:r>
      <w:proofErr w:type="spellEnd"/>
      <w:r w:rsidRPr="00771E6E">
        <w:rPr>
          <w:i/>
          <w:iCs/>
        </w:rPr>
        <w:t xml:space="preserve"> </w:t>
      </w:r>
      <w:proofErr w:type="spellStart"/>
      <w:r w:rsidRPr="00771E6E">
        <w:rPr>
          <w:i/>
          <w:iCs/>
        </w:rPr>
        <w:t>Tomus</w:t>
      </w:r>
      <w:proofErr w:type="spellEnd"/>
      <w:r w:rsidRPr="00771E6E">
        <w:rPr>
          <w:i/>
          <w:iCs/>
        </w:rPr>
        <w:t xml:space="preserve"> LXXVII</w:t>
      </w:r>
      <w:r w:rsidRPr="00771E6E">
        <w:t xml:space="preserve">, edited by Jacques-Paul </w:t>
      </w:r>
      <w:proofErr w:type="spellStart"/>
      <w:r w:rsidRPr="00771E6E">
        <w:t>Migne</w:t>
      </w:r>
      <w:proofErr w:type="spellEnd"/>
      <w:r w:rsidRPr="00771E6E">
        <w:t xml:space="preserve">, 1128–30. </w:t>
      </w:r>
      <w:proofErr w:type="spellStart"/>
      <w:r w:rsidRPr="00771E6E">
        <w:t>Lutetiae</w:t>
      </w:r>
      <w:proofErr w:type="spellEnd"/>
      <w:r w:rsidRPr="00771E6E">
        <w:t xml:space="preserve"> </w:t>
      </w:r>
      <w:proofErr w:type="spellStart"/>
      <w:r w:rsidRPr="00771E6E">
        <w:t>Parisiorum</w:t>
      </w:r>
      <w:proofErr w:type="spellEnd"/>
      <w:r w:rsidRPr="00771E6E">
        <w:t xml:space="preserve">: J. P. </w:t>
      </w:r>
      <w:proofErr w:type="spellStart"/>
      <w:r w:rsidRPr="00771E6E">
        <w:t>Migne</w:t>
      </w:r>
      <w:proofErr w:type="spellEnd"/>
      <w:r w:rsidRPr="00771E6E">
        <w:t>, 1849.</w:t>
      </w:r>
    </w:p>
    <w:p w14:paraId="0C162C1F" w14:textId="77777777" w:rsidR="00F33779" w:rsidRPr="00771E6E" w:rsidRDefault="00F33779" w:rsidP="00F33779">
      <w:pPr>
        <w:pStyle w:val="Bibliography"/>
        <w:ind w:left="709" w:hanging="709"/>
      </w:pPr>
      <w:r w:rsidRPr="00771E6E">
        <w:t xml:space="preserve">———. “Liber </w:t>
      </w:r>
      <w:proofErr w:type="spellStart"/>
      <w:r w:rsidRPr="00771E6E">
        <w:t>Regulae</w:t>
      </w:r>
      <w:proofErr w:type="spellEnd"/>
      <w:r w:rsidRPr="00771E6E">
        <w:t xml:space="preserve"> </w:t>
      </w:r>
      <w:proofErr w:type="spellStart"/>
      <w:r w:rsidRPr="00771E6E">
        <w:t>Pastoralis</w:t>
      </w:r>
      <w:proofErr w:type="spellEnd"/>
      <w:r w:rsidRPr="00771E6E">
        <w:t xml:space="preserve">.” In </w:t>
      </w:r>
      <w:proofErr w:type="spellStart"/>
      <w:r w:rsidRPr="00771E6E">
        <w:rPr>
          <w:i/>
          <w:iCs/>
        </w:rPr>
        <w:t>Patrologiae</w:t>
      </w:r>
      <w:proofErr w:type="spellEnd"/>
      <w:r w:rsidRPr="00771E6E">
        <w:rPr>
          <w:i/>
          <w:iCs/>
        </w:rPr>
        <w:t xml:space="preserve"> Cursus </w:t>
      </w:r>
      <w:proofErr w:type="spellStart"/>
      <w:r w:rsidRPr="00771E6E">
        <w:rPr>
          <w:i/>
          <w:iCs/>
        </w:rPr>
        <w:t>Completus</w:t>
      </w:r>
      <w:proofErr w:type="spellEnd"/>
      <w:r w:rsidRPr="00771E6E">
        <w:rPr>
          <w:i/>
          <w:iCs/>
        </w:rPr>
        <w:t xml:space="preserve">. Series Prima. </w:t>
      </w:r>
      <w:proofErr w:type="spellStart"/>
      <w:r w:rsidRPr="00771E6E">
        <w:rPr>
          <w:i/>
          <w:iCs/>
        </w:rPr>
        <w:t>Patrologiae</w:t>
      </w:r>
      <w:proofErr w:type="spellEnd"/>
      <w:r w:rsidRPr="00771E6E">
        <w:rPr>
          <w:i/>
          <w:iCs/>
        </w:rPr>
        <w:t xml:space="preserve"> </w:t>
      </w:r>
      <w:proofErr w:type="spellStart"/>
      <w:r w:rsidRPr="00771E6E">
        <w:rPr>
          <w:i/>
          <w:iCs/>
        </w:rPr>
        <w:t>Tomus</w:t>
      </w:r>
      <w:proofErr w:type="spellEnd"/>
      <w:r w:rsidRPr="00771E6E">
        <w:rPr>
          <w:i/>
          <w:iCs/>
        </w:rPr>
        <w:t xml:space="preserve"> LXXVII</w:t>
      </w:r>
      <w:r w:rsidRPr="00771E6E">
        <w:t xml:space="preserve">, edited by Jacques-Paul </w:t>
      </w:r>
      <w:proofErr w:type="spellStart"/>
      <w:r w:rsidRPr="00771E6E">
        <w:t>Migne</w:t>
      </w:r>
      <w:proofErr w:type="spellEnd"/>
      <w:r w:rsidRPr="00771E6E">
        <w:t xml:space="preserve">, 9–130. </w:t>
      </w:r>
      <w:proofErr w:type="spellStart"/>
      <w:r w:rsidRPr="00771E6E">
        <w:t>Lutetiae</w:t>
      </w:r>
      <w:proofErr w:type="spellEnd"/>
      <w:r w:rsidRPr="00771E6E">
        <w:t xml:space="preserve"> </w:t>
      </w:r>
      <w:proofErr w:type="spellStart"/>
      <w:r w:rsidRPr="00771E6E">
        <w:t>Parisiorum</w:t>
      </w:r>
      <w:proofErr w:type="spellEnd"/>
      <w:r w:rsidRPr="00771E6E">
        <w:t xml:space="preserve">: J. P. </w:t>
      </w:r>
      <w:proofErr w:type="spellStart"/>
      <w:r w:rsidRPr="00771E6E">
        <w:t>Migne</w:t>
      </w:r>
      <w:proofErr w:type="spellEnd"/>
      <w:r w:rsidRPr="00771E6E">
        <w:t>, 1849.</w:t>
      </w:r>
    </w:p>
    <w:p w14:paraId="49A756E9" w14:textId="77777777" w:rsidR="00F33779" w:rsidRPr="00771E6E" w:rsidRDefault="00F33779" w:rsidP="00F33779">
      <w:pPr>
        <w:pStyle w:val="Bibliography"/>
        <w:ind w:left="709" w:hanging="709"/>
      </w:pPr>
      <w:r w:rsidRPr="00771E6E">
        <w:t xml:space="preserve">Guarino, Battista. “De </w:t>
      </w:r>
      <w:proofErr w:type="spellStart"/>
      <w:r w:rsidRPr="00771E6E">
        <w:t>Ordine</w:t>
      </w:r>
      <w:proofErr w:type="spellEnd"/>
      <w:r w:rsidRPr="00771E6E">
        <w:t xml:space="preserve"> </w:t>
      </w:r>
      <w:proofErr w:type="spellStart"/>
      <w:r w:rsidRPr="00771E6E">
        <w:t>Docenti</w:t>
      </w:r>
      <w:proofErr w:type="spellEnd"/>
      <w:r w:rsidRPr="00771E6E">
        <w:t xml:space="preserve"> et </w:t>
      </w:r>
      <w:proofErr w:type="spellStart"/>
      <w:r w:rsidRPr="00771E6E">
        <w:t>Studendi</w:t>
      </w:r>
      <w:proofErr w:type="spellEnd"/>
      <w:r w:rsidRPr="00771E6E">
        <w:t xml:space="preserve">.” In </w:t>
      </w:r>
      <w:r w:rsidRPr="00771E6E">
        <w:rPr>
          <w:i/>
          <w:iCs/>
        </w:rPr>
        <w:t>Humanist Educational Treatises</w:t>
      </w:r>
      <w:r w:rsidRPr="00771E6E">
        <w:t xml:space="preserve">, edited by Craig W. </w:t>
      </w:r>
      <w:proofErr w:type="spellStart"/>
      <w:r w:rsidRPr="00771E6E">
        <w:t>Kallendorf</w:t>
      </w:r>
      <w:proofErr w:type="spellEnd"/>
      <w:r w:rsidRPr="00771E6E">
        <w:t xml:space="preserve">, translated by Craig W </w:t>
      </w:r>
      <w:proofErr w:type="spellStart"/>
      <w:r w:rsidRPr="00771E6E">
        <w:t>Kallendorf</w:t>
      </w:r>
      <w:proofErr w:type="spellEnd"/>
      <w:r w:rsidRPr="00771E6E">
        <w:t>, 260–309. Cambridge, MA, and London: Harvard University Press, 2002.</w:t>
      </w:r>
    </w:p>
    <w:p w14:paraId="33BE0495" w14:textId="77777777" w:rsidR="00F33779" w:rsidRPr="00771E6E" w:rsidRDefault="00F33779" w:rsidP="00F33779">
      <w:pPr>
        <w:pStyle w:val="Bibliography"/>
        <w:ind w:left="709" w:hanging="709"/>
      </w:pPr>
      <w:r w:rsidRPr="00771E6E">
        <w:t xml:space="preserve">Guarino Veronese. </w:t>
      </w:r>
      <w:proofErr w:type="spellStart"/>
      <w:r w:rsidRPr="00771E6E">
        <w:rPr>
          <w:i/>
          <w:iCs/>
        </w:rPr>
        <w:t>Epistolario</w:t>
      </w:r>
      <w:proofErr w:type="spellEnd"/>
      <w:r w:rsidRPr="00771E6E">
        <w:rPr>
          <w:i/>
          <w:iCs/>
        </w:rPr>
        <w:t xml:space="preserve"> di Guarino Veronese</w:t>
      </w:r>
      <w:r w:rsidRPr="00771E6E">
        <w:t xml:space="preserve">. Edited by </w:t>
      </w:r>
      <w:proofErr w:type="spellStart"/>
      <w:r w:rsidRPr="00771E6E">
        <w:t>Remigio</w:t>
      </w:r>
      <w:proofErr w:type="spellEnd"/>
      <w:r w:rsidRPr="00771E6E">
        <w:t xml:space="preserve"> </w:t>
      </w:r>
      <w:proofErr w:type="spellStart"/>
      <w:r w:rsidRPr="00771E6E">
        <w:t>Sabbadini</w:t>
      </w:r>
      <w:proofErr w:type="spellEnd"/>
      <w:r w:rsidRPr="00771E6E">
        <w:t xml:space="preserve">. Vol. 1. Turin: Bottega </w:t>
      </w:r>
      <w:proofErr w:type="spellStart"/>
      <w:r w:rsidRPr="00771E6E">
        <w:t>d’Erasmo</w:t>
      </w:r>
      <w:proofErr w:type="spellEnd"/>
      <w:r w:rsidRPr="00771E6E">
        <w:t>, 1959.</w:t>
      </w:r>
    </w:p>
    <w:p w14:paraId="1BC29D1A" w14:textId="77777777" w:rsidR="00F33779" w:rsidRPr="00771E6E" w:rsidRDefault="00F33779" w:rsidP="00F33779">
      <w:pPr>
        <w:pStyle w:val="Bibliography"/>
        <w:ind w:left="709" w:hanging="709"/>
      </w:pPr>
      <w:r w:rsidRPr="00771E6E">
        <w:t xml:space="preserve">Isidore of Seville. “Opera Omnia.” In </w:t>
      </w:r>
      <w:proofErr w:type="spellStart"/>
      <w:r w:rsidRPr="00771E6E">
        <w:rPr>
          <w:i/>
          <w:iCs/>
        </w:rPr>
        <w:t>Patrologia</w:t>
      </w:r>
      <w:proofErr w:type="spellEnd"/>
      <w:r w:rsidRPr="00771E6E">
        <w:rPr>
          <w:i/>
          <w:iCs/>
        </w:rPr>
        <w:t xml:space="preserve"> Latina</w:t>
      </w:r>
      <w:r w:rsidRPr="00771E6E">
        <w:t xml:space="preserve">, edited by J. P. </w:t>
      </w:r>
      <w:proofErr w:type="spellStart"/>
      <w:r w:rsidRPr="00771E6E">
        <w:t>Migne</w:t>
      </w:r>
      <w:proofErr w:type="spellEnd"/>
      <w:r w:rsidRPr="00771E6E">
        <w:t xml:space="preserve">, Vol. 82. Paris: </w:t>
      </w:r>
      <w:proofErr w:type="spellStart"/>
      <w:r w:rsidRPr="00771E6E">
        <w:t>Migne</w:t>
      </w:r>
      <w:proofErr w:type="spellEnd"/>
      <w:r w:rsidRPr="00771E6E">
        <w:t>, 1859.</w:t>
      </w:r>
    </w:p>
    <w:p w14:paraId="1411A12D" w14:textId="77777777" w:rsidR="00F33779" w:rsidRPr="00771E6E" w:rsidRDefault="00F33779" w:rsidP="00F33779">
      <w:pPr>
        <w:pStyle w:val="Bibliography"/>
        <w:ind w:left="709" w:hanging="709"/>
      </w:pPr>
      <w:r w:rsidRPr="00771E6E">
        <w:t xml:space="preserve">Jacobi a </w:t>
      </w:r>
      <w:proofErr w:type="spellStart"/>
      <w:r w:rsidRPr="00771E6E">
        <w:t>Voragine</w:t>
      </w:r>
      <w:proofErr w:type="spellEnd"/>
      <w:r w:rsidRPr="00771E6E">
        <w:t xml:space="preserve">. </w:t>
      </w:r>
      <w:proofErr w:type="spellStart"/>
      <w:r w:rsidRPr="00771E6E">
        <w:rPr>
          <w:i/>
          <w:iCs/>
        </w:rPr>
        <w:t>Legenda</w:t>
      </w:r>
      <w:proofErr w:type="spellEnd"/>
      <w:r w:rsidRPr="00771E6E">
        <w:rPr>
          <w:i/>
          <w:iCs/>
        </w:rPr>
        <w:t xml:space="preserve"> Aurea</w:t>
      </w:r>
      <w:r w:rsidRPr="00771E6E">
        <w:t xml:space="preserve">. Edited by </w:t>
      </w:r>
      <w:proofErr w:type="spellStart"/>
      <w:r w:rsidRPr="00771E6E">
        <w:t>Graesse</w:t>
      </w:r>
      <w:proofErr w:type="spellEnd"/>
      <w:r w:rsidRPr="00771E6E">
        <w:t xml:space="preserve">. </w:t>
      </w:r>
      <w:proofErr w:type="spellStart"/>
      <w:r w:rsidRPr="00771E6E">
        <w:t>Lipsiae</w:t>
      </w:r>
      <w:proofErr w:type="spellEnd"/>
      <w:r w:rsidRPr="00771E6E">
        <w:t xml:space="preserve">: </w:t>
      </w:r>
      <w:proofErr w:type="spellStart"/>
      <w:r w:rsidRPr="00771E6E">
        <w:t>Impensis</w:t>
      </w:r>
      <w:proofErr w:type="spellEnd"/>
      <w:r w:rsidRPr="00771E6E">
        <w:t xml:space="preserve"> </w:t>
      </w:r>
      <w:proofErr w:type="spellStart"/>
      <w:r w:rsidRPr="00771E6E">
        <w:t>Librariae</w:t>
      </w:r>
      <w:proofErr w:type="spellEnd"/>
      <w:r w:rsidRPr="00771E6E">
        <w:t xml:space="preserve"> </w:t>
      </w:r>
      <w:proofErr w:type="spellStart"/>
      <w:r w:rsidRPr="00771E6E">
        <w:t>Arnoldianae</w:t>
      </w:r>
      <w:proofErr w:type="spellEnd"/>
      <w:r w:rsidRPr="00771E6E">
        <w:t>, 1801.</w:t>
      </w:r>
    </w:p>
    <w:p w14:paraId="0360EDB4" w14:textId="77777777" w:rsidR="00F33779" w:rsidRPr="00771E6E" w:rsidRDefault="00F33779" w:rsidP="00F33779">
      <w:pPr>
        <w:pStyle w:val="Bibliography"/>
        <w:ind w:left="709" w:hanging="709"/>
      </w:pPr>
      <w:r w:rsidRPr="00771E6E">
        <w:t xml:space="preserve">Jacobus de </w:t>
      </w:r>
      <w:proofErr w:type="spellStart"/>
      <w:r w:rsidRPr="00771E6E">
        <w:t>Voragine</w:t>
      </w:r>
      <w:proofErr w:type="spellEnd"/>
      <w:r w:rsidRPr="00771E6E">
        <w:t xml:space="preserve">. </w:t>
      </w:r>
      <w:proofErr w:type="spellStart"/>
      <w:r w:rsidRPr="00771E6E">
        <w:rPr>
          <w:i/>
          <w:iCs/>
        </w:rPr>
        <w:t>Mariale</w:t>
      </w:r>
      <w:proofErr w:type="spellEnd"/>
      <w:r w:rsidRPr="00771E6E">
        <w:rPr>
          <w:i/>
          <w:iCs/>
        </w:rPr>
        <w:t xml:space="preserve"> </w:t>
      </w:r>
      <w:proofErr w:type="spellStart"/>
      <w:r w:rsidRPr="00771E6E">
        <w:rPr>
          <w:i/>
          <w:iCs/>
        </w:rPr>
        <w:t>Sive</w:t>
      </w:r>
      <w:proofErr w:type="spellEnd"/>
      <w:r w:rsidRPr="00771E6E">
        <w:rPr>
          <w:i/>
          <w:iCs/>
        </w:rPr>
        <w:t xml:space="preserve"> </w:t>
      </w:r>
      <w:proofErr w:type="spellStart"/>
      <w:r w:rsidRPr="00771E6E">
        <w:rPr>
          <w:i/>
          <w:iCs/>
        </w:rPr>
        <w:t>Sermones</w:t>
      </w:r>
      <w:proofErr w:type="spellEnd"/>
      <w:r w:rsidRPr="00771E6E">
        <w:rPr>
          <w:i/>
          <w:iCs/>
        </w:rPr>
        <w:t xml:space="preserve"> de </w:t>
      </w:r>
      <w:proofErr w:type="spellStart"/>
      <w:r w:rsidRPr="00771E6E">
        <w:rPr>
          <w:i/>
          <w:iCs/>
        </w:rPr>
        <w:t>Veata</w:t>
      </w:r>
      <w:proofErr w:type="spellEnd"/>
      <w:r w:rsidRPr="00771E6E">
        <w:rPr>
          <w:i/>
          <w:iCs/>
        </w:rPr>
        <w:t xml:space="preserve"> Maria </w:t>
      </w:r>
      <w:proofErr w:type="spellStart"/>
      <w:r w:rsidRPr="00771E6E">
        <w:rPr>
          <w:i/>
          <w:iCs/>
        </w:rPr>
        <w:t>Virgine</w:t>
      </w:r>
      <w:proofErr w:type="spellEnd"/>
      <w:r w:rsidRPr="00771E6E">
        <w:t>. Paris, 1503.</w:t>
      </w:r>
    </w:p>
    <w:p w14:paraId="388BC844" w14:textId="77777777" w:rsidR="00F33779" w:rsidRPr="00771E6E" w:rsidRDefault="00F33779" w:rsidP="00F33779">
      <w:pPr>
        <w:pStyle w:val="Bibliography"/>
        <w:ind w:left="709" w:hanging="709"/>
      </w:pPr>
      <w:r w:rsidRPr="00771E6E">
        <w:t xml:space="preserve">———. </w:t>
      </w:r>
      <w:r w:rsidRPr="00771E6E">
        <w:rPr>
          <w:i/>
          <w:iCs/>
        </w:rPr>
        <w:t>The Golden Legend: Readings on the Saints</w:t>
      </w:r>
      <w:r w:rsidRPr="00771E6E">
        <w:t>. Translated by William Granger Ryan. Princeton: Princeton University Press, 2012.</w:t>
      </w:r>
    </w:p>
    <w:p w14:paraId="658EA32E" w14:textId="77777777" w:rsidR="00F33779" w:rsidRPr="00771E6E" w:rsidRDefault="00F33779" w:rsidP="00F33779">
      <w:pPr>
        <w:pStyle w:val="Bibliography"/>
        <w:ind w:left="709" w:hanging="709"/>
      </w:pPr>
      <w:r w:rsidRPr="00771E6E">
        <w:lastRenderedPageBreak/>
        <w:t>John Chrysostom (Saint). “</w:t>
      </w:r>
      <w:proofErr w:type="spellStart"/>
      <w:r w:rsidRPr="00771E6E">
        <w:t>Homilia</w:t>
      </w:r>
      <w:proofErr w:type="spellEnd"/>
      <w:r w:rsidRPr="00771E6E">
        <w:t xml:space="preserve"> IV.” In </w:t>
      </w:r>
      <w:r w:rsidRPr="00771E6E">
        <w:rPr>
          <w:i/>
          <w:iCs/>
        </w:rPr>
        <w:t>Opera Omnia</w:t>
      </w:r>
      <w:r w:rsidRPr="00771E6E">
        <w:t xml:space="preserve">, edited by J. P. </w:t>
      </w:r>
      <w:proofErr w:type="spellStart"/>
      <w:r w:rsidRPr="00771E6E">
        <w:t>Migne</w:t>
      </w:r>
      <w:proofErr w:type="spellEnd"/>
      <w:r w:rsidRPr="00771E6E">
        <w:t xml:space="preserve">, Vol. 57. </w:t>
      </w:r>
      <w:proofErr w:type="spellStart"/>
      <w:r w:rsidRPr="00771E6E">
        <w:t>Patrologia</w:t>
      </w:r>
      <w:proofErr w:type="spellEnd"/>
      <w:r w:rsidRPr="00771E6E">
        <w:t xml:space="preserve"> </w:t>
      </w:r>
      <w:proofErr w:type="spellStart"/>
      <w:r w:rsidRPr="00771E6E">
        <w:t>Graeca</w:t>
      </w:r>
      <w:proofErr w:type="spellEnd"/>
      <w:r w:rsidRPr="00771E6E">
        <w:t xml:space="preserve">. Paris: </w:t>
      </w:r>
      <w:proofErr w:type="spellStart"/>
      <w:r w:rsidRPr="00771E6E">
        <w:t>Migne</w:t>
      </w:r>
      <w:proofErr w:type="spellEnd"/>
      <w:r w:rsidRPr="00771E6E">
        <w:t>, 1862.</w:t>
      </w:r>
    </w:p>
    <w:p w14:paraId="2C170AAE" w14:textId="77777777" w:rsidR="00F33779" w:rsidRPr="00771E6E" w:rsidRDefault="00F33779" w:rsidP="00F33779">
      <w:pPr>
        <w:pStyle w:val="Bibliography"/>
        <w:ind w:left="709" w:hanging="709"/>
      </w:pPr>
      <w:r w:rsidRPr="00771E6E">
        <w:t xml:space="preserve">———. “In </w:t>
      </w:r>
      <w:proofErr w:type="spellStart"/>
      <w:r w:rsidRPr="00771E6E">
        <w:t>Epistolam</w:t>
      </w:r>
      <w:proofErr w:type="spellEnd"/>
      <w:r w:rsidRPr="00771E6E">
        <w:t xml:space="preserve"> </w:t>
      </w:r>
      <w:proofErr w:type="spellStart"/>
      <w:r w:rsidRPr="00771E6E">
        <w:t>ad</w:t>
      </w:r>
      <w:proofErr w:type="spellEnd"/>
      <w:r w:rsidRPr="00771E6E">
        <w:t xml:space="preserve"> </w:t>
      </w:r>
      <w:proofErr w:type="spellStart"/>
      <w:r w:rsidRPr="00771E6E">
        <w:t>Ebreos</w:t>
      </w:r>
      <w:proofErr w:type="spellEnd"/>
      <w:r w:rsidRPr="00771E6E">
        <w:t xml:space="preserve"> </w:t>
      </w:r>
      <w:proofErr w:type="spellStart"/>
      <w:r w:rsidRPr="00771E6E">
        <w:t>homilia</w:t>
      </w:r>
      <w:proofErr w:type="spellEnd"/>
      <w:r w:rsidRPr="00771E6E">
        <w:t xml:space="preserve">.” In </w:t>
      </w:r>
      <w:r w:rsidRPr="00771E6E">
        <w:rPr>
          <w:i/>
          <w:iCs/>
        </w:rPr>
        <w:t>Opera Omnia</w:t>
      </w:r>
      <w:r w:rsidRPr="00771E6E">
        <w:t xml:space="preserve">, edited by J. P. </w:t>
      </w:r>
      <w:proofErr w:type="spellStart"/>
      <w:r w:rsidRPr="00771E6E">
        <w:t>Migne</w:t>
      </w:r>
      <w:proofErr w:type="spellEnd"/>
      <w:r w:rsidRPr="00771E6E">
        <w:t xml:space="preserve">, Vol. 63. </w:t>
      </w:r>
      <w:proofErr w:type="spellStart"/>
      <w:r w:rsidRPr="00771E6E">
        <w:t>Patrologia</w:t>
      </w:r>
      <w:proofErr w:type="spellEnd"/>
      <w:r w:rsidRPr="00771E6E">
        <w:t xml:space="preserve"> </w:t>
      </w:r>
      <w:proofErr w:type="spellStart"/>
      <w:r w:rsidRPr="00771E6E">
        <w:t>Graeca</w:t>
      </w:r>
      <w:proofErr w:type="spellEnd"/>
      <w:r w:rsidRPr="00771E6E">
        <w:t xml:space="preserve">. Paris: </w:t>
      </w:r>
      <w:proofErr w:type="spellStart"/>
      <w:r w:rsidRPr="00771E6E">
        <w:t>Migne</w:t>
      </w:r>
      <w:proofErr w:type="spellEnd"/>
      <w:r w:rsidRPr="00771E6E">
        <w:t>, 1862.</w:t>
      </w:r>
    </w:p>
    <w:p w14:paraId="0B018F6E" w14:textId="77777777" w:rsidR="00F33779" w:rsidRPr="00771E6E" w:rsidRDefault="00F33779" w:rsidP="00F33779">
      <w:pPr>
        <w:pStyle w:val="Bibliography"/>
        <w:ind w:left="709" w:hanging="709"/>
      </w:pPr>
      <w:r w:rsidRPr="00771E6E">
        <w:t xml:space="preserve">———. “In </w:t>
      </w:r>
      <w:proofErr w:type="spellStart"/>
      <w:r w:rsidRPr="00771E6E">
        <w:t>illud</w:t>
      </w:r>
      <w:proofErr w:type="spellEnd"/>
      <w:r w:rsidRPr="00771E6E">
        <w:t xml:space="preserve">, </w:t>
      </w:r>
      <w:proofErr w:type="spellStart"/>
      <w:r w:rsidRPr="00771E6E">
        <w:t>Vidi</w:t>
      </w:r>
      <w:proofErr w:type="spellEnd"/>
      <w:r w:rsidRPr="00771E6E">
        <w:t xml:space="preserve"> </w:t>
      </w:r>
      <w:proofErr w:type="spellStart"/>
      <w:r w:rsidRPr="00771E6E">
        <w:t>Dominum</w:t>
      </w:r>
      <w:proofErr w:type="spellEnd"/>
      <w:r w:rsidRPr="00771E6E">
        <w:t xml:space="preserve">, </w:t>
      </w:r>
      <w:proofErr w:type="spellStart"/>
      <w:r w:rsidRPr="00771E6E">
        <w:t>Homilia</w:t>
      </w:r>
      <w:proofErr w:type="spellEnd"/>
      <w:r w:rsidRPr="00771E6E">
        <w:t xml:space="preserve"> in Seraphim.” In </w:t>
      </w:r>
      <w:r w:rsidRPr="00771E6E">
        <w:rPr>
          <w:i/>
          <w:iCs/>
        </w:rPr>
        <w:t>Opera Omnia</w:t>
      </w:r>
      <w:r w:rsidRPr="00771E6E">
        <w:t xml:space="preserve">, edited by J. P. </w:t>
      </w:r>
      <w:proofErr w:type="spellStart"/>
      <w:r w:rsidRPr="00771E6E">
        <w:t>Migne</w:t>
      </w:r>
      <w:proofErr w:type="spellEnd"/>
      <w:r w:rsidRPr="00771E6E">
        <w:t xml:space="preserve">, Vol. 56. </w:t>
      </w:r>
      <w:proofErr w:type="spellStart"/>
      <w:r w:rsidRPr="00771E6E">
        <w:t>Patrologia</w:t>
      </w:r>
      <w:proofErr w:type="spellEnd"/>
      <w:r w:rsidRPr="00771E6E">
        <w:t xml:space="preserve"> </w:t>
      </w:r>
      <w:proofErr w:type="spellStart"/>
      <w:r w:rsidRPr="00771E6E">
        <w:t>Graeca</w:t>
      </w:r>
      <w:proofErr w:type="spellEnd"/>
      <w:r w:rsidRPr="00771E6E">
        <w:t xml:space="preserve">. Paris: </w:t>
      </w:r>
      <w:proofErr w:type="spellStart"/>
      <w:r w:rsidRPr="00771E6E">
        <w:t>Migne</w:t>
      </w:r>
      <w:proofErr w:type="spellEnd"/>
      <w:r w:rsidRPr="00771E6E">
        <w:t>, 1862.</w:t>
      </w:r>
    </w:p>
    <w:p w14:paraId="55E816BF" w14:textId="77777777" w:rsidR="00F33779" w:rsidRPr="00771E6E" w:rsidRDefault="00F33779" w:rsidP="00F33779">
      <w:pPr>
        <w:pStyle w:val="Bibliography"/>
        <w:ind w:left="709" w:hanging="709"/>
      </w:pPr>
      <w:r w:rsidRPr="00771E6E">
        <w:t xml:space="preserve">———. “In </w:t>
      </w:r>
      <w:proofErr w:type="spellStart"/>
      <w:r w:rsidRPr="00771E6E">
        <w:t>Matthaeum</w:t>
      </w:r>
      <w:proofErr w:type="spellEnd"/>
      <w:r w:rsidRPr="00771E6E">
        <w:t xml:space="preserve"> </w:t>
      </w:r>
      <w:proofErr w:type="spellStart"/>
      <w:r w:rsidRPr="00771E6E">
        <w:t>homilia</w:t>
      </w:r>
      <w:proofErr w:type="spellEnd"/>
      <w:r w:rsidRPr="00771E6E">
        <w:t xml:space="preserve">.” In </w:t>
      </w:r>
      <w:r w:rsidRPr="00771E6E">
        <w:rPr>
          <w:i/>
          <w:iCs/>
        </w:rPr>
        <w:t>Opera Omnia</w:t>
      </w:r>
      <w:r w:rsidRPr="00771E6E">
        <w:t xml:space="preserve">, edited by J. P. </w:t>
      </w:r>
      <w:proofErr w:type="spellStart"/>
      <w:r w:rsidRPr="00771E6E">
        <w:t>Migne</w:t>
      </w:r>
      <w:proofErr w:type="spellEnd"/>
      <w:r w:rsidRPr="00771E6E">
        <w:t xml:space="preserve">, Vol. 57. </w:t>
      </w:r>
      <w:proofErr w:type="spellStart"/>
      <w:r w:rsidRPr="00771E6E">
        <w:t>Patrologia</w:t>
      </w:r>
      <w:proofErr w:type="spellEnd"/>
      <w:r w:rsidRPr="00771E6E">
        <w:t xml:space="preserve"> </w:t>
      </w:r>
      <w:proofErr w:type="spellStart"/>
      <w:r w:rsidRPr="00771E6E">
        <w:t>Graeca</w:t>
      </w:r>
      <w:proofErr w:type="spellEnd"/>
      <w:r w:rsidRPr="00771E6E">
        <w:t xml:space="preserve">. Paris: </w:t>
      </w:r>
      <w:proofErr w:type="spellStart"/>
      <w:r w:rsidRPr="00771E6E">
        <w:t>Migne</w:t>
      </w:r>
      <w:proofErr w:type="spellEnd"/>
      <w:r w:rsidRPr="00771E6E">
        <w:t>, 1862.</w:t>
      </w:r>
    </w:p>
    <w:p w14:paraId="43BD8889" w14:textId="77777777" w:rsidR="00F33779" w:rsidRPr="00771E6E" w:rsidRDefault="00F33779" w:rsidP="00F33779">
      <w:pPr>
        <w:pStyle w:val="Bibliography"/>
        <w:ind w:left="709" w:hanging="709"/>
      </w:pPr>
      <w:r w:rsidRPr="00771E6E">
        <w:t xml:space="preserve">———. </w:t>
      </w:r>
      <w:r w:rsidRPr="00771E6E">
        <w:rPr>
          <w:i/>
          <w:iCs/>
        </w:rPr>
        <w:t>The Homilies of St. John Chrysostom, Archbishop of Constantinople, On the Gospel of St. Matthew</w:t>
      </w:r>
      <w:r w:rsidRPr="00771E6E">
        <w:t>. Edited and translated by Sir George Prevost. Oxford: John Henry Parker, 1843.</w:t>
      </w:r>
    </w:p>
    <w:p w14:paraId="592BBFDE" w14:textId="77777777" w:rsidR="00F33779" w:rsidRPr="00771E6E" w:rsidRDefault="00F33779" w:rsidP="00F33779">
      <w:pPr>
        <w:pStyle w:val="Bibliography"/>
        <w:ind w:left="709" w:hanging="709"/>
      </w:pPr>
      <w:r w:rsidRPr="00771E6E">
        <w:t xml:space="preserve">John of Damascus. “Opera Omnia.” In </w:t>
      </w:r>
      <w:proofErr w:type="spellStart"/>
      <w:r w:rsidRPr="00771E6E">
        <w:rPr>
          <w:i/>
          <w:iCs/>
        </w:rPr>
        <w:t>Patrologia</w:t>
      </w:r>
      <w:proofErr w:type="spellEnd"/>
      <w:r w:rsidRPr="00771E6E">
        <w:rPr>
          <w:i/>
          <w:iCs/>
        </w:rPr>
        <w:t xml:space="preserve"> </w:t>
      </w:r>
      <w:proofErr w:type="spellStart"/>
      <w:r w:rsidRPr="00771E6E">
        <w:rPr>
          <w:i/>
          <w:iCs/>
        </w:rPr>
        <w:t>Graeca</w:t>
      </w:r>
      <w:proofErr w:type="spellEnd"/>
      <w:r w:rsidRPr="00771E6E">
        <w:t xml:space="preserve">, edited by J. P. </w:t>
      </w:r>
      <w:proofErr w:type="spellStart"/>
      <w:r w:rsidRPr="00771E6E">
        <w:t>Migne</w:t>
      </w:r>
      <w:proofErr w:type="spellEnd"/>
      <w:r w:rsidRPr="00771E6E">
        <w:t xml:space="preserve">, Vol. 94. Paris: </w:t>
      </w:r>
      <w:proofErr w:type="spellStart"/>
      <w:r w:rsidRPr="00771E6E">
        <w:t>Migne</w:t>
      </w:r>
      <w:proofErr w:type="spellEnd"/>
      <w:r w:rsidRPr="00771E6E">
        <w:t>, 1857.</w:t>
      </w:r>
    </w:p>
    <w:p w14:paraId="7E6C8827" w14:textId="77777777" w:rsidR="00F33779" w:rsidRPr="00771E6E" w:rsidRDefault="00F33779" w:rsidP="00F33779">
      <w:pPr>
        <w:pStyle w:val="Bibliography"/>
        <w:ind w:left="709" w:hanging="709"/>
      </w:pPr>
      <w:proofErr w:type="spellStart"/>
      <w:r w:rsidRPr="00771E6E">
        <w:t>Landucci</w:t>
      </w:r>
      <w:proofErr w:type="spellEnd"/>
      <w:r w:rsidRPr="00771E6E">
        <w:t xml:space="preserve">, Luca. </w:t>
      </w:r>
      <w:r w:rsidRPr="00771E6E">
        <w:rPr>
          <w:i/>
          <w:iCs/>
        </w:rPr>
        <w:t xml:space="preserve">A Florentine Diary from 1450 to 1516 by Luca </w:t>
      </w:r>
      <w:proofErr w:type="spellStart"/>
      <w:r w:rsidRPr="00771E6E">
        <w:rPr>
          <w:i/>
          <w:iCs/>
        </w:rPr>
        <w:t>Landucci</w:t>
      </w:r>
      <w:proofErr w:type="spellEnd"/>
      <w:r w:rsidRPr="00771E6E">
        <w:rPr>
          <w:i/>
          <w:iCs/>
        </w:rPr>
        <w:t xml:space="preserve"> Continued by an Anonymous Writer till 1542 with Notes by </w:t>
      </w:r>
      <w:proofErr w:type="spellStart"/>
      <w:r w:rsidRPr="00771E6E">
        <w:rPr>
          <w:i/>
          <w:iCs/>
        </w:rPr>
        <w:t>Iodoco</w:t>
      </w:r>
      <w:proofErr w:type="spellEnd"/>
      <w:r w:rsidRPr="00771E6E">
        <w:rPr>
          <w:i/>
          <w:iCs/>
        </w:rPr>
        <w:t xml:space="preserve"> Dal </w:t>
      </w:r>
      <w:proofErr w:type="spellStart"/>
      <w:r w:rsidRPr="00771E6E">
        <w:rPr>
          <w:i/>
          <w:iCs/>
        </w:rPr>
        <w:t>Badia</w:t>
      </w:r>
      <w:proofErr w:type="spellEnd"/>
      <w:r w:rsidRPr="00771E6E">
        <w:t xml:space="preserve">. Edited by </w:t>
      </w:r>
      <w:proofErr w:type="spellStart"/>
      <w:r w:rsidRPr="00771E6E">
        <w:t>Iodoco</w:t>
      </w:r>
      <w:proofErr w:type="spellEnd"/>
      <w:r w:rsidRPr="00771E6E">
        <w:t xml:space="preserve"> Del </w:t>
      </w:r>
      <w:proofErr w:type="spellStart"/>
      <w:r w:rsidRPr="00771E6E">
        <w:t>Badia</w:t>
      </w:r>
      <w:proofErr w:type="spellEnd"/>
      <w:r w:rsidRPr="00771E6E">
        <w:t>. Translated by Alice de Rosen Jervis. London; New York: Dent Dutton, 1927.</w:t>
      </w:r>
    </w:p>
    <w:p w14:paraId="24B03E93" w14:textId="77777777" w:rsidR="00F33779" w:rsidRPr="00771E6E" w:rsidRDefault="00F33779" w:rsidP="00F33779">
      <w:pPr>
        <w:pStyle w:val="Bibliography"/>
        <w:ind w:left="709" w:hanging="709"/>
      </w:pPr>
      <w:r w:rsidRPr="00771E6E">
        <w:t xml:space="preserve">———. </w:t>
      </w:r>
      <w:proofErr w:type="spellStart"/>
      <w:r w:rsidRPr="00771E6E">
        <w:rPr>
          <w:i/>
          <w:iCs/>
        </w:rPr>
        <w:t>Diario</w:t>
      </w:r>
      <w:proofErr w:type="spellEnd"/>
      <w:r w:rsidRPr="00771E6E">
        <w:rPr>
          <w:i/>
          <w:iCs/>
        </w:rPr>
        <w:t xml:space="preserve"> </w:t>
      </w:r>
      <w:proofErr w:type="spellStart"/>
      <w:r w:rsidRPr="00771E6E">
        <w:rPr>
          <w:i/>
          <w:iCs/>
        </w:rPr>
        <w:t>Fiorentino</w:t>
      </w:r>
      <w:proofErr w:type="spellEnd"/>
      <w:r w:rsidRPr="00771E6E">
        <w:rPr>
          <w:i/>
          <w:iCs/>
        </w:rPr>
        <w:t xml:space="preserve"> Dal 1450 Al 1516 Di Luca </w:t>
      </w:r>
      <w:proofErr w:type="spellStart"/>
      <w:r w:rsidRPr="00771E6E">
        <w:rPr>
          <w:i/>
          <w:iCs/>
        </w:rPr>
        <w:t>Landucci</w:t>
      </w:r>
      <w:proofErr w:type="spellEnd"/>
      <w:r w:rsidRPr="00771E6E">
        <w:rPr>
          <w:i/>
          <w:iCs/>
        </w:rPr>
        <w:t xml:space="preserve"> </w:t>
      </w:r>
      <w:proofErr w:type="spellStart"/>
      <w:r w:rsidRPr="00771E6E">
        <w:rPr>
          <w:i/>
          <w:iCs/>
        </w:rPr>
        <w:t>Continuato</w:t>
      </w:r>
      <w:proofErr w:type="spellEnd"/>
      <w:r w:rsidRPr="00771E6E">
        <w:rPr>
          <w:i/>
          <w:iCs/>
        </w:rPr>
        <w:t xml:space="preserve"> Da Un </w:t>
      </w:r>
      <w:proofErr w:type="spellStart"/>
      <w:r w:rsidRPr="00771E6E">
        <w:rPr>
          <w:i/>
          <w:iCs/>
        </w:rPr>
        <w:t>Anonimo</w:t>
      </w:r>
      <w:proofErr w:type="spellEnd"/>
      <w:r w:rsidRPr="00771E6E">
        <w:rPr>
          <w:i/>
          <w:iCs/>
        </w:rPr>
        <w:t xml:space="preserve"> </w:t>
      </w:r>
      <w:proofErr w:type="spellStart"/>
      <w:r w:rsidRPr="00771E6E">
        <w:rPr>
          <w:i/>
          <w:iCs/>
        </w:rPr>
        <w:t>Fino</w:t>
      </w:r>
      <w:proofErr w:type="spellEnd"/>
      <w:r w:rsidRPr="00771E6E">
        <w:rPr>
          <w:i/>
          <w:iCs/>
        </w:rPr>
        <w:t xml:space="preserve"> Al 1542</w:t>
      </w:r>
      <w:r w:rsidRPr="00771E6E">
        <w:t xml:space="preserve">. Edited by </w:t>
      </w:r>
      <w:proofErr w:type="spellStart"/>
      <w:r w:rsidRPr="00771E6E">
        <w:t>Iodoco</w:t>
      </w:r>
      <w:proofErr w:type="spellEnd"/>
      <w:r w:rsidRPr="00771E6E">
        <w:t xml:space="preserve"> del </w:t>
      </w:r>
      <w:proofErr w:type="spellStart"/>
      <w:r w:rsidRPr="00771E6E">
        <w:t>Badia</w:t>
      </w:r>
      <w:proofErr w:type="spellEnd"/>
      <w:r w:rsidRPr="00771E6E">
        <w:t xml:space="preserve">. Florence: </w:t>
      </w:r>
      <w:proofErr w:type="spellStart"/>
      <w:r w:rsidRPr="00771E6E">
        <w:t>Sansoni</w:t>
      </w:r>
      <w:proofErr w:type="spellEnd"/>
      <w:r w:rsidRPr="00771E6E">
        <w:t>, 1883.</w:t>
      </w:r>
    </w:p>
    <w:p w14:paraId="185D515D" w14:textId="77777777" w:rsidR="00F33779" w:rsidRPr="00771E6E" w:rsidRDefault="00F33779" w:rsidP="00F33779">
      <w:pPr>
        <w:pStyle w:val="Bibliography"/>
        <w:ind w:left="709" w:hanging="709"/>
      </w:pPr>
      <w:r w:rsidRPr="00771E6E">
        <w:t xml:space="preserve">Lorenzo de’ Medici. </w:t>
      </w:r>
      <w:r w:rsidRPr="00771E6E">
        <w:rPr>
          <w:i/>
          <w:iCs/>
        </w:rPr>
        <w:t>Laude</w:t>
      </w:r>
      <w:r w:rsidRPr="00771E6E">
        <w:t xml:space="preserve">. Edited by Bernard </w:t>
      </w:r>
      <w:proofErr w:type="spellStart"/>
      <w:r w:rsidRPr="00771E6E">
        <w:t>Toscani</w:t>
      </w:r>
      <w:proofErr w:type="spellEnd"/>
      <w:r w:rsidRPr="00771E6E">
        <w:t xml:space="preserve">. Florence: Leo S. </w:t>
      </w:r>
      <w:proofErr w:type="spellStart"/>
      <w:r w:rsidRPr="00771E6E">
        <w:t>Olschki</w:t>
      </w:r>
      <w:proofErr w:type="spellEnd"/>
      <w:r w:rsidRPr="00771E6E">
        <w:t>, 1990.</w:t>
      </w:r>
    </w:p>
    <w:p w14:paraId="4F072CF5" w14:textId="77777777" w:rsidR="00F33779" w:rsidRPr="00771E6E" w:rsidRDefault="00F33779" w:rsidP="00F33779">
      <w:pPr>
        <w:pStyle w:val="Bibliography"/>
        <w:ind w:left="709" w:hanging="709"/>
      </w:pPr>
      <w:proofErr w:type="spellStart"/>
      <w:r w:rsidRPr="00771E6E">
        <w:t>Macinghi</w:t>
      </w:r>
      <w:proofErr w:type="spellEnd"/>
      <w:r w:rsidRPr="00771E6E">
        <w:t xml:space="preserve"> </w:t>
      </w:r>
      <w:proofErr w:type="spellStart"/>
      <w:r w:rsidRPr="00771E6E">
        <w:t>negli</w:t>
      </w:r>
      <w:proofErr w:type="spellEnd"/>
      <w:r w:rsidRPr="00771E6E">
        <w:t xml:space="preserve"> </w:t>
      </w:r>
      <w:proofErr w:type="spellStart"/>
      <w:r w:rsidRPr="00771E6E">
        <w:t>Strozzi</w:t>
      </w:r>
      <w:proofErr w:type="spellEnd"/>
      <w:r w:rsidRPr="00771E6E">
        <w:t xml:space="preserve">, Alessandra. </w:t>
      </w:r>
      <w:proofErr w:type="spellStart"/>
      <w:r w:rsidRPr="00771E6E">
        <w:rPr>
          <w:i/>
          <w:iCs/>
        </w:rPr>
        <w:t>Lettere</w:t>
      </w:r>
      <w:proofErr w:type="spellEnd"/>
      <w:r w:rsidRPr="00771E6E">
        <w:rPr>
          <w:i/>
          <w:iCs/>
        </w:rPr>
        <w:t xml:space="preserve"> di una </w:t>
      </w:r>
      <w:proofErr w:type="spellStart"/>
      <w:r w:rsidRPr="00771E6E">
        <w:rPr>
          <w:i/>
          <w:iCs/>
        </w:rPr>
        <w:t>gentildonna</w:t>
      </w:r>
      <w:proofErr w:type="spellEnd"/>
      <w:r w:rsidRPr="00771E6E">
        <w:rPr>
          <w:i/>
          <w:iCs/>
        </w:rPr>
        <w:t xml:space="preserve"> </w:t>
      </w:r>
      <w:proofErr w:type="spellStart"/>
      <w:r w:rsidRPr="00771E6E">
        <w:rPr>
          <w:i/>
          <w:iCs/>
        </w:rPr>
        <w:t>fiorentina</w:t>
      </w:r>
      <w:proofErr w:type="spellEnd"/>
      <w:r w:rsidRPr="00771E6E">
        <w:rPr>
          <w:i/>
          <w:iCs/>
        </w:rPr>
        <w:t xml:space="preserve"> del </w:t>
      </w:r>
      <w:proofErr w:type="spellStart"/>
      <w:r w:rsidRPr="00771E6E">
        <w:rPr>
          <w:i/>
          <w:iCs/>
        </w:rPr>
        <w:t>secolo</w:t>
      </w:r>
      <w:proofErr w:type="spellEnd"/>
      <w:r w:rsidRPr="00771E6E">
        <w:rPr>
          <w:i/>
          <w:iCs/>
        </w:rPr>
        <w:t xml:space="preserve"> XV ai </w:t>
      </w:r>
      <w:proofErr w:type="spellStart"/>
      <w:r w:rsidRPr="00771E6E">
        <w:rPr>
          <w:i/>
          <w:iCs/>
        </w:rPr>
        <w:t>figliuoli</w:t>
      </w:r>
      <w:proofErr w:type="spellEnd"/>
      <w:r w:rsidRPr="00771E6E">
        <w:rPr>
          <w:i/>
          <w:iCs/>
        </w:rPr>
        <w:t xml:space="preserve"> </w:t>
      </w:r>
      <w:proofErr w:type="spellStart"/>
      <w:r w:rsidRPr="00771E6E">
        <w:rPr>
          <w:i/>
          <w:iCs/>
        </w:rPr>
        <w:t>esuli</w:t>
      </w:r>
      <w:proofErr w:type="spellEnd"/>
      <w:r w:rsidRPr="00771E6E">
        <w:rPr>
          <w:i/>
          <w:iCs/>
        </w:rPr>
        <w:t xml:space="preserve">: </w:t>
      </w:r>
      <w:proofErr w:type="spellStart"/>
      <w:r w:rsidRPr="00771E6E">
        <w:rPr>
          <w:i/>
          <w:iCs/>
        </w:rPr>
        <w:t>pubblicate</w:t>
      </w:r>
      <w:proofErr w:type="spellEnd"/>
      <w:r w:rsidRPr="00771E6E">
        <w:rPr>
          <w:i/>
          <w:iCs/>
        </w:rPr>
        <w:t xml:space="preserve"> da Cesare Guasti.</w:t>
      </w:r>
      <w:r w:rsidRPr="00771E6E">
        <w:t xml:space="preserve"> Edited by Cesare Guasti. Firenze: G.C. </w:t>
      </w:r>
      <w:proofErr w:type="spellStart"/>
      <w:r w:rsidRPr="00771E6E">
        <w:t>Sansoni</w:t>
      </w:r>
      <w:proofErr w:type="spellEnd"/>
      <w:r w:rsidRPr="00771E6E">
        <w:t>, 1972.</w:t>
      </w:r>
    </w:p>
    <w:p w14:paraId="61549A7A" w14:textId="77777777" w:rsidR="00F33779" w:rsidRPr="00771E6E" w:rsidRDefault="00F33779" w:rsidP="00F33779">
      <w:pPr>
        <w:pStyle w:val="Bibliography"/>
        <w:ind w:left="709" w:hanging="709"/>
      </w:pPr>
      <w:proofErr w:type="spellStart"/>
      <w:r w:rsidRPr="00771E6E">
        <w:t>Macinghi</w:t>
      </w:r>
      <w:proofErr w:type="spellEnd"/>
      <w:r w:rsidRPr="00771E6E">
        <w:t xml:space="preserve"> </w:t>
      </w:r>
      <w:proofErr w:type="spellStart"/>
      <w:r w:rsidRPr="00771E6E">
        <w:t>Strozzi</w:t>
      </w:r>
      <w:proofErr w:type="spellEnd"/>
      <w:r w:rsidRPr="00771E6E">
        <w:t xml:space="preserve">, Alessandra. </w:t>
      </w:r>
      <w:proofErr w:type="spellStart"/>
      <w:r w:rsidRPr="00771E6E">
        <w:rPr>
          <w:i/>
          <w:iCs/>
        </w:rPr>
        <w:t>Lettere</w:t>
      </w:r>
      <w:proofErr w:type="spellEnd"/>
      <w:r w:rsidRPr="00771E6E">
        <w:rPr>
          <w:i/>
          <w:iCs/>
        </w:rPr>
        <w:t xml:space="preserve"> di una </w:t>
      </w:r>
      <w:proofErr w:type="spellStart"/>
      <w:r w:rsidRPr="00771E6E">
        <w:rPr>
          <w:i/>
          <w:iCs/>
        </w:rPr>
        <w:t>gentildonna</w:t>
      </w:r>
      <w:proofErr w:type="spellEnd"/>
      <w:r w:rsidRPr="00771E6E">
        <w:rPr>
          <w:i/>
          <w:iCs/>
        </w:rPr>
        <w:t xml:space="preserve"> </w:t>
      </w:r>
      <w:proofErr w:type="spellStart"/>
      <w:r w:rsidRPr="00771E6E">
        <w:rPr>
          <w:i/>
          <w:iCs/>
        </w:rPr>
        <w:t>fiorentina</w:t>
      </w:r>
      <w:proofErr w:type="spellEnd"/>
      <w:r w:rsidRPr="00771E6E">
        <w:rPr>
          <w:i/>
          <w:iCs/>
        </w:rPr>
        <w:t xml:space="preserve"> del </w:t>
      </w:r>
      <w:proofErr w:type="spellStart"/>
      <w:r w:rsidRPr="00771E6E">
        <w:rPr>
          <w:i/>
          <w:iCs/>
        </w:rPr>
        <w:t>secolo</w:t>
      </w:r>
      <w:proofErr w:type="spellEnd"/>
      <w:r w:rsidRPr="00771E6E">
        <w:rPr>
          <w:i/>
          <w:iCs/>
        </w:rPr>
        <w:t xml:space="preserve"> XV ai </w:t>
      </w:r>
      <w:proofErr w:type="spellStart"/>
      <w:r w:rsidRPr="00771E6E">
        <w:rPr>
          <w:i/>
          <w:iCs/>
        </w:rPr>
        <w:t>figliuoli</w:t>
      </w:r>
      <w:proofErr w:type="spellEnd"/>
      <w:r w:rsidRPr="00771E6E">
        <w:rPr>
          <w:i/>
          <w:iCs/>
        </w:rPr>
        <w:t xml:space="preserve"> </w:t>
      </w:r>
      <w:proofErr w:type="spellStart"/>
      <w:r w:rsidRPr="00771E6E">
        <w:rPr>
          <w:i/>
          <w:iCs/>
        </w:rPr>
        <w:t>esuli</w:t>
      </w:r>
      <w:proofErr w:type="spellEnd"/>
      <w:r w:rsidRPr="00771E6E">
        <w:t xml:space="preserve">. Edited by Cesare Guasti. Florence: G.C. </w:t>
      </w:r>
      <w:proofErr w:type="spellStart"/>
      <w:r w:rsidRPr="00771E6E">
        <w:t>Sansoni</w:t>
      </w:r>
      <w:proofErr w:type="spellEnd"/>
      <w:r w:rsidRPr="00771E6E">
        <w:t>, 1877.</w:t>
      </w:r>
    </w:p>
    <w:p w14:paraId="05B7349B" w14:textId="77777777" w:rsidR="00F33779" w:rsidRPr="00771E6E" w:rsidRDefault="00F33779" w:rsidP="00F33779">
      <w:pPr>
        <w:pStyle w:val="Bibliography"/>
        <w:ind w:left="709" w:hanging="709"/>
      </w:pPr>
      <w:proofErr w:type="spellStart"/>
      <w:r w:rsidRPr="00771E6E">
        <w:t>Maffeo</w:t>
      </w:r>
      <w:proofErr w:type="spellEnd"/>
      <w:r w:rsidRPr="00771E6E">
        <w:t xml:space="preserve"> </w:t>
      </w:r>
      <w:proofErr w:type="spellStart"/>
      <w:r w:rsidRPr="00771E6E">
        <w:t>Vegio</w:t>
      </w:r>
      <w:proofErr w:type="spellEnd"/>
      <w:r w:rsidRPr="00771E6E">
        <w:t xml:space="preserve"> (</w:t>
      </w:r>
      <w:proofErr w:type="spellStart"/>
      <w:r w:rsidRPr="00771E6E">
        <w:t>Maphei</w:t>
      </w:r>
      <w:proofErr w:type="spellEnd"/>
      <w:r w:rsidRPr="00771E6E">
        <w:t xml:space="preserve"> </w:t>
      </w:r>
      <w:proofErr w:type="spellStart"/>
      <w:r w:rsidRPr="00771E6E">
        <w:t>Vegii</w:t>
      </w:r>
      <w:proofErr w:type="spellEnd"/>
      <w:r w:rsidRPr="00771E6E">
        <w:t xml:space="preserve"> </w:t>
      </w:r>
      <w:proofErr w:type="spellStart"/>
      <w:r w:rsidRPr="00771E6E">
        <w:t>Laudensis</w:t>
      </w:r>
      <w:proofErr w:type="spellEnd"/>
      <w:r w:rsidRPr="00771E6E">
        <w:t xml:space="preserve">). “De </w:t>
      </w:r>
      <w:proofErr w:type="spellStart"/>
      <w:r w:rsidRPr="00771E6E">
        <w:t>Educatione</w:t>
      </w:r>
      <w:proofErr w:type="spellEnd"/>
      <w:r w:rsidRPr="00771E6E">
        <w:t xml:space="preserve"> </w:t>
      </w:r>
      <w:proofErr w:type="spellStart"/>
      <w:r w:rsidRPr="00771E6E">
        <w:t>Liberorum</w:t>
      </w:r>
      <w:proofErr w:type="spellEnd"/>
      <w:r w:rsidRPr="00771E6E">
        <w:t xml:space="preserve"> et </w:t>
      </w:r>
      <w:proofErr w:type="spellStart"/>
      <w:r w:rsidRPr="00771E6E">
        <w:t>Eorum</w:t>
      </w:r>
      <w:proofErr w:type="spellEnd"/>
      <w:r w:rsidRPr="00771E6E">
        <w:t xml:space="preserve"> Claris </w:t>
      </w:r>
      <w:proofErr w:type="spellStart"/>
      <w:r w:rsidRPr="00771E6E">
        <w:t>Moribus</w:t>
      </w:r>
      <w:proofErr w:type="spellEnd"/>
      <w:r w:rsidRPr="00771E6E">
        <w:t xml:space="preserve">.” In Eugenio </w:t>
      </w:r>
      <w:proofErr w:type="spellStart"/>
      <w:r w:rsidRPr="00771E6E">
        <w:t>Garin</w:t>
      </w:r>
      <w:proofErr w:type="spellEnd"/>
      <w:r w:rsidRPr="00771E6E">
        <w:rPr>
          <w:i/>
          <w:iCs/>
        </w:rPr>
        <w:t xml:space="preserve"> Il </w:t>
      </w:r>
      <w:proofErr w:type="spellStart"/>
      <w:r w:rsidRPr="00771E6E">
        <w:rPr>
          <w:i/>
          <w:iCs/>
        </w:rPr>
        <w:t>Pensiero</w:t>
      </w:r>
      <w:proofErr w:type="spellEnd"/>
      <w:r w:rsidRPr="00771E6E">
        <w:rPr>
          <w:i/>
          <w:iCs/>
        </w:rPr>
        <w:t xml:space="preserve"> </w:t>
      </w:r>
      <w:proofErr w:type="spellStart"/>
      <w:r w:rsidRPr="00771E6E">
        <w:rPr>
          <w:i/>
          <w:iCs/>
        </w:rPr>
        <w:t>Pedagogico</w:t>
      </w:r>
      <w:proofErr w:type="spellEnd"/>
      <w:r w:rsidRPr="00771E6E">
        <w:rPr>
          <w:i/>
          <w:iCs/>
        </w:rPr>
        <w:t xml:space="preserve"> </w:t>
      </w:r>
      <w:proofErr w:type="spellStart"/>
      <w:r w:rsidRPr="00771E6E">
        <w:rPr>
          <w:i/>
          <w:iCs/>
        </w:rPr>
        <w:t>Dello</w:t>
      </w:r>
      <w:proofErr w:type="spellEnd"/>
      <w:r w:rsidRPr="00771E6E">
        <w:rPr>
          <w:i/>
          <w:iCs/>
        </w:rPr>
        <w:t xml:space="preserve"> </w:t>
      </w:r>
      <w:proofErr w:type="spellStart"/>
      <w:r w:rsidRPr="00771E6E">
        <w:rPr>
          <w:i/>
          <w:iCs/>
        </w:rPr>
        <w:t>Umanesimo</w:t>
      </w:r>
      <w:proofErr w:type="spellEnd"/>
      <w:r w:rsidRPr="00771E6E">
        <w:t xml:space="preserve">, 171–97. </w:t>
      </w:r>
      <w:proofErr w:type="spellStart"/>
      <w:r w:rsidRPr="00771E6E">
        <w:t>Coedizioni</w:t>
      </w:r>
      <w:proofErr w:type="spellEnd"/>
      <w:r w:rsidRPr="00771E6E">
        <w:t xml:space="preserve"> </w:t>
      </w:r>
      <w:proofErr w:type="spellStart"/>
      <w:r w:rsidRPr="00771E6E">
        <w:t>Giuntine</w:t>
      </w:r>
      <w:proofErr w:type="spellEnd"/>
      <w:r w:rsidRPr="00771E6E">
        <w:t xml:space="preserve"> and </w:t>
      </w:r>
      <w:proofErr w:type="spellStart"/>
      <w:r w:rsidRPr="00771E6E">
        <w:t>Sansoni</w:t>
      </w:r>
      <w:proofErr w:type="spellEnd"/>
      <w:r w:rsidRPr="00771E6E">
        <w:t>, 1958.</w:t>
      </w:r>
    </w:p>
    <w:p w14:paraId="6069E291" w14:textId="77777777" w:rsidR="00F33779" w:rsidRPr="00771E6E" w:rsidRDefault="00F33779" w:rsidP="00F33779">
      <w:pPr>
        <w:pStyle w:val="Bibliography"/>
        <w:ind w:left="709" w:hanging="709"/>
      </w:pPr>
      <w:r w:rsidRPr="00771E6E">
        <w:t xml:space="preserve">———. </w:t>
      </w:r>
      <w:r w:rsidRPr="00771E6E">
        <w:rPr>
          <w:i/>
          <w:iCs/>
        </w:rPr>
        <w:t xml:space="preserve">De </w:t>
      </w:r>
      <w:proofErr w:type="spellStart"/>
      <w:r w:rsidRPr="00771E6E">
        <w:rPr>
          <w:i/>
          <w:iCs/>
        </w:rPr>
        <w:t>Educatione</w:t>
      </w:r>
      <w:proofErr w:type="spellEnd"/>
      <w:r w:rsidRPr="00771E6E">
        <w:rPr>
          <w:i/>
          <w:iCs/>
        </w:rPr>
        <w:t xml:space="preserve"> </w:t>
      </w:r>
      <w:proofErr w:type="spellStart"/>
      <w:r w:rsidRPr="00771E6E">
        <w:rPr>
          <w:i/>
          <w:iCs/>
        </w:rPr>
        <w:t>Liberorum</w:t>
      </w:r>
      <w:proofErr w:type="spellEnd"/>
      <w:r w:rsidRPr="00771E6E">
        <w:rPr>
          <w:i/>
          <w:iCs/>
        </w:rPr>
        <w:t xml:space="preserve"> et </w:t>
      </w:r>
      <w:proofErr w:type="spellStart"/>
      <w:r w:rsidRPr="00771E6E">
        <w:rPr>
          <w:i/>
          <w:iCs/>
        </w:rPr>
        <w:t>Eorum</w:t>
      </w:r>
      <w:proofErr w:type="spellEnd"/>
      <w:r w:rsidRPr="00771E6E">
        <w:rPr>
          <w:i/>
          <w:iCs/>
        </w:rPr>
        <w:t xml:space="preserve"> Claris </w:t>
      </w:r>
      <w:proofErr w:type="spellStart"/>
      <w:r w:rsidRPr="00771E6E">
        <w:rPr>
          <w:i/>
          <w:iCs/>
        </w:rPr>
        <w:t>Moribus</w:t>
      </w:r>
      <w:proofErr w:type="spellEnd"/>
      <w:r w:rsidRPr="00771E6E">
        <w:rPr>
          <w:i/>
          <w:iCs/>
        </w:rPr>
        <w:t xml:space="preserve"> Libri Sex: A Critical Text of Books I-III</w:t>
      </w:r>
      <w:r w:rsidRPr="00771E6E">
        <w:t xml:space="preserve">. Edited by Sister Maria </w:t>
      </w:r>
      <w:proofErr w:type="spellStart"/>
      <w:r w:rsidRPr="00771E6E">
        <w:t>Walburg</w:t>
      </w:r>
      <w:proofErr w:type="spellEnd"/>
      <w:r w:rsidRPr="00771E6E">
        <w:t xml:space="preserve"> Fanning. Washington, DC: The Catholic University of America, 1933.</w:t>
      </w:r>
    </w:p>
    <w:p w14:paraId="5925C0B9" w14:textId="77777777" w:rsidR="00F33779" w:rsidRPr="00771E6E" w:rsidRDefault="00F33779" w:rsidP="00F33779">
      <w:pPr>
        <w:pStyle w:val="Bibliography"/>
        <w:ind w:left="709" w:hanging="709"/>
      </w:pPr>
      <w:r w:rsidRPr="00771E6E">
        <w:t xml:space="preserve">Ovid. </w:t>
      </w:r>
      <w:r w:rsidRPr="00771E6E">
        <w:rPr>
          <w:i/>
          <w:iCs/>
        </w:rPr>
        <w:t>Metamorphoses</w:t>
      </w:r>
      <w:r w:rsidRPr="00771E6E">
        <w:t>. Translated by A. D. Melville and E. J. Kenney. Oxford: Oxford University Press, 1998.</w:t>
      </w:r>
    </w:p>
    <w:p w14:paraId="185F5034" w14:textId="77777777" w:rsidR="00F33779" w:rsidRPr="00771E6E" w:rsidRDefault="00F33779" w:rsidP="00F33779">
      <w:pPr>
        <w:pStyle w:val="Bibliography"/>
        <w:ind w:left="709" w:hanging="709"/>
      </w:pPr>
      <w:r w:rsidRPr="00771E6E">
        <w:t xml:space="preserve">Palmieri, Matteo. </w:t>
      </w:r>
      <w:r w:rsidRPr="00771E6E">
        <w:rPr>
          <w:i/>
          <w:iCs/>
        </w:rPr>
        <w:t xml:space="preserve">Vita </w:t>
      </w:r>
      <w:proofErr w:type="spellStart"/>
      <w:r w:rsidRPr="00771E6E">
        <w:rPr>
          <w:i/>
          <w:iCs/>
        </w:rPr>
        <w:t>Civile</w:t>
      </w:r>
      <w:proofErr w:type="spellEnd"/>
      <w:r w:rsidRPr="00771E6E">
        <w:t xml:space="preserve">. Edited by Gino </w:t>
      </w:r>
      <w:proofErr w:type="spellStart"/>
      <w:r w:rsidRPr="00771E6E">
        <w:t>Belloni</w:t>
      </w:r>
      <w:proofErr w:type="spellEnd"/>
      <w:r w:rsidRPr="00771E6E">
        <w:t xml:space="preserve">. Florence: </w:t>
      </w:r>
      <w:proofErr w:type="spellStart"/>
      <w:r w:rsidRPr="00771E6E">
        <w:t>Sansoni</w:t>
      </w:r>
      <w:proofErr w:type="spellEnd"/>
      <w:r w:rsidRPr="00771E6E">
        <w:t>, 1982.</w:t>
      </w:r>
    </w:p>
    <w:p w14:paraId="1B9489F3" w14:textId="77777777" w:rsidR="00F33779" w:rsidRPr="00771E6E" w:rsidRDefault="00F33779" w:rsidP="00F33779">
      <w:pPr>
        <w:pStyle w:val="Bibliography"/>
        <w:ind w:left="709" w:hanging="709"/>
      </w:pPr>
      <w:r w:rsidRPr="00771E6E">
        <w:t xml:space="preserve">Patrizi da Siena, Francesco. “De regno et </w:t>
      </w:r>
      <w:proofErr w:type="spellStart"/>
      <w:r w:rsidRPr="00771E6E">
        <w:t>regis</w:t>
      </w:r>
      <w:proofErr w:type="spellEnd"/>
      <w:r w:rsidRPr="00771E6E">
        <w:t xml:space="preserve"> </w:t>
      </w:r>
      <w:proofErr w:type="spellStart"/>
      <w:r w:rsidRPr="00771E6E">
        <w:t>institutionis</w:t>
      </w:r>
      <w:proofErr w:type="spellEnd"/>
      <w:r w:rsidRPr="00771E6E">
        <w:t xml:space="preserve">.” In </w:t>
      </w:r>
      <w:r w:rsidRPr="00771E6E">
        <w:rPr>
          <w:i/>
          <w:iCs/>
        </w:rPr>
        <w:t xml:space="preserve">Il </w:t>
      </w:r>
      <w:proofErr w:type="spellStart"/>
      <w:r w:rsidRPr="00771E6E">
        <w:rPr>
          <w:i/>
          <w:iCs/>
        </w:rPr>
        <w:t>pensiero</w:t>
      </w:r>
      <w:proofErr w:type="spellEnd"/>
      <w:r w:rsidRPr="00771E6E">
        <w:rPr>
          <w:i/>
          <w:iCs/>
        </w:rPr>
        <w:t xml:space="preserve"> </w:t>
      </w:r>
      <w:proofErr w:type="spellStart"/>
      <w:r w:rsidRPr="00771E6E">
        <w:rPr>
          <w:i/>
          <w:iCs/>
        </w:rPr>
        <w:t>pedagogico</w:t>
      </w:r>
      <w:proofErr w:type="spellEnd"/>
      <w:r w:rsidRPr="00771E6E">
        <w:rPr>
          <w:i/>
          <w:iCs/>
        </w:rPr>
        <w:t xml:space="preserve"> del </w:t>
      </w:r>
      <w:proofErr w:type="spellStart"/>
      <w:r w:rsidRPr="00771E6E">
        <w:rPr>
          <w:i/>
          <w:iCs/>
        </w:rPr>
        <w:t>rinascimento</w:t>
      </w:r>
      <w:proofErr w:type="spellEnd"/>
      <w:r w:rsidRPr="00771E6E">
        <w:t xml:space="preserve">, edited by Felice Battaglia. Firenze: </w:t>
      </w:r>
      <w:proofErr w:type="spellStart"/>
      <w:proofErr w:type="gramStart"/>
      <w:r w:rsidRPr="00771E6E">
        <w:t>Giuntine</w:t>
      </w:r>
      <w:proofErr w:type="spellEnd"/>
      <w:r w:rsidRPr="00771E6E">
        <w:t> :</w:t>
      </w:r>
      <w:proofErr w:type="gramEnd"/>
      <w:r w:rsidRPr="00771E6E">
        <w:t xml:space="preserve"> </w:t>
      </w:r>
      <w:proofErr w:type="spellStart"/>
      <w:r w:rsidRPr="00771E6E">
        <w:t>Sansoni</w:t>
      </w:r>
      <w:proofErr w:type="spellEnd"/>
      <w:r w:rsidRPr="00771E6E">
        <w:t>, 1960.</w:t>
      </w:r>
    </w:p>
    <w:p w14:paraId="2C7CE574" w14:textId="77777777" w:rsidR="00F33779" w:rsidRPr="00771E6E" w:rsidRDefault="00F33779" w:rsidP="00F33779">
      <w:pPr>
        <w:pStyle w:val="Bibliography"/>
        <w:ind w:left="709" w:hanging="709"/>
      </w:pPr>
      <w:proofErr w:type="spellStart"/>
      <w:r w:rsidRPr="00771E6E">
        <w:t>Piccolomini</w:t>
      </w:r>
      <w:proofErr w:type="spellEnd"/>
      <w:r w:rsidRPr="00771E6E">
        <w:t xml:space="preserve">, Aeneas Silvius. “De </w:t>
      </w:r>
      <w:proofErr w:type="spellStart"/>
      <w:r w:rsidRPr="00771E6E">
        <w:t>Liberorum</w:t>
      </w:r>
      <w:proofErr w:type="spellEnd"/>
      <w:r w:rsidRPr="00771E6E">
        <w:t xml:space="preserve"> </w:t>
      </w:r>
      <w:proofErr w:type="spellStart"/>
      <w:r w:rsidRPr="00771E6E">
        <w:t>Educatione</w:t>
      </w:r>
      <w:proofErr w:type="spellEnd"/>
      <w:r w:rsidRPr="00771E6E">
        <w:t xml:space="preserve">.” In </w:t>
      </w:r>
      <w:r w:rsidRPr="00771E6E">
        <w:rPr>
          <w:i/>
          <w:iCs/>
        </w:rPr>
        <w:t>Humanist Educational Treatises</w:t>
      </w:r>
      <w:r w:rsidRPr="00771E6E">
        <w:t xml:space="preserve">, edited and translated by Craig W. </w:t>
      </w:r>
      <w:proofErr w:type="spellStart"/>
      <w:r w:rsidRPr="00771E6E">
        <w:t>Kallendorf</w:t>
      </w:r>
      <w:proofErr w:type="spellEnd"/>
      <w:r w:rsidRPr="00771E6E">
        <w:t>, 126–261. Cambridge, MA, and London: Harvard University Press, 2002.</w:t>
      </w:r>
    </w:p>
    <w:p w14:paraId="4E7B5321" w14:textId="77777777" w:rsidR="00F33779" w:rsidRPr="00771E6E" w:rsidRDefault="00F33779" w:rsidP="00F33779">
      <w:pPr>
        <w:pStyle w:val="Bibliography"/>
        <w:ind w:left="709" w:hanging="709"/>
      </w:pPr>
      <w:r w:rsidRPr="00771E6E">
        <w:t xml:space="preserve">Pico </w:t>
      </w:r>
      <w:proofErr w:type="spellStart"/>
      <w:r w:rsidRPr="00771E6E">
        <w:t>della</w:t>
      </w:r>
      <w:proofErr w:type="spellEnd"/>
      <w:r w:rsidRPr="00771E6E">
        <w:t xml:space="preserve"> </w:t>
      </w:r>
      <w:proofErr w:type="spellStart"/>
      <w:r w:rsidRPr="00771E6E">
        <w:t>Mirandola</w:t>
      </w:r>
      <w:proofErr w:type="spellEnd"/>
      <w:r w:rsidRPr="00771E6E">
        <w:t xml:space="preserve">, Giovanni. </w:t>
      </w:r>
      <w:r w:rsidRPr="00771E6E">
        <w:rPr>
          <w:i/>
          <w:iCs/>
        </w:rPr>
        <w:t>On the Dignity of Man</w:t>
      </w:r>
      <w:r w:rsidRPr="00771E6E">
        <w:t>. Translated by Glenn Charles Wallis. reprinted Indianapolis and Cambridge: Hackett Publishing Company, 1998.</w:t>
      </w:r>
    </w:p>
    <w:p w14:paraId="6C30F778" w14:textId="77777777" w:rsidR="00F33779" w:rsidRPr="00771E6E" w:rsidRDefault="00F33779" w:rsidP="00F33779">
      <w:pPr>
        <w:pStyle w:val="Bibliography"/>
        <w:ind w:left="709" w:hanging="709"/>
      </w:pPr>
      <w:r w:rsidRPr="00771E6E">
        <w:t xml:space="preserve">———. </w:t>
      </w:r>
      <w:r w:rsidRPr="00771E6E">
        <w:rPr>
          <w:i/>
          <w:iCs/>
        </w:rPr>
        <w:t xml:space="preserve">De hominis dignitate, in De hominis dignitate. </w:t>
      </w:r>
      <w:proofErr w:type="spellStart"/>
      <w:r w:rsidRPr="00771E6E">
        <w:rPr>
          <w:i/>
          <w:iCs/>
        </w:rPr>
        <w:t>Heptaplus</w:t>
      </w:r>
      <w:proofErr w:type="spellEnd"/>
      <w:r w:rsidRPr="00771E6E">
        <w:rPr>
          <w:i/>
          <w:iCs/>
        </w:rPr>
        <w:t xml:space="preserve">. De </w:t>
      </w:r>
      <w:proofErr w:type="spellStart"/>
      <w:r w:rsidRPr="00771E6E">
        <w:rPr>
          <w:i/>
          <w:iCs/>
        </w:rPr>
        <w:t>ente</w:t>
      </w:r>
      <w:proofErr w:type="spellEnd"/>
      <w:r w:rsidRPr="00771E6E">
        <w:rPr>
          <w:i/>
          <w:iCs/>
        </w:rPr>
        <w:t xml:space="preserve"> et </w:t>
      </w:r>
      <w:proofErr w:type="spellStart"/>
      <w:r w:rsidRPr="00771E6E">
        <w:rPr>
          <w:i/>
          <w:iCs/>
        </w:rPr>
        <w:t>uno</w:t>
      </w:r>
      <w:proofErr w:type="spellEnd"/>
      <w:r w:rsidRPr="00771E6E">
        <w:t xml:space="preserve">. Edited by Eugenio </w:t>
      </w:r>
      <w:proofErr w:type="spellStart"/>
      <w:r w:rsidRPr="00771E6E">
        <w:t>Garin</w:t>
      </w:r>
      <w:proofErr w:type="spellEnd"/>
      <w:r w:rsidRPr="00771E6E">
        <w:t xml:space="preserve">. Florence: </w:t>
      </w:r>
      <w:proofErr w:type="spellStart"/>
      <w:r w:rsidRPr="00771E6E">
        <w:t>Vallecchi</w:t>
      </w:r>
      <w:proofErr w:type="spellEnd"/>
      <w:r w:rsidRPr="00771E6E">
        <w:t xml:space="preserve"> </w:t>
      </w:r>
      <w:proofErr w:type="spellStart"/>
      <w:r w:rsidRPr="00771E6E">
        <w:t>editore</w:t>
      </w:r>
      <w:proofErr w:type="spellEnd"/>
      <w:r w:rsidRPr="00771E6E">
        <w:t>, 1942.</w:t>
      </w:r>
    </w:p>
    <w:p w14:paraId="2D92B8AC" w14:textId="77777777" w:rsidR="00F33779" w:rsidRPr="00771E6E" w:rsidRDefault="00F33779" w:rsidP="00F33779">
      <w:pPr>
        <w:pStyle w:val="Bibliography"/>
        <w:ind w:left="709" w:hanging="709"/>
      </w:pPr>
      <w:r w:rsidRPr="00771E6E">
        <w:t xml:space="preserve">Plato. </w:t>
      </w:r>
      <w:r w:rsidRPr="00771E6E">
        <w:rPr>
          <w:i/>
          <w:iCs/>
        </w:rPr>
        <w:t>The Laws</w:t>
      </w:r>
      <w:r w:rsidRPr="00771E6E">
        <w:t xml:space="preserve">. Translated by Thomas L </w:t>
      </w:r>
      <w:proofErr w:type="spellStart"/>
      <w:r w:rsidRPr="00771E6E">
        <w:t>Pangle</w:t>
      </w:r>
      <w:proofErr w:type="spellEnd"/>
      <w:r w:rsidRPr="00771E6E">
        <w:t>. Chicago: University of Chicago Press, 1988.</w:t>
      </w:r>
    </w:p>
    <w:p w14:paraId="70C35E8C" w14:textId="77777777" w:rsidR="00F33779" w:rsidRPr="00771E6E" w:rsidRDefault="00F33779" w:rsidP="00F33779">
      <w:pPr>
        <w:pStyle w:val="Bibliography"/>
        <w:ind w:left="709" w:hanging="709"/>
      </w:pPr>
      <w:r w:rsidRPr="00771E6E">
        <w:t xml:space="preserve">———. </w:t>
      </w:r>
      <w:r w:rsidRPr="00771E6E">
        <w:rPr>
          <w:i/>
          <w:iCs/>
        </w:rPr>
        <w:t>The Republic</w:t>
      </w:r>
      <w:r w:rsidRPr="00771E6E">
        <w:t>. Edited and translated by Allan Bloom. New York: Basic Books, 1968.</w:t>
      </w:r>
    </w:p>
    <w:p w14:paraId="120F0651" w14:textId="77777777" w:rsidR="00F33779" w:rsidRPr="00771E6E" w:rsidRDefault="00F33779" w:rsidP="00F33779">
      <w:pPr>
        <w:pStyle w:val="Bibliography"/>
        <w:ind w:left="709" w:hanging="709"/>
      </w:pPr>
      <w:r w:rsidRPr="00771E6E">
        <w:t xml:space="preserve">Plutarch. “The Education of Children. De </w:t>
      </w:r>
      <w:proofErr w:type="spellStart"/>
      <w:r w:rsidRPr="00771E6E">
        <w:t>Liberis</w:t>
      </w:r>
      <w:proofErr w:type="spellEnd"/>
      <w:r w:rsidRPr="00771E6E">
        <w:t xml:space="preserve"> </w:t>
      </w:r>
      <w:proofErr w:type="spellStart"/>
      <w:r w:rsidRPr="00771E6E">
        <w:t>Educandis</w:t>
      </w:r>
      <w:proofErr w:type="spellEnd"/>
      <w:r w:rsidRPr="00771E6E">
        <w:t xml:space="preserve">.” In </w:t>
      </w:r>
      <w:r w:rsidRPr="00771E6E">
        <w:rPr>
          <w:i/>
          <w:iCs/>
        </w:rPr>
        <w:t xml:space="preserve">Plutarch’s </w:t>
      </w:r>
      <w:proofErr w:type="spellStart"/>
      <w:r w:rsidRPr="00771E6E">
        <w:rPr>
          <w:i/>
          <w:iCs/>
        </w:rPr>
        <w:t>Moralia</w:t>
      </w:r>
      <w:proofErr w:type="spellEnd"/>
      <w:r w:rsidRPr="00771E6E">
        <w:t>, translated by Frank Cole Babbitt, 1:3–69. London: William Heinemann Ltd, 1927.</w:t>
      </w:r>
    </w:p>
    <w:p w14:paraId="657202CD" w14:textId="77777777" w:rsidR="00F33779" w:rsidRPr="00771E6E" w:rsidRDefault="00F33779" w:rsidP="00F33779">
      <w:pPr>
        <w:pStyle w:val="Bibliography"/>
        <w:ind w:left="709" w:hanging="709"/>
      </w:pPr>
      <w:r w:rsidRPr="00771E6E">
        <w:lastRenderedPageBreak/>
        <w:t xml:space="preserve">Pseudo-Dionysius the Areopagite. “Opera Omnia.” In </w:t>
      </w:r>
      <w:proofErr w:type="spellStart"/>
      <w:r w:rsidRPr="00771E6E">
        <w:rPr>
          <w:i/>
          <w:iCs/>
        </w:rPr>
        <w:t>Patrologia</w:t>
      </w:r>
      <w:proofErr w:type="spellEnd"/>
      <w:r w:rsidRPr="00771E6E">
        <w:rPr>
          <w:i/>
          <w:iCs/>
        </w:rPr>
        <w:t xml:space="preserve"> </w:t>
      </w:r>
      <w:proofErr w:type="spellStart"/>
      <w:r w:rsidRPr="00771E6E">
        <w:rPr>
          <w:i/>
          <w:iCs/>
        </w:rPr>
        <w:t>Graeca</w:t>
      </w:r>
      <w:proofErr w:type="spellEnd"/>
      <w:r w:rsidRPr="00771E6E">
        <w:t xml:space="preserve">, edited by J. P. </w:t>
      </w:r>
      <w:proofErr w:type="spellStart"/>
      <w:r w:rsidRPr="00771E6E">
        <w:t>Migne</w:t>
      </w:r>
      <w:proofErr w:type="spellEnd"/>
      <w:r w:rsidRPr="00771E6E">
        <w:t xml:space="preserve">, Vol. 3. Paris: </w:t>
      </w:r>
      <w:proofErr w:type="spellStart"/>
      <w:r w:rsidRPr="00771E6E">
        <w:t>Migne</w:t>
      </w:r>
      <w:proofErr w:type="spellEnd"/>
      <w:r w:rsidRPr="00771E6E">
        <w:t>, 1857.</w:t>
      </w:r>
    </w:p>
    <w:p w14:paraId="61E26736" w14:textId="77777777" w:rsidR="00F33779" w:rsidRPr="00771E6E" w:rsidRDefault="00F33779" w:rsidP="00F33779">
      <w:pPr>
        <w:pStyle w:val="Bibliography"/>
        <w:ind w:left="709" w:hanging="709"/>
      </w:pPr>
      <w:r w:rsidRPr="00771E6E">
        <w:t xml:space="preserve">———. </w:t>
      </w:r>
      <w:r w:rsidRPr="00771E6E">
        <w:rPr>
          <w:i/>
          <w:iCs/>
        </w:rPr>
        <w:t>The Complete Works</w:t>
      </w:r>
      <w:r w:rsidRPr="00771E6E">
        <w:t xml:space="preserve">. Translated by Colm </w:t>
      </w:r>
      <w:proofErr w:type="spellStart"/>
      <w:r w:rsidRPr="00771E6E">
        <w:t>Luibhéid</w:t>
      </w:r>
      <w:proofErr w:type="spellEnd"/>
      <w:r w:rsidRPr="00771E6E">
        <w:t>. Mahwah: Paulist Press, 1987.</w:t>
      </w:r>
    </w:p>
    <w:p w14:paraId="459E5C4E" w14:textId="77777777" w:rsidR="00F33779" w:rsidRPr="00771E6E" w:rsidRDefault="00F33779" w:rsidP="00F33779">
      <w:pPr>
        <w:pStyle w:val="Bibliography"/>
        <w:ind w:left="709" w:hanging="709"/>
      </w:pPr>
      <w:r w:rsidRPr="00771E6E">
        <w:t xml:space="preserve">Quintilian. </w:t>
      </w:r>
      <w:proofErr w:type="spellStart"/>
      <w:r w:rsidRPr="00771E6E">
        <w:rPr>
          <w:i/>
          <w:iCs/>
        </w:rPr>
        <w:t>Institutio</w:t>
      </w:r>
      <w:proofErr w:type="spellEnd"/>
      <w:r w:rsidRPr="00771E6E">
        <w:rPr>
          <w:i/>
          <w:iCs/>
        </w:rPr>
        <w:t xml:space="preserve"> </w:t>
      </w:r>
      <w:proofErr w:type="spellStart"/>
      <w:r w:rsidRPr="00771E6E">
        <w:rPr>
          <w:i/>
          <w:iCs/>
        </w:rPr>
        <w:t>Oratoria</w:t>
      </w:r>
      <w:proofErr w:type="spellEnd"/>
      <w:r w:rsidRPr="00771E6E">
        <w:t>. Translated by H. E. Butler. London: William Heinemann, 1920.</w:t>
      </w:r>
    </w:p>
    <w:p w14:paraId="6748066F" w14:textId="77777777" w:rsidR="00F33779" w:rsidRPr="00771E6E" w:rsidRDefault="00F33779" w:rsidP="00F33779">
      <w:pPr>
        <w:pStyle w:val="Bibliography"/>
        <w:ind w:left="709" w:hanging="709"/>
      </w:pPr>
      <w:proofErr w:type="spellStart"/>
      <w:r w:rsidRPr="00771E6E">
        <w:t>Rucellai</w:t>
      </w:r>
      <w:proofErr w:type="spellEnd"/>
      <w:r w:rsidRPr="00771E6E">
        <w:t xml:space="preserve">, Giovanni. “Il </w:t>
      </w:r>
      <w:proofErr w:type="spellStart"/>
      <w:r w:rsidRPr="00771E6E">
        <w:t>Zibaldone</w:t>
      </w:r>
      <w:proofErr w:type="spellEnd"/>
      <w:r w:rsidRPr="00771E6E">
        <w:t xml:space="preserve"> </w:t>
      </w:r>
      <w:proofErr w:type="spellStart"/>
      <w:r w:rsidRPr="00771E6E">
        <w:t>Quaresimale</w:t>
      </w:r>
      <w:proofErr w:type="spellEnd"/>
      <w:r w:rsidRPr="00771E6E">
        <w:t xml:space="preserve">.” In </w:t>
      </w:r>
      <w:r w:rsidRPr="00771E6E">
        <w:rPr>
          <w:i/>
          <w:iCs/>
        </w:rPr>
        <w:t xml:space="preserve">Giovanni </w:t>
      </w:r>
      <w:proofErr w:type="spellStart"/>
      <w:r w:rsidRPr="00771E6E">
        <w:rPr>
          <w:i/>
          <w:iCs/>
        </w:rPr>
        <w:t>Rucellai</w:t>
      </w:r>
      <w:proofErr w:type="spellEnd"/>
      <w:r w:rsidRPr="00771E6E">
        <w:rPr>
          <w:i/>
          <w:iCs/>
        </w:rPr>
        <w:t xml:space="preserve"> Ed Il Suo </w:t>
      </w:r>
      <w:proofErr w:type="spellStart"/>
      <w:r w:rsidRPr="00771E6E">
        <w:rPr>
          <w:i/>
          <w:iCs/>
        </w:rPr>
        <w:t>Zibaldone</w:t>
      </w:r>
      <w:proofErr w:type="spellEnd"/>
      <w:r w:rsidRPr="00771E6E">
        <w:t xml:space="preserve">, edited by Alessandro </w:t>
      </w:r>
      <w:proofErr w:type="spellStart"/>
      <w:r w:rsidRPr="00771E6E">
        <w:t>Perosa</w:t>
      </w:r>
      <w:proofErr w:type="spellEnd"/>
      <w:r w:rsidRPr="00771E6E">
        <w:t>, Vol. 1. London: The Warburg Institute, 1960.</w:t>
      </w:r>
    </w:p>
    <w:p w14:paraId="512BB1F4" w14:textId="77777777" w:rsidR="00F33779" w:rsidRPr="00771E6E" w:rsidRDefault="00F33779" w:rsidP="00F33779">
      <w:pPr>
        <w:pStyle w:val="Bibliography"/>
        <w:ind w:left="709" w:hanging="709"/>
      </w:pPr>
      <w:r w:rsidRPr="00771E6E">
        <w:t xml:space="preserve">Sancti </w:t>
      </w:r>
      <w:proofErr w:type="spellStart"/>
      <w:r w:rsidRPr="00771E6E">
        <w:t>Antonini</w:t>
      </w:r>
      <w:proofErr w:type="spellEnd"/>
      <w:r w:rsidRPr="00771E6E">
        <w:t xml:space="preserve"> </w:t>
      </w:r>
      <w:proofErr w:type="spellStart"/>
      <w:r w:rsidRPr="00771E6E">
        <w:t>archiepiscopi</w:t>
      </w:r>
      <w:proofErr w:type="spellEnd"/>
      <w:r w:rsidRPr="00771E6E">
        <w:t xml:space="preserve"> </w:t>
      </w:r>
      <w:proofErr w:type="spellStart"/>
      <w:r w:rsidRPr="00771E6E">
        <w:t>Florentini</w:t>
      </w:r>
      <w:proofErr w:type="spellEnd"/>
      <w:r w:rsidRPr="00771E6E">
        <w:t xml:space="preserve">. </w:t>
      </w:r>
      <w:r w:rsidRPr="00771E6E">
        <w:rPr>
          <w:i/>
          <w:iCs/>
        </w:rPr>
        <w:t xml:space="preserve">Summa Theologica in </w:t>
      </w:r>
      <w:proofErr w:type="spellStart"/>
      <w:r w:rsidRPr="00771E6E">
        <w:rPr>
          <w:i/>
          <w:iCs/>
        </w:rPr>
        <w:t>Quattuor</w:t>
      </w:r>
      <w:proofErr w:type="spellEnd"/>
      <w:r w:rsidRPr="00771E6E">
        <w:rPr>
          <w:i/>
          <w:iCs/>
        </w:rPr>
        <w:t xml:space="preserve"> </w:t>
      </w:r>
      <w:proofErr w:type="spellStart"/>
      <w:r w:rsidRPr="00771E6E">
        <w:rPr>
          <w:i/>
          <w:iCs/>
        </w:rPr>
        <w:t>Partes</w:t>
      </w:r>
      <w:proofErr w:type="spellEnd"/>
      <w:r w:rsidRPr="00771E6E">
        <w:rPr>
          <w:i/>
          <w:iCs/>
        </w:rPr>
        <w:t xml:space="preserve"> Distribute</w:t>
      </w:r>
      <w:r w:rsidRPr="00771E6E">
        <w:t xml:space="preserve">. </w:t>
      </w:r>
      <w:proofErr w:type="spellStart"/>
      <w:r w:rsidRPr="00771E6E">
        <w:t>Veronae</w:t>
      </w:r>
      <w:proofErr w:type="spellEnd"/>
      <w:r w:rsidRPr="00771E6E">
        <w:t xml:space="preserve">: Ex </w:t>
      </w:r>
      <w:proofErr w:type="spellStart"/>
      <w:r w:rsidRPr="00771E6E">
        <w:t>typographia</w:t>
      </w:r>
      <w:proofErr w:type="spellEnd"/>
      <w:r w:rsidRPr="00771E6E">
        <w:t xml:space="preserve"> </w:t>
      </w:r>
      <w:proofErr w:type="spellStart"/>
      <w:r w:rsidRPr="00771E6E">
        <w:t>seminarii</w:t>
      </w:r>
      <w:proofErr w:type="spellEnd"/>
      <w:r w:rsidRPr="00771E6E">
        <w:t xml:space="preserve">, apud </w:t>
      </w:r>
      <w:proofErr w:type="spellStart"/>
      <w:r w:rsidRPr="00771E6E">
        <w:t>Augustinum</w:t>
      </w:r>
      <w:proofErr w:type="spellEnd"/>
      <w:r w:rsidRPr="00771E6E">
        <w:t xml:space="preserve"> </w:t>
      </w:r>
      <w:proofErr w:type="spellStart"/>
      <w:r w:rsidRPr="00771E6E">
        <w:t>Carattonium</w:t>
      </w:r>
      <w:proofErr w:type="spellEnd"/>
      <w:r w:rsidRPr="00771E6E">
        <w:t>, 1740.</w:t>
      </w:r>
    </w:p>
    <w:p w14:paraId="1456D17C" w14:textId="77777777" w:rsidR="00F33779" w:rsidRPr="00771E6E" w:rsidRDefault="00F33779" w:rsidP="00F33779">
      <w:pPr>
        <w:pStyle w:val="Bibliography"/>
        <w:ind w:left="709" w:hanging="709"/>
      </w:pPr>
      <w:r w:rsidRPr="00771E6E">
        <w:t xml:space="preserve">Sancti </w:t>
      </w:r>
      <w:proofErr w:type="spellStart"/>
      <w:r w:rsidRPr="00771E6E">
        <w:t>Gregorii</w:t>
      </w:r>
      <w:proofErr w:type="spellEnd"/>
      <w:r w:rsidRPr="00771E6E">
        <w:t xml:space="preserve"> </w:t>
      </w:r>
      <w:proofErr w:type="spellStart"/>
      <w:r w:rsidRPr="00771E6E">
        <w:t>Magni</w:t>
      </w:r>
      <w:proofErr w:type="spellEnd"/>
      <w:r w:rsidRPr="00771E6E">
        <w:t xml:space="preserve">, and Romani </w:t>
      </w:r>
      <w:proofErr w:type="spellStart"/>
      <w:r w:rsidRPr="00771E6E">
        <w:t>Pontificis</w:t>
      </w:r>
      <w:proofErr w:type="spellEnd"/>
      <w:r w:rsidRPr="00771E6E">
        <w:t xml:space="preserve">. </w:t>
      </w:r>
      <w:r w:rsidRPr="00771E6E">
        <w:rPr>
          <w:i/>
          <w:iCs/>
        </w:rPr>
        <w:t xml:space="preserve">XL </w:t>
      </w:r>
      <w:proofErr w:type="spellStart"/>
      <w:r w:rsidRPr="00771E6E">
        <w:rPr>
          <w:i/>
          <w:iCs/>
        </w:rPr>
        <w:t>Homiliarum</w:t>
      </w:r>
      <w:proofErr w:type="spellEnd"/>
      <w:r w:rsidRPr="00771E6E">
        <w:rPr>
          <w:i/>
          <w:iCs/>
        </w:rPr>
        <w:t xml:space="preserve"> in </w:t>
      </w:r>
      <w:proofErr w:type="spellStart"/>
      <w:r w:rsidRPr="00771E6E">
        <w:rPr>
          <w:i/>
          <w:iCs/>
        </w:rPr>
        <w:t>Evangelia</w:t>
      </w:r>
      <w:proofErr w:type="spellEnd"/>
      <w:r w:rsidRPr="00771E6E">
        <w:rPr>
          <w:i/>
          <w:iCs/>
        </w:rPr>
        <w:t xml:space="preserve"> Libri Duo</w:t>
      </w:r>
      <w:r w:rsidRPr="00771E6E">
        <w:t xml:space="preserve">. </w:t>
      </w:r>
      <w:proofErr w:type="spellStart"/>
      <w:r w:rsidRPr="00771E6E">
        <w:t>Oeniponte</w:t>
      </w:r>
      <w:proofErr w:type="spellEnd"/>
      <w:r w:rsidRPr="00771E6E">
        <w:t xml:space="preserve"> </w:t>
      </w:r>
      <w:proofErr w:type="spellStart"/>
      <w:r w:rsidRPr="00771E6E">
        <w:t>Libraria</w:t>
      </w:r>
      <w:proofErr w:type="spellEnd"/>
      <w:r w:rsidRPr="00771E6E">
        <w:t xml:space="preserve"> </w:t>
      </w:r>
      <w:proofErr w:type="spellStart"/>
      <w:r w:rsidRPr="00771E6E">
        <w:t>Academica</w:t>
      </w:r>
      <w:proofErr w:type="spellEnd"/>
      <w:r w:rsidRPr="00771E6E">
        <w:t xml:space="preserve"> </w:t>
      </w:r>
      <w:proofErr w:type="spellStart"/>
      <w:r w:rsidRPr="00771E6E">
        <w:t>Wagneriana</w:t>
      </w:r>
      <w:proofErr w:type="spellEnd"/>
      <w:r w:rsidRPr="00771E6E">
        <w:t>, 1892.</w:t>
      </w:r>
    </w:p>
    <w:p w14:paraId="61AF2E7A" w14:textId="77777777" w:rsidR="00F33779" w:rsidRPr="00771E6E" w:rsidRDefault="00F33779" w:rsidP="00F33779">
      <w:pPr>
        <w:pStyle w:val="Bibliography"/>
        <w:ind w:left="709" w:hanging="709"/>
      </w:pPr>
      <w:r w:rsidRPr="00771E6E">
        <w:t>Savonarola, Girolamo. “</w:t>
      </w:r>
      <w:proofErr w:type="spellStart"/>
      <w:r w:rsidRPr="00771E6E">
        <w:t>Predica</w:t>
      </w:r>
      <w:proofErr w:type="spellEnd"/>
      <w:r w:rsidRPr="00771E6E">
        <w:t xml:space="preserve"> </w:t>
      </w:r>
      <w:proofErr w:type="spellStart"/>
      <w:r w:rsidRPr="00771E6E">
        <w:t>Duodecima</w:t>
      </w:r>
      <w:proofErr w:type="spellEnd"/>
      <w:r w:rsidRPr="00771E6E">
        <w:t xml:space="preserve">. Che </w:t>
      </w:r>
      <w:proofErr w:type="spellStart"/>
      <w:r w:rsidRPr="00771E6E">
        <w:t>Dio</w:t>
      </w:r>
      <w:proofErr w:type="spellEnd"/>
      <w:r w:rsidRPr="00771E6E">
        <w:t xml:space="preserve"> </w:t>
      </w:r>
      <w:proofErr w:type="gramStart"/>
      <w:r w:rsidRPr="00771E6E">
        <w:t>Non Fa</w:t>
      </w:r>
      <w:proofErr w:type="gramEnd"/>
      <w:r w:rsidRPr="00771E6E">
        <w:t xml:space="preserve"> Male a </w:t>
      </w:r>
      <w:proofErr w:type="spellStart"/>
      <w:r w:rsidRPr="00771E6E">
        <w:t>Buoni</w:t>
      </w:r>
      <w:proofErr w:type="spellEnd"/>
      <w:r w:rsidRPr="00771E6E">
        <w:t xml:space="preserve"> Ne Bene a </w:t>
      </w:r>
      <w:proofErr w:type="spellStart"/>
      <w:r w:rsidRPr="00771E6E">
        <w:t>Cattivi</w:t>
      </w:r>
      <w:proofErr w:type="spellEnd"/>
      <w:r w:rsidRPr="00771E6E">
        <w:t xml:space="preserve">.” In </w:t>
      </w:r>
      <w:proofErr w:type="spellStart"/>
      <w:r w:rsidRPr="00771E6E">
        <w:rPr>
          <w:i/>
          <w:iCs/>
        </w:rPr>
        <w:t>Prediche</w:t>
      </w:r>
      <w:proofErr w:type="spellEnd"/>
      <w:r w:rsidRPr="00771E6E">
        <w:rPr>
          <w:i/>
          <w:iCs/>
        </w:rPr>
        <w:t xml:space="preserve"> Del </w:t>
      </w:r>
      <w:proofErr w:type="spellStart"/>
      <w:r w:rsidRPr="00771E6E">
        <w:rPr>
          <w:i/>
          <w:iCs/>
        </w:rPr>
        <w:t>Reverendo</w:t>
      </w:r>
      <w:proofErr w:type="spellEnd"/>
      <w:r w:rsidRPr="00771E6E">
        <w:rPr>
          <w:i/>
          <w:iCs/>
        </w:rPr>
        <w:t xml:space="preserve"> Padre Fra Girolamo Savonarola Da Ferrara, Sopra Il Salmo </w:t>
      </w:r>
      <w:proofErr w:type="spellStart"/>
      <w:r w:rsidRPr="00771E6E">
        <w:rPr>
          <w:i/>
          <w:iCs/>
        </w:rPr>
        <w:t>Quam</w:t>
      </w:r>
      <w:proofErr w:type="spellEnd"/>
      <w:r w:rsidRPr="00771E6E">
        <w:rPr>
          <w:i/>
          <w:iCs/>
        </w:rPr>
        <w:t xml:space="preserve"> Bonus Israel Deus</w:t>
      </w:r>
      <w:r w:rsidRPr="00771E6E">
        <w:t>. Venetia, 1539. http://reader.digitale-sammlungen.de/de/fs1/object/display/bsb10188962_00252.html.</w:t>
      </w:r>
    </w:p>
    <w:p w14:paraId="1896F383" w14:textId="77777777" w:rsidR="00F33779" w:rsidRPr="00771E6E" w:rsidRDefault="00F33779" w:rsidP="00F33779">
      <w:pPr>
        <w:pStyle w:val="Bibliography"/>
        <w:ind w:left="709" w:hanging="709"/>
      </w:pPr>
      <w:r w:rsidRPr="00771E6E">
        <w:t xml:space="preserve">———. </w:t>
      </w:r>
      <w:proofErr w:type="spellStart"/>
      <w:r w:rsidRPr="00771E6E">
        <w:rPr>
          <w:i/>
          <w:iCs/>
        </w:rPr>
        <w:t>Prediche</w:t>
      </w:r>
      <w:proofErr w:type="spellEnd"/>
      <w:r w:rsidRPr="00771E6E">
        <w:rPr>
          <w:i/>
          <w:iCs/>
        </w:rPr>
        <w:t xml:space="preserve"> sopra Amos e </w:t>
      </w:r>
      <w:proofErr w:type="spellStart"/>
      <w:r w:rsidRPr="00771E6E">
        <w:rPr>
          <w:i/>
          <w:iCs/>
        </w:rPr>
        <w:t>Zaccaria</w:t>
      </w:r>
      <w:proofErr w:type="spellEnd"/>
      <w:r w:rsidRPr="00771E6E">
        <w:t xml:space="preserve">. Edited by Paolo </w:t>
      </w:r>
      <w:proofErr w:type="spellStart"/>
      <w:r w:rsidRPr="00771E6E">
        <w:t>Ghiglieri</w:t>
      </w:r>
      <w:proofErr w:type="spellEnd"/>
      <w:r w:rsidRPr="00771E6E">
        <w:t xml:space="preserve">. Roma: Angelo </w:t>
      </w:r>
      <w:proofErr w:type="spellStart"/>
      <w:r w:rsidRPr="00771E6E">
        <w:t>Belardetti</w:t>
      </w:r>
      <w:proofErr w:type="spellEnd"/>
      <w:r w:rsidRPr="00771E6E">
        <w:t>, 1972.</w:t>
      </w:r>
    </w:p>
    <w:p w14:paraId="72089F5C" w14:textId="77777777" w:rsidR="00F33779" w:rsidRPr="00771E6E" w:rsidRDefault="00F33779" w:rsidP="00F33779">
      <w:pPr>
        <w:pStyle w:val="Bibliography"/>
        <w:ind w:left="709" w:hanging="709"/>
      </w:pPr>
      <w:r w:rsidRPr="00771E6E">
        <w:t xml:space="preserve">———. </w:t>
      </w:r>
      <w:r w:rsidRPr="00771E6E">
        <w:rPr>
          <w:i/>
          <w:iCs/>
        </w:rPr>
        <w:t>The Triumph of the Cross</w:t>
      </w:r>
      <w:r w:rsidRPr="00771E6E">
        <w:t>. Edited and translated by John Procter. London: Sands, 1901.</w:t>
      </w:r>
    </w:p>
    <w:p w14:paraId="4FD68428" w14:textId="77777777" w:rsidR="00F33779" w:rsidRPr="00771E6E" w:rsidRDefault="00F33779" w:rsidP="00F33779">
      <w:pPr>
        <w:pStyle w:val="Bibliography"/>
        <w:ind w:left="709" w:hanging="709"/>
      </w:pPr>
      <w:r w:rsidRPr="00771E6E">
        <w:t xml:space="preserve">———. </w:t>
      </w:r>
      <w:proofErr w:type="spellStart"/>
      <w:r w:rsidRPr="00771E6E">
        <w:rPr>
          <w:i/>
          <w:iCs/>
        </w:rPr>
        <w:t>Triumphus</w:t>
      </w:r>
      <w:proofErr w:type="spellEnd"/>
      <w:r w:rsidRPr="00771E6E">
        <w:rPr>
          <w:i/>
          <w:iCs/>
        </w:rPr>
        <w:t xml:space="preserve"> Crucis </w:t>
      </w:r>
      <w:proofErr w:type="spellStart"/>
      <w:r w:rsidRPr="00771E6E">
        <w:rPr>
          <w:i/>
          <w:iCs/>
        </w:rPr>
        <w:t>seu</w:t>
      </w:r>
      <w:proofErr w:type="spellEnd"/>
      <w:r w:rsidRPr="00771E6E">
        <w:rPr>
          <w:i/>
          <w:iCs/>
        </w:rPr>
        <w:t xml:space="preserve"> de </w:t>
      </w:r>
      <w:proofErr w:type="spellStart"/>
      <w:r w:rsidRPr="00771E6E">
        <w:rPr>
          <w:i/>
          <w:iCs/>
        </w:rPr>
        <w:t>Veritate</w:t>
      </w:r>
      <w:proofErr w:type="spellEnd"/>
      <w:r w:rsidRPr="00771E6E">
        <w:rPr>
          <w:i/>
          <w:iCs/>
        </w:rPr>
        <w:t xml:space="preserve"> Fidei</w:t>
      </w:r>
      <w:r w:rsidRPr="00771E6E">
        <w:t>. Florence: Bartolomeo di Libri, 1497.</w:t>
      </w:r>
    </w:p>
    <w:p w14:paraId="7398D68F" w14:textId="77777777" w:rsidR="00F33779" w:rsidRPr="00771E6E" w:rsidRDefault="00F33779" w:rsidP="00F33779">
      <w:pPr>
        <w:pStyle w:val="Bibliography"/>
        <w:ind w:left="709" w:hanging="709"/>
      </w:pPr>
      <w:r w:rsidRPr="00771E6E">
        <w:t xml:space="preserve">Savonarola, Michele. </w:t>
      </w:r>
      <w:r w:rsidRPr="00771E6E">
        <w:rPr>
          <w:i/>
          <w:iCs/>
        </w:rPr>
        <w:t xml:space="preserve">Il </w:t>
      </w:r>
      <w:proofErr w:type="spellStart"/>
      <w:r w:rsidRPr="00771E6E">
        <w:rPr>
          <w:i/>
          <w:iCs/>
        </w:rPr>
        <w:t>Trattato</w:t>
      </w:r>
      <w:proofErr w:type="spellEnd"/>
      <w:r w:rsidRPr="00771E6E">
        <w:rPr>
          <w:i/>
          <w:iCs/>
        </w:rPr>
        <w:t xml:space="preserve"> </w:t>
      </w:r>
      <w:proofErr w:type="spellStart"/>
      <w:r w:rsidRPr="00771E6E">
        <w:rPr>
          <w:i/>
          <w:iCs/>
        </w:rPr>
        <w:t>Ginecologico-Pediatrico</w:t>
      </w:r>
      <w:proofErr w:type="spellEnd"/>
      <w:r w:rsidRPr="00771E6E">
        <w:rPr>
          <w:i/>
          <w:iCs/>
        </w:rPr>
        <w:t xml:space="preserve"> in </w:t>
      </w:r>
      <w:proofErr w:type="spellStart"/>
      <w:r w:rsidRPr="00771E6E">
        <w:rPr>
          <w:i/>
          <w:iCs/>
        </w:rPr>
        <w:t>Volgare</w:t>
      </w:r>
      <w:proofErr w:type="spellEnd"/>
      <w:r w:rsidRPr="00771E6E">
        <w:rPr>
          <w:i/>
          <w:iCs/>
        </w:rPr>
        <w:t xml:space="preserve">. Ad </w:t>
      </w:r>
      <w:proofErr w:type="spellStart"/>
      <w:r w:rsidRPr="00771E6E">
        <w:rPr>
          <w:i/>
          <w:iCs/>
        </w:rPr>
        <w:t>Mulieres</w:t>
      </w:r>
      <w:proofErr w:type="spellEnd"/>
      <w:r w:rsidRPr="00771E6E">
        <w:rPr>
          <w:i/>
          <w:iCs/>
        </w:rPr>
        <w:t xml:space="preserve"> </w:t>
      </w:r>
      <w:proofErr w:type="spellStart"/>
      <w:r w:rsidRPr="00771E6E">
        <w:rPr>
          <w:i/>
          <w:iCs/>
        </w:rPr>
        <w:t>Ferrarienses</w:t>
      </w:r>
      <w:proofErr w:type="spellEnd"/>
      <w:r w:rsidRPr="00771E6E">
        <w:rPr>
          <w:i/>
          <w:iCs/>
        </w:rPr>
        <w:t xml:space="preserve"> de </w:t>
      </w:r>
      <w:proofErr w:type="spellStart"/>
      <w:r w:rsidRPr="00771E6E">
        <w:rPr>
          <w:i/>
          <w:iCs/>
        </w:rPr>
        <w:t>Regimine</w:t>
      </w:r>
      <w:proofErr w:type="spellEnd"/>
      <w:r w:rsidRPr="00771E6E">
        <w:rPr>
          <w:i/>
          <w:iCs/>
        </w:rPr>
        <w:t xml:space="preserve"> </w:t>
      </w:r>
      <w:proofErr w:type="spellStart"/>
      <w:r w:rsidRPr="00771E6E">
        <w:rPr>
          <w:i/>
          <w:iCs/>
        </w:rPr>
        <w:t>Pregnantium</w:t>
      </w:r>
      <w:proofErr w:type="spellEnd"/>
      <w:r w:rsidRPr="00771E6E">
        <w:rPr>
          <w:i/>
          <w:iCs/>
        </w:rPr>
        <w:t xml:space="preserve"> et </w:t>
      </w:r>
      <w:proofErr w:type="spellStart"/>
      <w:r w:rsidRPr="00771E6E">
        <w:rPr>
          <w:i/>
          <w:iCs/>
        </w:rPr>
        <w:t>Noviter</w:t>
      </w:r>
      <w:proofErr w:type="spellEnd"/>
      <w:r w:rsidRPr="00771E6E">
        <w:rPr>
          <w:i/>
          <w:iCs/>
        </w:rPr>
        <w:t xml:space="preserve"> </w:t>
      </w:r>
      <w:proofErr w:type="spellStart"/>
      <w:r w:rsidRPr="00771E6E">
        <w:rPr>
          <w:i/>
          <w:iCs/>
        </w:rPr>
        <w:t>Natorum</w:t>
      </w:r>
      <w:proofErr w:type="spellEnd"/>
      <w:r w:rsidRPr="00771E6E">
        <w:rPr>
          <w:i/>
          <w:iCs/>
        </w:rPr>
        <w:t xml:space="preserve"> </w:t>
      </w:r>
      <w:proofErr w:type="spellStart"/>
      <w:r w:rsidRPr="00771E6E">
        <w:rPr>
          <w:i/>
          <w:iCs/>
        </w:rPr>
        <w:t>Usque</w:t>
      </w:r>
      <w:proofErr w:type="spellEnd"/>
      <w:r w:rsidRPr="00771E6E">
        <w:rPr>
          <w:i/>
          <w:iCs/>
        </w:rPr>
        <w:t xml:space="preserve"> Ad Septennium</w:t>
      </w:r>
      <w:r w:rsidRPr="00771E6E">
        <w:t xml:space="preserve">. Edited by Luigi </w:t>
      </w:r>
      <w:proofErr w:type="spellStart"/>
      <w:r w:rsidRPr="00771E6E">
        <w:t>Belloni</w:t>
      </w:r>
      <w:proofErr w:type="spellEnd"/>
      <w:r w:rsidRPr="00771E6E">
        <w:t>. Milan, 1952.</w:t>
      </w:r>
    </w:p>
    <w:p w14:paraId="496C1898" w14:textId="77777777" w:rsidR="00F33779" w:rsidRPr="00771E6E" w:rsidRDefault="00F33779" w:rsidP="00F33779">
      <w:pPr>
        <w:pStyle w:val="Bibliography"/>
        <w:ind w:left="709" w:hanging="709"/>
      </w:pPr>
      <w:r w:rsidRPr="00771E6E">
        <w:t xml:space="preserve">Tertullian (Q. </w:t>
      </w:r>
      <w:proofErr w:type="spellStart"/>
      <w:r w:rsidRPr="00771E6E">
        <w:t>Septimi</w:t>
      </w:r>
      <w:proofErr w:type="spellEnd"/>
      <w:r w:rsidRPr="00771E6E">
        <w:t xml:space="preserve"> </w:t>
      </w:r>
      <w:proofErr w:type="spellStart"/>
      <w:r w:rsidRPr="00771E6E">
        <w:t>Florentis</w:t>
      </w:r>
      <w:proofErr w:type="spellEnd"/>
      <w:r w:rsidRPr="00771E6E">
        <w:t xml:space="preserve"> </w:t>
      </w:r>
      <w:proofErr w:type="spellStart"/>
      <w:r w:rsidRPr="00771E6E">
        <w:t>Tertulliani</w:t>
      </w:r>
      <w:proofErr w:type="spellEnd"/>
      <w:r w:rsidRPr="00771E6E">
        <w:t xml:space="preserve">). </w:t>
      </w:r>
      <w:proofErr w:type="spellStart"/>
      <w:r w:rsidRPr="00771E6E">
        <w:rPr>
          <w:i/>
          <w:iCs/>
        </w:rPr>
        <w:t>Apologeticus</w:t>
      </w:r>
      <w:proofErr w:type="spellEnd"/>
      <w:r w:rsidRPr="00771E6E">
        <w:t xml:space="preserve">. Edited by Franz </w:t>
      </w:r>
      <w:proofErr w:type="spellStart"/>
      <w:r w:rsidRPr="00771E6E">
        <w:t>Oehler</w:t>
      </w:r>
      <w:proofErr w:type="spellEnd"/>
      <w:r w:rsidRPr="00771E6E">
        <w:t xml:space="preserve"> and John E. B. Mayor. Translated by Alexander Souter. Aberdeen: University Press, 1926.</w:t>
      </w:r>
    </w:p>
    <w:p w14:paraId="52F867BE" w14:textId="77777777" w:rsidR="00F33779" w:rsidRPr="00771E6E" w:rsidRDefault="00F33779" w:rsidP="00F33779">
      <w:pPr>
        <w:pStyle w:val="Bibliography"/>
        <w:ind w:left="709" w:hanging="709"/>
      </w:pPr>
      <w:r w:rsidRPr="00771E6E">
        <w:t xml:space="preserve">Thomas Aquinas (Saint). </w:t>
      </w:r>
      <w:r w:rsidRPr="00771E6E">
        <w:rPr>
          <w:i/>
          <w:iCs/>
        </w:rPr>
        <w:t xml:space="preserve">Summa </w:t>
      </w:r>
      <w:proofErr w:type="spellStart"/>
      <w:r w:rsidRPr="00771E6E">
        <w:rPr>
          <w:i/>
          <w:iCs/>
        </w:rPr>
        <w:t>Theologiae</w:t>
      </w:r>
      <w:proofErr w:type="spellEnd"/>
      <w:r w:rsidRPr="00771E6E">
        <w:rPr>
          <w:i/>
          <w:iCs/>
        </w:rPr>
        <w:t>, Vol. 15, The World Order</w:t>
      </w:r>
      <w:r w:rsidRPr="00771E6E">
        <w:t>. Edited and translated by Maxwell John Charlesworth. Cambridge: Cambridge University Press, 2006.</w:t>
      </w:r>
    </w:p>
    <w:p w14:paraId="1EB0CCC7" w14:textId="77777777" w:rsidR="00F33779" w:rsidRPr="00771E6E" w:rsidRDefault="00F33779" w:rsidP="00F33779">
      <w:pPr>
        <w:pStyle w:val="Bibliography"/>
        <w:ind w:left="709" w:hanging="709"/>
      </w:pPr>
      <w:r w:rsidRPr="00771E6E">
        <w:t xml:space="preserve">Tinctoris, Johannes. “A Compendium of Music’s Effects.” In </w:t>
      </w:r>
      <w:r w:rsidRPr="00771E6E">
        <w:rPr>
          <w:i/>
          <w:iCs/>
        </w:rPr>
        <w:t>“That Liberal and Virtuous Art”: Three Humanist Treatises on Music</w:t>
      </w:r>
      <w:r w:rsidRPr="00771E6E">
        <w:t>, edited and translated by J. Donald Cullington, 58–86. Newtownabbey: University of Ulster, 2001.</w:t>
      </w:r>
    </w:p>
    <w:p w14:paraId="7FAC9F38" w14:textId="77777777" w:rsidR="00F33779" w:rsidRPr="00771E6E" w:rsidRDefault="00F33779" w:rsidP="00F33779">
      <w:pPr>
        <w:pStyle w:val="Bibliography"/>
        <w:ind w:left="709" w:hanging="709"/>
      </w:pPr>
      <w:r w:rsidRPr="00771E6E">
        <w:t xml:space="preserve">———. </w:t>
      </w:r>
      <w:r w:rsidRPr="00771E6E">
        <w:rPr>
          <w:i/>
          <w:iCs/>
        </w:rPr>
        <w:t xml:space="preserve">De </w:t>
      </w:r>
      <w:proofErr w:type="spellStart"/>
      <w:r w:rsidRPr="00771E6E">
        <w:rPr>
          <w:i/>
          <w:iCs/>
        </w:rPr>
        <w:t>Inventione</w:t>
      </w:r>
      <w:proofErr w:type="spellEnd"/>
      <w:r w:rsidRPr="00771E6E">
        <w:rPr>
          <w:i/>
          <w:iCs/>
        </w:rPr>
        <w:t xml:space="preserve"> et </w:t>
      </w:r>
      <w:proofErr w:type="spellStart"/>
      <w:r w:rsidRPr="00771E6E">
        <w:rPr>
          <w:i/>
          <w:iCs/>
        </w:rPr>
        <w:t>Usu</w:t>
      </w:r>
      <w:proofErr w:type="spellEnd"/>
      <w:r w:rsidRPr="00771E6E">
        <w:rPr>
          <w:i/>
          <w:iCs/>
        </w:rPr>
        <w:t xml:space="preserve"> </w:t>
      </w:r>
      <w:proofErr w:type="spellStart"/>
      <w:r w:rsidRPr="00771E6E">
        <w:rPr>
          <w:i/>
          <w:iCs/>
        </w:rPr>
        <w:t>Musice</w:t>
      </w:r>
      <w:proofErr w:type="spellEnd"/>
      <w:r w:rsidRPr="00771E6E">
        <w:t>. Edited and translated by Jeffrey Dean, 2015. http://earlymusictheory.org/Tinctoris/texts/deinventioneetusumusice.</w:t>
      </w:r>
    </w:p>
    <w:p w14:paraId="1C6518A3" w14:textId="77777777" w:rsidR="00F33779" w:rsidRPr="00771E6E" w:rsidRDefault="00F33779" w:rsidP="00F33779">
      <w:pPr>
        <w:pStyle w:val="Bibliography"/>
        <w:ind w:left="709" w:hanging="709"/>
      </w:pPr>
      <w:r w:rsidRPr="00771E6E">
        <w:t xml:space="preserve">———. </w:t>
      </w:r>
      <w:proofErr w:type="spellStart"/>
      <w:r w:rsidRPr="00771E6E">
        <w:rPr>
          <w:i/>
          <w:iCs/>
        </w:rPr>
        <w:t>Expositio</w:t>
      </w:r>
      <w:proofErr w:type="spellEnd"/>
      <w:r w:rsidRPr="00771E6E">
        <w:rPr>
          <w:i/>
          <w:iCs/>
        </w:rPr>
        <w:t xml:space="preserve"> Manus </w:t>
      </w:r>
      <w:proofErr w:type="spellStart"/>
      <w:r w:rsidRPr="00771E6E">
        <w:rPr>
          <w:i/>
          <w:iCs/>
        </w:rPr>
        <w:t>Secundum</w:t>
      </w:r>
      <w:proofErr w:type="spellEnd"/>
      <w:r w:rsidRPr="00771E6E">
        <w:rPr>
          <w:i/>
          <w:iCs/>
        </w:rPr>
        <w:t xml:space="preserve"> </w:t>
      </w:r>
      <w:proofErr w:type="spellStart"/>
      <w:r w:rsidRPr="00771E6E">
        <w:rPr>
          <w:i/>
          <w:iCs/>
        </w:rPr>
        <w:t>Magistrum</w:t>
      </w:r>
      <w:proofErr w:type="spellEnd"/>
      <w:r w:rsidRPr="00771E6E">
        <w:rPr>
          <w:i/>
          <w:iCs/>
        </w:rPr>
        <w:t xml:space="preserve"> </w:t>
      </w:r>
      <w:proofErr w:type="spellStart"/>
      <w:r w:rsidRPr="00771E6E">
        <w:rPr>
          <w:i/>
          <w:iCs/>
        </w:rPr>
        <w:t>Iohannem</w:t>
      </w:r>
      <w:proofErr w:type="spellEnd"/>
      <w:r w:rsidRPr="00771E6E">
        <w:rPr>
          <w:i/>
          <w:iCs/>
        </w:rPr>
        <w:t xml:space="preserve"> Tinctoris in </w:t>
      </w:r>
      <w:proofErr w:type="spellStart"/>
      <w:r w:rsidRPr="00771E6E">
        <w:rPr>
          <w:i/>
          <w:iCs/>
        </w:rPr>
        <w:t>Legibus</w:t>
      </w:r>
      <w:proofErr w:type="spellEnd"/>
      <w:r w:rsidRPr="00771E6E">
        <w:rPr>
          <w:i/>
          <w:iCs/>
        </w:rPr>
        <w:t xml:space="preserve"> </w:t>
      </w:r>
      <w:proofErr w:type="spellStart"/>
      <w:r w:rsidRPr="00771E6E">
        <w:rPr>
          <w:i/>
          <w:iCs/>
        </w:rPr>
        <w:t>Licentiatum</w:t>
      </w:r>
      <w:proofErr w:type="spellEnd"/>
      <w:r w:rsidRPr="00771E6E">
        <w:rPr>
          <w:i/>
          <w:iCs/>
        </w:rPr>
        <w:t xml:space="preserve"> Ac Regis </w:t>
      </w:r>
      <w:proofErr w:type="spellStart"/>
      <w:r w:rsidRPr="00771E6E">
        <w:rPr>
          <w:i/>
          <w:iCs/>
        </w:rPr>
        <w:t>Sicilie</w:t>
      </w:r>
      <w:proofErr w:type="spellEnd"/>
      <w:r w:rsidRPr="00771E6E">
        <w:rPr>
          <w:i/>
          <w:iCs/>
        </w:rPr>
        <w:t xml:space="preserve"> </w:t>
      </w:r>
      <w:proofErr w:type="spellStart"/>
      <w:r w:rsidRPr="00771E6E">
        <w:rPr>
          <w:i/>
          <w:iCs/>
        </w:rPr>
        <w:t>Capellanum</w:t>
      </w:r>
      <w:proofErr w:type="spellEnd"/>
      <w:r w:rsidRPr="00771E6E">
        <w:t>. Accessed April 20, 2017. http://www.stoa.org/tinctoris/expositio_manus/expositio_manus.html.</w:t>
      </w:r>
    </w:p>
    <w:p w14:paraId="6D6EF144" w14:textId="77777777" w:rsidR="00F33779" w:rsidRPr="00771E6E" w:rsidRDefault="00F33779" w:rsidP="00F33779">
      <w:pPr>
        <w:pStyle w:val="Bibliography"/>
        <w:ind w:left="709" w:hanging="709"/>
      </w:pPr>
      <w:r w:rsidRPr="00771E6E">
        <w:t xml:space="preserve">———. “Opus </w:t>
      </w:r>
      <w:proofErr w:type="spellStart"/>
      <w:r w:rsidRPr="00771E6E">
        <w:t>Musices</w:t>
      </w:r>
      <w:proofErr w:type="spellEnd"/>
      <w:r w:rsidRPr="00771E6E">
        <w:t>,” ca 1483.</w:t>
      </w:r>
    </w:p>
    <w:p w14:paraId="542AA58E" w14:textId="77777777" w:rsidR="00F33779" w:rsidRPr="00771E6E" w:rsidRDefault="00F33779" w:rsidP="00F33779">
      <w:pPr>
        <w:pStyle w:val="Bibliography"/>
        <w:ind w:left="709" w:hanging="709"/>
      </w:pPr>
      <w:r w:rsidRPr="00771E6E">
        <w:t xml:space="preserve">Tornabuoni de’ Medici, Lucrezia. “The Life of St John the Baptist.” In </w:t>
      </w:r>
      <w:r w:rsidRPr="00771E6E">
        <w:rPr>
          <w:i/>
          <w:iCs/>
        </w:rPr>
        <w:t>Sacred Narratives</w:t>
      </w:r>
      <w:r w:rsidRPr="00771E6E">
        <w:t xml:space="preserve">, edited and translated by Jane </w:t>
      </w:r>
      <w:proofErr w:type="spellStart"/>
      <w:r w:rsidRPr="00771E6E">
        <w:t>Tylus</w:t>
      </w:r>
      <w:proofErr w:type="spellEnd"/>
      <w:r w:rsidRPr="00771E6E">
        <w:t>. Chicago, 2001.</w:t>
      </w:r>
    </w:p>
    <w:p w14:paraId="031E0923" w14:textId="77777777" w:rsidR="00F33779" w:rsidRPr="00771E6E" w:rsidRDefault="00F33779" w:rsidP="00F33779">
      <w:pPr>
        <w:pStyle w:val="Bibliography"/>
        <w:ind w:left="709" w:hanging="709"/>
      </w:pPr>
      <w:r w:rsidRPr="00771E6E">
        <w:t xml:space="preserve">———. “Vita di Sancto Giovanni Battista.” In </w:t>
      </w:r>
      <w:r w:rsidRPr="00771E6E">
        <w:rPr>
          <w:i/>
          <w:iCs/>
        </w:rPr>
        <w:t xml:space="preserve">I </w:t>
      </w:r>
      <w:proofErr w:type="spellStart"/>
      <w:r w:rsidRPr="00771E6E">
        <w:rPr>
          <w:i/>
          <w:iCs/>
        </w:rPr>
        <w:t>Poemetti</w:t>
      </w:r>
      <w:proofErr w:type="spellEnd"/>
      <w:r w:rsidRPr="00771E6E">
        <w:rPr>
          <w:i/>
          <w:iCs/>
        </w:rPr>
        <w:t xml:space="preserve"> </w:t>
      </w:r>
      <w:proofErr w:type="spellStart"/>
      <w:r w:rsidRPr="00771E6E">
        <w:rPr>
          <w:i/>
          <w:iCs/>
        </w:rPr>
        <w:t>Sacri</w:t>
      </w:r>
      <w:proofErr w:type="spellEnd"/>
      <w:r w:rsidRPr="00771E6E">
        <w:rPr>
          <w:i/>
          <w:iCs/>
        </w:rPr>
        <w:t xml:space="preserve"> di Lucrezia Tornabuoni</w:t>
      </w:r>
      <w:r w:rsidRPr="00771E6E">
        <w:t xml:space="preserve">, edited by </w:t>
      </w:r>
      <w:proofErr w:type="spellStart"/>
      <w:r w:rsidRPr="00771E6E">
        <w:t>Fulvio</w:t>
      </w:r>
      <w:proofErr w:type="spellEnd"/>
      <w:r w:rsidRPr="00771E6E">
        <w:t xml:space="preserve"> </w:t>
      </w:r>
      <w:proofErr w:type="spellStart"/>
      <w:r w:rsidRPr="00771E6E">
        <w:t>Pezzarossa</w:t>
      </w:r>
      <w:proofErr w:type="spellEnd"/>
      <w:r w:rsidRPr="00771E6E">
        <w:t xml:space="preserve">, 151–200. Leo S. </w:t>
      </w:r>
      <w:proofErr w:type="spellStart"/>
      <w:r w:rsidRPr="00771E6E">
        <w:t>Olschki</w:t>
      </w:r>
      <w:proofErr w:type="spellEnd"/>
      <w:r w:rsidRPr="00771E6E">
        <w:t>, 1978.</w:t>
      </w:r>
    </w:p>
    <w:p w14:paraId="3251414F" w14:textId="77777777" w:rsidR="00F33779" w:rsidRPr="00771E6E" w:rsidRDefault="00F33779" w:rsidP="00F33779">
      <w:pPr>
        <w:pStyle w:val="Bibliography"/>
        <w:ind w:left="709" w:hanging="709"/>
      </w:pPr>
      <w:proofErr w:type="spellStart"/>
      <w:r w:rsidRPr="00771E6E">
        <w:t>Valgulio</w:t>
      </w:r>
      <w:proofErr w:type="spellEnd"/>
      <w:r w:rsidRPr="00771E6E">
        <w:t>, Carlo. “</w:t>
      </w:r>
      <w:proofErr w:type="spellStart"/>
      <w:r w:rsidRPr="00771E6E">
        <w:t>Risposte</w:t>
      </w:r>
      <w:proofErr w:type="spellEnd"/>
      <w:r w:rsidRPr="00771E6E">
        <w:t xml:space="preserve"> to a Slanderer of Music.” In </w:t>
      </w:r>
      <w:r w:rsidRPr="00771E6E">
        <w:rPr>
          <w:i/>
          <w:iCs/>
        </w:rPr>
        <w:t>“That Liberal and Virtuous Art”: Three Humanist Treatises on Music</w:t>
      </w:r>
      <w:r w:rsidRPr="00771E6E">
        <w:t>, edited and translated by J. Donald Cullington, 87–101. Newtownabbey: University of Ulster, 2001.</w:t>
      </w:r>
    </w:p>
    <w:p w14:paraId="72433303" w14:textId="77777777" w:rsidR="00F33779" w:rsidRPr="00771E6E" w:rsidRDefault="00F33779" w:rsidP="00F33779">
      <w:pPr>
        <w:pStyle w:val="Bibliography"/>
        <w:ind w:left="709" w:hanging="709"/>
      </w:pPr>
      <w:r w:rsidRPr="00771E6E">
        <w:t xml:space="preserve">Vasari, Giorgio. </w:t>
      </w:r>
      <w:r w:rsidRPr="00771E6E">
        <w:rPr>
          <w:i/>
          <w:iCs/>
        </w:rPr>
        <w:t xml:space="preserve">Le </w:t>
      </w:r>
      <w:proofErr w:type="spellStart"/>
      <w:r w:rsidRPr="00771E6E">
        <w:rPr>
          <w:i/>
          <w:iCs/>
        </w:rPr>
        <w:t>vite</w:t>
      </w:r>
      <w:proofErr w:type="spellEnd"/>
      <w:r w:rsidRPr="00771E6E">
        <w:rPr>
          <w:i/>
          <w:iCs/>
        </w:rPr>
        <w:t xml:space="preserve"> </w:t>
      </w:r>
      <w:proofErr w:type="spellStart"/>
      <w:r w:rsidRPr="00771E6E">
        <w:rPr>
          <w:i/>
          <w:iCs/>
        </w:rPr>
        <w:t>dei</w:t>
      </w:r>
      <w:proofErr w:type="spellEnd"/>
      <w:r w:rsidRPr="00771E6E">
        <w:rPr>
          <w:i/>
          <w:iCs/>
        </w:rPr>
        <w:t xml:space="preserve"> </w:t>
      </w:r>
      <w:proofErr w:type="spellStart"/>
      <w:r w:rsidRPr="00771E6E">
        <w:rPr>
          <w:i/>
          <w:iCs/>
        </w:rPr>
        <w:t>più</w:t>
      </w:r>
      <w:proofErr w:type="spellEnd"/>
      <w:r w:rsidRPr="00771E6E">
        <w:rPr>
          <w:i/>
          <w:iCs/>
        </w:rPr>
        <w:t xml:space="preserve"> </w:t>
      </w:r>
      <w:proofErr w:type="spellStart"/>
      <w:r w:rsidRPr="00771E6E">
        <w:rPr>
          <w:i/>
          <w:iCs/>
        </w:rPr>
        <w:t>eccellenti</w:t>
      </w:r>
      <w:proofErr w:type="spellEnd"/>
      <w:r w:rsidRPr="00771E6E">
        <w:rPr>
          <w:i/>
          <w:iCs/>
        </w:rPr>
        <w:t xml:space="preserve"> </w:t>
      </w:r>
      <w:proofErr w:type="spellStart"/>
      <w:r w:rsidRPr="00771E6E">
        <w:rPr>
          <w:i/>
          <w:iCs/>
        </w:rPr>
        <w:t>pittori</w:t>
      </w:r>
      <w:proofErr w:type="spellEnd"/>
      <w:r w:rsidRPr="00771E6E">
        <w:rPr>
          <w:i/>
          <w:iCs/>
        </w:rPr>
        <w:t xml:space="preserve">, </w:t>
      </w:r>
      <w:proofErr w:type="spellStart"/>
      <w:r w:rsidRPr="00771E6E">
        <w:rPr>
          <w:i/>
          <w:iCs/>
        </w:rPr>
        <w:t>scultori</w:t>
      </w:r>
      <w:proofErr w:type="spellEnd"/>
      <w:r w:rsidRPr="00771E6E">
        <w:rPr>
          <w:i/>
          <w:iCs/>
        </w:rPr>
        <w:t xml:space="preserve"> e </w:t>
      </w:r>
      <w:proofErr w:type="spellStart"/>
      <w:r w:rsidRPr="00771E6E">
        <w:rPr>
          <w:i/>
          <w:iCs/>
        </w:rPr>
        <w:t>architetti</w:t>
      </w:r>
      <w:proofErr w:type="spellEnd"/>
      <w:r w:rsidRPr="00771E6E">
        <w:t xml:space="preserve">. Edited by Maurizio Marini. Rome: </w:t>
      </w:r>
      <w:proofErr w:type="spellStart"/>
      <w:r w:rsidRPr="00771E6E">
        <w:t>Grandi</w:t>
      </w:r>
      <w:proofErr w:type="spellEnd"/>
      <w:r w:rsidRPr="00771E6E">
        <w:t xml:space="preserve"> </w:t>
      </w:r>
      <w:proofErr w:type="spellStart"/>
      <w:r w:rsidRPr="00771E6E">
        <w:t>Tascabili</w:t>
      </w:r>
      <w:proofErr w:type="spellEnd"/>
      <w:r w:rsidRPr="00771E6E">
        <w:t xml:space="preserve"> </w:t>
      </w:r>
      <w:proofErr w:type="spellStart"/>
      <w:r w:rsidRPr="00771E6E">
        <w:t>Economici</w:t>
      </w:r>
      <w:proofErr w:type="spellEnd"/>
      <w:r w:rsidRPr="00771E6E">
        <w:t xml:space="preserve"> Newton, 2005.</w:t>
      </w:r>
    </w:p>
    <w:p w14:paraId="1708FD98" w14:textId="77777777" w:rsidR="00F33779" w:rsidRPr="00771E6E" w:rsidRDefault="00F33779" w:rsidP="00F33779">
      <w:pPr>
        <w:pStyle w:val="Bibliography"/>
        <w:ind w:left="709" w:hanging="709"/>
      </w:pPr>
      <w:r w:rsidRPr="00771E6E">
        <w:t xml:space="preserve">———. </w:t>
      </w:r>
      <w:r w:rsidRPr="00771E6E">
        <w:rPr>
          <w:i/>
          <w:iCs/>
        </w:rPr>
        <w:t xml:space="preserve">Le </w:t>
      </w:r>
      <w:proofErr w:type="spellStart"/>
      <w:r w:rsidRPr="00771E6E">
        <w:rPr>
          <w:i/>
          <w:iCs/>
        </w:rPr>
        <w:t>Vite</w:t>
      </w:r>
      <w:proofErr w:type="spellEnd"/>
      <w:r w:rsidRPr="00771E6E">
        <w:rPr>
          <w:i/>
          <w:iCs/>
        </w:rPr>
        <w:t xml:space="preserve"> </w:t>
      </w:r>
      <w:r w:rsidRPr="00771E6E">
        <w:t xml:space="preserve">Terza </w:t>
      </w:r>
      <w:proofErr w:type="spellStart"/>
      <w:r w:rsidRPr="00771E6E">
        <w:t>Parte</w:t>
      </w:r>
      <w:proofErr w:type="spellEnd"/>
      <w:r w:rsidRPr="00771E6E">
        <w:t xml:space="preserve">. Florence: Lorenzo </w:t>
      </w:r>
      <w:proofErr w:type="spellStart"/>
      <w:r w:rsidRPr="00771E6E">
        <w:t>Torrentino</w:t>
      </w:r>
      <w:proofErr w:type="spellEnd"/>
      <w:r w:rsidRPr="00771E6E">
        <w:t xml:space="preserve"> </w:t>
      </w:r>
      <w:proofErr w:type="spellStart"/>
      <w:r w:rsidRPr="00771E6E">
        <w:t>impressor</w:t>
      </w:r>
      <w:proofErr w:type="spellEnd"/>
      <w:r w:rsidRPr="00771E6E">
        <w:t xml:space="preserve"> </w:t>
      </w:r>
      <w:proofErr w:type="spellStart"/>
      <w:r w:rsidRPr="00771E6E">
        <w:t>ducale</w:t>
      </w:r>
      <w:proofErr w:type="spellEnd"/>
      <w:r w:rsidRPr="00771E6E">
        <w:t>, 1550.</w:t>
      </w:r>
    </w:p>
    <w:p w14:paraId="4EF55B4D" w14:textId="77777777" w:rsidR="00F33779" w:rsidRPr="00771E6E" w:rsidRDefault="00F33779" w:rsidP="00F33779">
      <w:pPr>
        <w:pStyle w:val="Bibliography"/>
        <w:ind w:left="709" w:hanging="709"/>
      </w:pPr>
      <w:proofErr w:type="spellStart"/>
      <w:r w:rsidRPr="00771E6E">
        <w:lastRenderedPageBreak/>
        <w:t>Vergerio</w:t>
      </w:r>
      <w:proofErr w:type="spellEnd"/>
      <w:r w:rsidRPr="00771E6E">
        <w:t xml:space="preserve">, Pier Paolo. “The Character and Studies Befitting a Free-Born Youth.” In </w:t>
      </w:r>
      <w:r w:rsidRPr="00771E6E">
        <w:rPr>
          <w:i/>
          <w:iCs/>
        </w:rPr>
        <w:t>Humanist Educational Treatises</w:t>
      </w:r>
      <w:r w:rsidRPr="00771E6E">
        <w:t xml:space="preserve">, edited by Craig W. </w:t>
      </w:r>
      <w:proofErr w:type="spellStart"/>
      <w:r w:rsidRPr="00771E6E">
        <w:t>Kallendorf</w:t>
      </w:r>
      <w:proofErr w:type="spellEnd"/>
      <w:r w:rsidRPr="00771E6E">
        <w:t xml:space="preserve">, translated by Craig W </w:t>
      </w:r>
      <w:proofErr w:type="spellStart"/>
      <w:r w:rsidRPr="00771E6E">
        <w:t>Kallendorf</w:t>
      </w:r>
      <w:proofErr w:type="spellEnd"/>
      <w:r w:rsidRPr="00771E6E">
        <w:t>, 2–91. Cambridge, MA, and London: Harvard University Press, 2002.</w:t>
      </w:r>
    </w:p>
    <w:p w14:paraId="35BC83D2" w14:textId="77777777" w:rsidR="00F33779" w:rsidRPr="00771E6E" w:rsidRDefault="00F33779" w:rsidP="00F33779">
      <w:pPr>
        <w:ind w:left="709" w:hanging="709"/>
      </w:pPr>
    </w:p>
    <w:p w14:paraId="1C19E9E1" w14:textId="77777777" w:rsidR="00F33779" w:rsidRPr="00771E6E" w:rsidRDefault="00F33779" w:rsidP="00182EED">
      <w:pPr>
        <w:pStyle w:val="Subchapter"/>
        <w:rPr>
          <w:b/>
          <w:bCs/>
          <w:i w:val="0"/>
          <w:iCs/>
        </w:rPr>
      </w:pPr>
      <w:bookmarkStart w:id="86" w:name="_Toc20167622"/>
      <w:r w:rsidRPr="00771E6E">
        <w:rPr>
          <w:b/>
          <w:bCs/>
          <w:i w:val="0"/>
          <w:iCs/>
        </w:rPr>
        <w:t>Secondary Literature</w:t>
      </w:r>
      <w:bookmarkEnd w:id="86"/>
    </w:p>
    <w:p w14:paraId="292E275E" w14:textId="77777777" w:rsidR="00F33779" w:rsidRPr="00771E6E" w:rsidRDefault="00F33779" w:rsidP="00F33779">
      <w:pPr>
        <w:pStyle w:val="Bibliography"/>
      </w:pPr>
    </w:p>
    <w:p w14:paraId="6AA917B0" w14:textId="77777777" w:rsidR="00F33779" w:rsidRPr="00771E6E" w:rsidRDefault="00F33779" w:rsidP="00F33779">
      <w:pPr>
        <w:pStyle w:val="Bibliography"/>
      </w:pPr>
      <w:r w:rsidRPr="00771E6E">
        <w:t xml:space="preserve">Achenbach, Gertrude M. “The Iconography of Tobias and the Angel in Florentine Paintings of the Renaissance.” </w:t>
      </w:r>
      <w:proofErr w:type="spellStart"/>
      <w:r w:rsidRPr="00771E6E">
        <w:rPr>
          <w:i/>
          <w:iCs/>
        </w:rPr>
        <w:t>Marsyas</w:t>
      </w:r>
      <w:proofErr w:type="spellEnd"/>
      <w:r w:rsidRPr="00771E6E">
        <w:t xml:space="preserve"> III (1945): 71–86.</w:t>
      </w:r>
    </w:p>
    <w:p w14:paraId="73FEB345" w14:textId="77777777" w:rsidR="00F33779" w:rsidRPr="00771E6E" w:rsidRDefault="00F33779" w:rsidP="00F33779">
      <w:pPr>
        <w:pStyle w:val="Bibliography"/>
      </w:pPr>
      <w:proofErr w:type="spellStart"/>
      <w:r w:rsidRPr="00771E6E">
        <w:t>Acidini</w:t>
      </w:r>
      <w:proofErr w:type="spellEnd"/>
      <w:r w:rsidRPr="00771E6E">
        <w:t xml:space="preserve"> </w:t>
      </w:r>
      <w:proofErr w:type="spellStart"/>
      <w:r w:rsidRPr="00771E6E">
        <w:t>Luchinat</w:t>
      </w:r>
      <w:proofErr w:type="spellEnd"/>
      <w:r w:rsidRPr="00771E6E">
        <w:t xml:space="preserve">, Cristina. “The Chapel of the Magi.” In </w:t>
      </w:r>
      <w:proofErr w:type="gramStart"/>
      <w:r w:rsidRPr="00771E6E">
        <w:rPr>
          <w:i/>
          <w:iCs/>
        </w:rPr>
        <w:t>The</w:t>
      </w:r>
      <w:proofErr w:type="gramEnd"/>
      <w:r w:rsidRPr="00771E6E">
        <w:rPr>
          <w:i/>
          <w:iCs/>
        </w:rPr>
        <w:t xml:space="preserve"> Chapel of the Magi: </w:t>
      </w:r>
      <w:proofErr w:type="spellStart"/>
      <w:r w:rsidRPr="00771E6E">
        <w:rPr>
          <w:i/>
          <w:iCs/>
        </w:rPr>
        <w:t>Benozzo</w:t>
      </w:r>
      <w:proofErr w:type="spellEnd"/>
      <w:r w:rsidRPr="00771E6E">
        <w:rPr>
          <w:i/>
          <w:iCs/>
        </w:rPr>
        <w:t xml:space="preserve"> </w:t>
      </w:r>
      <w:proofErr w:type="spellStart"/>
      <w:r w:rsidRPr="00771E6E">
        <w:rPr>
          <w:i/>
          <w:iCs/>
        </w:rPr>
        <w:t>Gozzoli’s</w:t>
      </w:r>
      <w:proofErr w:type="spellEnd"/>
      <w:r w:rsidRPr="00771E6E">
        <w:rPr>
          <w:i/>
          <w:iCs/>
        </w:rPr>
        <w:t xml:space="preserve"> Frescoes in the Palazzo Medici-</w:t>
      </w:r>
      <w:proofErr w:type="spellStart"/>
      <w:r w:rsidRPr="00771E6E">
        <w:rPr>
          <w:i/>
          <w:iCs/>
        </w:rPr>
        <w:t>Riccardi</w:t>
      </w:r>
      <w:proofErr w:type="spellEnd"/>
      <w:r w:rsidRPr="00771E6E">
        <w:rPr>
          <w:i/>
          <w:iCs/>
        </w:rPr>
        <w:t xml:space="preserve"> Florence</w:t>
      </w:r>
      <w:r w:rsidRPr="00771E6E">
        <w:t xml:space="preserve">, edited by Cristina </w:t>
      </w:r>
      <w:proofErr w:type="spellStart"/>
      <w:r w:rsidRPr="00771E6E">
        <w:t>Acidini</w:t>
      </w:r>
      <w:proofErr w:type="spellEnd"/>
      <w:r w:rsidRPr="00771E6E">
        <w:t xml:space="preserve"> </w:t>
      </w:r>
      <w:proofErr w:type="spellStart"/>
      <w:r w:rsidRPr="00771E6E">
        <w:t>Luchinat</w:t>
      </w:r>
      <w:proofErr w:type="spellEnd"/>
      <w:r w:rsidRPr="00771E6E">
        <w:t>, translated by Eleanor Daunt, 7–24. London: Thames and Hudson, 1994.</w:t>
      </w:r>
    </w:p>
    <w:p w14:paraId="0D305355" w14:textId="77777777" w:rsidR="00F33779" w:rsidRPr="00771E6E" w:rsidRDefault="00F33779" w:rsidP="00F33779">
      <w:pPr>
        <w:pStyle w:val="Bibliography"/>
      </w:pPr>
      <w:r w:rsidRPr="00771E6E">
        <w:t xml:space="preserve">———. </w:t>
      </w:r>
      <w:r w:rsidRPr="00771E6E">
        <w:rPr>
          <w:i/>
          <w:iCs/>
        </w:rPr>
        <w:t xml:space="preserve">The Chapel of the Magi: </w:t>
      </w:r>
      <w:proofErr w:type="spellStart"/>
      <w:r w:rsidRPr="00771E6E">
        <w:rPr>
          <w:i/>
          <w:iCs/>
        </w:rPr>
        <w:t>Benozzo</w:t>
      </w:r>
      <w:proofErr w:type="spellEnd"/>
      <w:r w:rsidRPr="00771E6E">
        <w:rPr>
          <w:i/>
          <w:iCs/>
        </w:rPr>
        <w:t xml:space="preserve"> </w:t>
      </w:r>
      <w:proofErr w:type="spellStart"/>
      <w:r w:rsidRPr="00771E6E">
        <w:rPr>
          <w:i/>
          <w:iCs/>
        </w:rPr>
        <w:t>Gozzoli’s</w:t>
      </w:r>
      <w:proofErr w:type="spellEnd"/>
      <w:r w:rsidRPr="00771E6E">
        <w:rPr>
          <w:i/>
          <w:iCs/>
        </w:rPr>
        <w:t xml:space="preserve"> Frescoes in the Palazzo Medici-</w:t>
      </w:r>
      <w:proofErr w:type="spellStart"/>
      <w:r w:rsidRPr="00771E6E">
        <w:rPr>
          <w:i/>
          <w:iCs/>
        </w:rPr>
        <w:t>Riccardi</w:t>
      </w:r>
      <w:proofErr w:type="spellEnd"/>
      <w:r w:rsidRPr="00771E6E">
        <w:rPr>
          <w:i/>
          <w:iCs/>
        </w:rPr>
        <w:t xml:space="preserve"> Florence</w:t>
      </w:r>
      <w:r w:rsidRPr="00771E6E">
        <w:t xml:space="preserve">. Edited by Cristina </w:t>
      </w:r>
      <w:proofErr w:type="spellStart"/>
      <w:r w:rsidRPr="00771E6E">
        <w:t>Acidini</w:t>
      </w:r>
      <w:proofErr w:type="spellEnd"/>
      <w:r w:rsidRPr="00771E6E">
        <w:t xml:space="preserve"> </w:t>
      </w:r>
      <w:proofErr w:type="spellStart"/>
      <w:r w:rsidRPr="00771E6E">
        <w:t>Luchinat</w:t>
      </w:r>
      <w:proofErr w:type="spellEnd"/>
      <w:r w:rsidRPr="00771E6E">
        <w:t>. Translated by Eleanor Daunt. London: Thames and Hudson, 1994.</w:t>
      </w:r>
    </w:p>
    <w:p w14:paraId="11F9A1B3" w14:textId="77777777" w:rsidR="00F33779" w:rsidRPr="00771E6E" w:rsidRDefault="00F33779" w:rsidP="00F33779">
      <w:pPr>
        <w:pStyle w:val="Bibliography"/>
      </w:pPr>
      <w:r w:rsidRPr="00771E6E">
        <w:t xml:space="preserve">———. “The Choirs of Angels.” In </w:t>
      </w:r>
      <w:proofErr w:type="gramStart"/>
      <w:r w:rsidRPr="00771E6E">
        <w:rPr>
          <w:i/>
          <w:iCs/>
        </w:rPr>
        <w:t>The</w:t>
      </w:r>
      <w:proofErr w:type="gramEnd"/>
      <w:r w:rsidRPr="00771E6E">
        <w:rPr>
          <w:i/>
          <w:iCs/>
        </w:rPr>
        <w:t xml:space="preserve"> Chapel of the Magi: </w:t>
      </w:r>
      <w:proofErr w:type="spellStart"/>
      <w:r w:rsidRPr="00771E6E">
        <w:rPr>
          <w:i/>
          <w:iCs/>
        </w:rPr>
        <w:t>Benozzo</w:t>
      </w:r>
      <w:proofErr w:type="spellEnd"/>
      <w:r w:rsidRPr="00771E6E">
        <w:rPr>
          <w:i/>
          <w:iCs/>
        </w:rPr>
        <w:t xml:space="preserve"> </w:t>
      </w:r>
      <w:proofErr w:type="spellStart"/>
      <w:r w:rsidRPr="00771E6E">
        <w:rPr>
          <w:i/>
          <w:iCs/>
        </w:rPr>
        <w:t>Gozzoli’s</w:t>
      </w:r>
      <w:proofErr w:type="spellEnd"/>
      <w:r w:rsidRPr="00771E6E">
        <w:rPr>
          <w:i/>
          <w:iCs/>
        </w:rPr>
        <w:t xml:space="preserve"> Frescoes in the Palazzo Medici-</w:t>
      </w:r>
      <w:proofErr w:type="spellStart"/>
      <w:r w:rsidRPr="00771E6E">
        <w:rPr>
          <w:i/>
          <w:iCs/>
        </w:rPr>
        <w:t>Riccardi</w:t>
      </w:r>
      <w:proofErr w:type="spellEnd"/>
      <w:r w:rsidRPr="00771E6E">
        <w:rPr>
          <w:i/>
          <w:iCs/>
        </w:rPr>
        <w:t xml:space="preserve"> Florence</w:t>
      </w:r>
      <w:r w:rsidRPr="00771E6E">
        <w:t xml:space="preserve">, edited by Cristina </w:t>
      </w:r>
      <w:proofErr w:type="spellStart"/>
      <w:r w:rsidRPr="00771E6E">
        <w:t>Acidini</w:t>
      </w:r>
      <w:proofErr w:type="spellEnd"/>
      <w:r w:rsidRPr="00771E6E">
        <w:t xml:space="preserve"> </w:t>
      </w:r>
      <w:proofErr w:type="spellStart"/>
      <w:r w:rsidRPr="00771E6E">
        <w:t>Luchinat</w:t>
      </w:r>
      <w:proofErr w:type="spellEnd"/>
      <w:r w:rsidRPr="00771E6E">
        <w:t>, translated by Eleanor Daunt, 264–68. London: Thames and Hudson, 1994.</w:t>
      </w:r>
    </w:p>
    <w:p w14:paraId="30BCFDE2" w14:textId="77777777" w:rsidR="00F33779" w:rsidRPr="00771E6E" w:rsidRDefault="00F33779" w:rsidP="00F33779">
      <w:pPr>
        <w:pStyle w:val="Bibliography"/>
      </w:pPr>
      <w:r w:rsidRPr="00771E6E">
        <w:t xml:space="preserve">Agee, Richard J. “Filippo </w:t>
      </w:r>
      <w:proofErr w:type="spellStart"/>
      <w:r w:rsidRPr="00771E6E">
        <w:t>Strozzi</w:t>
      </w:r>
      <w:proofErr w:type="spellEnd"/>
      <w:r w:rsidRPr="00771E6E">
        <w:t xml:space="preserve"> and the Early Madrigal.” </w:t>
      </w:r>
      <w:r w:rsidRPr="00771E6E">
        <w:rPr>
          <w:i/>
          <w:iCs/>
        </w:rPr>
        <w:t>Journal of the American Musicological Society</w:t>
      </w:r>
      <w:r w:rsidRPr="00771E6E">
        <w:t xml:space="preserve"> 38, no. 2 (1985): 227–37.</w:t>
      </w:r>
    </w:p>
    <w:p w14:paraId="5D64A73C" w14:textId="77777777" w:rsidR="00F33779" w:rsidRPr="00771E6E" w:rsidRDefault="00F33779" w:rsidP="00F33779">
      <w:pPr>
        <w:pStyle w:val="Bibliography"/>
      </w:pPr>
      <w:r w:rsidRPr="00771E6E">
        <w:t>———. “</w:t>
      </w:r>
      <w:proofErr w:type="spellStart"/>
      <w:r w:rsidRPr="00771E6E">
        <w:t>Ruberto</w:t>
      </w:r>
      <w:proofErr w:type="spellEnd"/>
      <w:r w:rsidRPr="00771E6E">
        <w:t xml:space="preserve"> </w:t>
      </w:r>
      <w:proofErr w:type="spellStart"/>
      <w:r w:rsidRPr="00771E6E">
        <w:t>Strozzi</w:t>
      </w:r>
      <w:proofErr w:type="spellEnd"/>
      <w:r w:rsidRPr="00771E6E">
        <w:t xml:space="preserve"> and the Early Madrigal.” </w:t>
      </w:r>
      <w:r w:rsidRPr="00771E6E">
        <w:rPr>
          <w:i/>
          <w:iCs/>
        </w:rPr>
        <w:t>Journal of the American Musicological Society</w:t>
      </w:r>
      <w:r w:rsidRPr="00771E6E">
        <w:t xml:space="preserve"> 36, no. 1 (1983): 1–17.</w:t>
      </w:r>
    </w:p>
    <w:p w14:paraId="7970845B" w14:textId="77777777" w:rsidR="00F33779" w:rsidRPr="00771E6E" w:rsidRDefault="00F33779" w:rsidP="00F33779">
      <w:pPr>
        <w:pStyle w:val="Bibliography"/>
      </w:pPr>
      <w:proofErr w:type="spellStart"/>
      <w:r w:rsidRPr="00771E6E">
        <w:t>Ajmar</w:t>
      </w:r>
      <w:proofErr w:type="spellEnd"/>
      <w:r w:rsidRPr="00771E6E">
        <w:t xml:space="preserve">, Marta, and Dora Thornton. “When Is a Portrait Not a Portrait? </w:t>
      </w:r>
      <w:r w:rsidRPr="00771E6E">
        <w:rPr>
          <w:i/>
          <w:iCs/>
        </w:rPr>
        <w:t>Belle Donne</w:t>
      </w:r>
      <w:r w:rsidRPr="00771E6E">
        <w:t xml:space="preserve"> on Maiolica and the Renaissance Praise of Local Beauties.” In </w:t>
      </w:r>
      <w:proofErr w:type="gramStart"/>
      <w:r w:rsidRPr="00771E6E">
        <w:rPr>
          <w:i/>
          <w:iCs/>
        </w:rPr>
        <w:t>The</w:t>
      </w:r>
      <w:proofErr w:type="gramEnd"/>
      <w:r w:rsidRPr="00771E6E">
        <w:rPr>
          <w:i/>
          <w:iCs/>
        </w:rPr>
        <w:t xml:space="preserve"> Image of the Individual: Portraits in the Renaissance</w:t>
      </w:r>
      <w:r w:rsidRPr="00771E6E">
        <w:t>, edited by Nicholas Mann and Luke Syson, 138–53. London: British Museum Press, 1998.</w:t>
      </w:r>
    </w:p>
    <w:p w14:paraId="6C9295E9" w14:textId="77777777" w:rsidR="00F33779" w:rsidRPr="00771E6E" w:rsidRDefault="00F33779" w:rsidP="00F33779">
      <w:pPr>
        <w:pStyle w:val="Bibliography"/>
      </w:pPr>
      <w:proofErr w:type="spellStart"/>
      <w:r w:rsidRPr="00771E6E">
        <w:t>Ajmar-Wollheim</w:t>
      </w:r>
      <w:proofErr w:type="spellEnd"/>
      <w:r w:rsidRPr="00771E6E">
        <w:t xml:space="preserve">, Marta. “Housework.” In </w:t>
      </w:r>
      <w:proofErr w:type="gramStart"/>
      <w:r w:rsidRPr="00771E6E">
        <w:rPr>
          <w:i/>
          <w:iCs/>
        </w:rPr>
        <w:t>At</w:t>
      </w:r>
      <w:proofErr w:type="gramEnd"/>
      <w:r w:rsidRPr="00771E6E">
        <w:rPr>
          <w:i/>
          <w:iCs/>
        </w:rPr>
        <w:t xml:space="preserve"> Home in Renaissance Italy</w:t>
      </w:r>
      <w:r w:rsidRPr="00771E6E">
        <w:t xml:space="preserve">, edited by Marta </w:t>
      </w:r>
      <w:proofErr w:type="spellStart"/>
      <w:r w:rsidRPr="00771E6E">
        <w:t>Ajmar-Wollheim</w:t>
      </w:r>
      <w:proofErr w:type="spellEnd"/>
      <w:r w:rsidRPr="00771E6E">
        <w:t xml:space="preserve"> and Flora Dennis, 152–63. London: V&amp;A Publications, 2006.</w:t>
      </w:r>
    </w:p>
    <w:p w14:paraId="4E8DF96A" w14:textId="77777777" w:rsidR="00F33779" w:rsidRPr="00771E6E" w:rsidRDefault="00F33779" w:rsidP="00F33779">
      <w:pPr>
        <w:pStyle w:val="Bibliography"/>
      </w:pPr>
      <w:proofErr w:type="spellStart"/>
      <w:r w:rsidRPr="00771E6E">
        <w:t>Ajmar-Wollheim</w:t>
      </w:r>
      <w:proofErr w:type="spellEnd"/>
      <w:r w:rsidRPr="00771E6E">
        <w:t xml:space="preserve">, Marta, and Flora Dennis, eds. </w:t>
      </w:r>
      <w:r w:rsidRPr="00771E6E">
        <w:rPr>
          <w:i/>
          <w:iCs/>
        </w:rPr>
        <w:t>At Home in Renaissance Italy</w:t>
      </w:r>
      <w:r w:rsidRPr="00771E6E">
        <w:t>. London: V&amp;A Publications, 2006.</w:t>
      </w:r>
    </w:p>
    <w:p w14:paraId="37A63565" w14:textId="77777777" w:rsidR="00F33779" w:rsidRPr="00771E6E" w:rsidRDefault="00F33779" w:rsidP="00F33779">
      <w:pPr>
        <w:pStyle w:val="Bibliography"/>
      </w:pPr>
      <w:r w:rsidRPr="00771E6E">
        <w:t xml:space="preserve">Alexandre-Bidon, </w:t>
      </w:r>
      <w:proofErr w:type="spellStart"/>
      <w:r w:rsidRPr="00771E6E">
        <w:t>Danièlle</w:t>
      </w:r>
      <w:proofErr w:type="spellEnd"/>
      <w:r w:rsidRPr="00771E6E">
        <w:t xml:space="preserve">. “A tavola! Les rudiments de </w:t>
      </w:r>
      <w:proofErr w:type="spellStart"/>
      <w:r w:rsidRPr="00771E6E">
        <w:t>l’éducation</w:t>
      </w:r>
      <w:proofErr w:type="spellEnd"/>
      <w:r w:rsidRPr="00771E6E">
        <w:t xml:space="preserve"> des enfants </w:t>
      </w:r>
      <w:proofErr w:type="spellStart"/>
      <w:r w:rsidRPr="00771E6E">
        <w:t>italiens</w:t>
      </w:r>
      <w:proofErr w:type="spellEnd"/>
      <w:r w:rsidRPr="00771E6E">
        <w:t xml:space="preserve"> à la fin du </w:t>
      </w:r>
      <w:proofErr w:type="spellStart"/>
      <w:r w:rsidRPr="00771E6E">
        <w:t>Moyen</w:t>
      </w:r>
      <w:proofErr w:type="spellEnd"/>
      <w:r w:rsidRPr="00771E6E">
        <w:t xml:space="preserve"> Age et au </w:t>
      </w:r>
      <w:proofErr w:type="spellStart"/>
      <w:r w:rsidRPr="00771E6E">
        <w:t>XVIe</w:t>
      </w:r>
      <w:proofErr w:type="spellEnd"/>
      <w:r w:rsidRPr="00771E6E">
        <w:t xml:space="preserve"> siècle.” </w:t>
      </w:r>
      <w:proofErr w:type="spellStart"/>
      <w:r w:rsidRPr="00771E6E">
        <w:rPr>
          <w:i/>
          <w:iCs/>
        </w:rPr>
        <w:t>Chroniques</w:t>
      </w:r>
      <w:proofErr w:type="spellEnd"/>
      <w:r w:rsidRPr="00771E6E">
        <w:rPr>
          <w:i/>
          <w:iCs/>
        </w:rPr>
        <w:t xml:space="preserve"> </w:t>
      </w:r>
      <w:proofErr w:type="spellStart"/>
      <w:r w:rsidRPr="00771E6E">
        <w:rPr>
          <w:i/>
          <w:iCs/>
        </w:rPr>
        <w:t>italiennes</w:t>
      </w:r>
      <w:proofErr w:type="spellEnd"/>
      <w:r w:rsidRPr="00771E6E">
        <w:t>, no. 22/23 (1990): 7–34.</w:t>
      </w:r>
    </w:p>
    <w:p w14:paraId="7E5B2E04" w14:textId="77777777" w:rsidR="00F33779" w:rsidRPr="00771E6E" w:rsidRDefault="00F33779" w:rsidP="00F33779">
      <w:pPr>
        <w:pStyle w:val="Bibliography"/>
      </w:pPr>
      <w:r w:rsidRPr="00771E6E">
        <w:t xml:space="preserve">Anderson, Caroline </w:t>
      </w:r>
      <w:proofErr w:type="spellStart"/>
      <w:r w:rsidRPr="00771E6E">
        <w:t>Corisande</w:t>
      </w:r>
      <w:proofErr w:type="spellEnd"/>
      <w:r w:rsidRPr="00771E6E">
        <w:t>. “The Material Culture of Domestic Religion in Early Modern Florence, c.1480 - c.1650.” PhD Diss., University of York, 2007.</w:t>
      </w:r>
    </w:p>
    <w:p w14:paraId="0B0156DA" w14:textId="77777777" w:rsidR="00F33779" w:rsidRPr="00771E6E" w:rsidRDefault="00F33779" w:rsidP="00F33779">
      <w:pPr>
        <w:pStyle w:val="Bibliography"/>
      </w:pPr>
      <w:r w:rsidRPr="00771E6E">
        <w:t xml:space="preserve">Anderson, </w:t>
      </w:r>
      <w:proofErr w:type="spellStart"/>
      <w:r w:rsidRPr="00771E6E">
        <w:t>Jaynie</w:t>
      </w:r>
      <w:proofErr w:type="spellEnd"/>
      <w:r w:rsidRPr="00771E6E">
        <w:t xml:space="preserve">. </w:t>
      </w:r>
      <w:r w:rsidRPr="00771E6E">
        <w:rPr>
          <w:i/>
          <w:iCs/>
        </w:rPr>
        <w:t>Giorgione: The Painter of “Poetic Brevity.”</w:t>
      </w:r>
      <w:r w:rsidRPr="00771E6E">
        <w:t xml:space="preserve"> Paris: Flammarion, 1997.</w:t>
      </w:r>
    </w:p>
    <w:p w14:paraId="4D6DA55D" w14:textId="77777777" w:rsidR="00F33779" w:rsidRPr="00771E6E" w:rsidRDefault="00F33779" w:rsidP="00F33779">
      <w:pPr>
        <w:pStyle w:val="Bibliography"/>
      </w:pPr>
      <w:proofErr w:type="spellStart"/>
      <w:r w:rsidRPr="00771E6E">
        <w:t>Aquarone</w:t>
      </w:r>
      <w:proofErr w:type="spellEnd"/>
      <w:r w:rsidRPr="00771E6E">
        <w:t xml:space="preserve">, Bartolommeo. </w:t>
      </w:r>
      <w:r w:rsidRPr="00771E6E">
        <w:rPr>
          <w:i/>
          <w:iCs/>
        </w:rPr>
        <w:t>Vita Di Fra Jeronimo Savonarola</w:t>
      </w:r>
      <w:r w:rsidRPr="00771E6E">
        <w:t xml:space="preserve">. Alessandria: </w:t>
      </w:r>
      <w:proofErr w:type="spellStart"/>
      <w:r w:rsidRPr="00771E6E">
        <w:t>Gazzotti</w:t>
      </w:r>
      <w:proofErr w:type="spellEnd"/>
      <w:r w:rsidRPr="00771E6E">
        <w:t xml:space="preserve"> e C., 1858.</w:t>
      </w:r>
    </w:p>
    <w:p w14:paraId="026DB529" w14:textId="77777777" w:rsidR="00F33779" w:rsidRPr="00771E6E" w:rsidRDefault="00F33779" w:rsidP="00F33779">
      <w:pPr>
        <w:pStyle w:val="Bibliography"/>
      </w:pPr>
      <w:proofErr w:type="spellStart"/>
      <w:r w:rsidRPr="00771E6E">
        <w:t>Arasse</w:t>
      </w:r>
      <w:proofErr w:type="spellEnd"/>
      <w:r w:rsidRPr="00771E6E">
        <w:t xml:space="preserve">, Daniel. “Entre </w:t>
      </w:r>
      <w:proofErr w:type="spellStart"/>
      <w:r w:rsidRPr="00771E6E">
        <w:t>dévotion</w:t>
      </w:r>
      <w:proofErr w:type="spellEnd"/>
      <w:r w:rsidRPr="00771E6E">
        <w:t xml:space="preserve"> et culture: </w:t>
      </w:r>
      <w:proofErr w:type="spellStart"/>
      <w:r w:rsidRPr="00771E6E">
        <w:t>fonctions</w:t>
      </w:r>
      <w:proofErr w:type="spellEnd"/>
      <w:r w:rsidRPr="00771E6E">
        <w:t xml:space="preserve"> de </w:t>
      </w:r>
      <w:proofErr w:type="spellStart"/>
      <w:r w:rsidRPr="00771E6E">
        <w:t>l’image</w:t>
      </w:r>
      <w:proofErr w:type="spellEnd"/>
      <w:r w:rsidRPr="00771E6E">
        <w:t xml:space="preserve"> religieuse au </w:t>
      </w:r>
      <w:proofErr w:type="spellStart"/>
      <w:r w:rsidRPr="00771E6E">
        <w:t>XVe</w:t>
      </w:r>
      <w:proofErr w:type="spellEnd"/>
      <w:r w:rsidRPr="00771E6E">
        <w:t xml:space="preserve"> Siècle.” In </w:t>
      </w:r>
      <w:r w:rsidRPr="00771E6E">
        <w:rPr>
          <w:i/>
          <w:iCs/>
        </w:rPr>
        <w:t xml:space="preserve">Faire </w:t>
      </w:r>
      <w:proofErr w:type="spellStart"/>
      <w:r w:rsidRPr="00771E6E">
        <w:rPr>
          <w:i/>
          <w:iCs/>
        </w:rPr>
        <w:t>croire</w:t>
      </w:r>
      <w:proofErr w:type="spellEnd"/>
      <w:r w:rsidRPr="00771E6E">
        <w:rPr>
          <w:i/>
          <w:iCs/>
        </w:rPr>
        <w:t xml:space="preserve">. </w:t>
      </w:r>
      <w:proofErr w:type="spellStart"/>
      <w:r w:rsidRPr="00771E6E">
        <w:rPr>
          <w:i/>
          <w:iCs/>
        </w:rPr>
        <w:t>Modalités</w:t>
      </w:r>
      <w:proofErr w:type="spellEnd"/>
      <w:r w:rsidRPr="00771E6E">
        <w:rPr>
          <w:i/>
          <w:iCs/>
        </w:rPr>
        <w:t xml:space="preserve"> de la diffusion et de la </w:t>
      </w:r>
      <w:proofErr w:type="spellStart"/>
      <w:r w:rsidRPr="00771E6E">
        <w:rPr>
          <w:i/>
          <w:iCs/>
        </w:rPr>
        <w:t>réception</w:t>
      </w:r>
      <w:proofErr w:type="spellEnd"/>
      <w:r w:rsidRPr="00771E6E">
        <w:rPr>
          <w:i/>
          <w:iCs/>
        </w:rPr>
        <w:t xml:space="preserve"> des messages religieux du </w:t>
      </w:r>
      <w:proofErr w:type="spellStart"/>
      <w:r w:rsidRPr="00771E6E">
        <w:rPr>
          <w:i/>
          <w:iCs/>
        </w:rPr>
        <w:t>XIIe</w:t>
      </w:r>
      <w:proofErr w:type="spellEnd"/>
      <w:r w:rsidRPr="00771E6E">
        <w:rPr>
          <w:i/>
          <w:iCs/>
        </w:rPr>
        <w:t xml:space="preserve"> au </w:t>
      </w:r>
      <w:proofErr w:type="spellStart"/>
      <w:r w:rsidRPr="00771E6E">
        <w:rPr>
          <w:i/>
          <w:iCs/>
        </w:rPr>
        <w:t>XVe</w:t>
      </w:r>
      <w:proofErr w:type="spellEnd"/>
      <w:r w:rsidRPr="00771E6E">
        <w:rPr>
          <w:i/>
          <w:iCs/>
        </w:rPr>
        <w:t xml:space="preserve"> siècle</w:t>
      </w:r>
      <w:r w:rsidRPr="00771E6E">
        <w:t xml:space="preserve">, 131–46. Rome: École </w:t>
      </w:r>
      <w:proofErr w:type="spellStart"/>
      <w:r w:rsidRPr="00771E6E">
        <w:t>Française</w:t>
      </w:r>
      <w:proofErr w:type="spellEnd"/>
      <w:r w:rsidRPr="00771E6E">
        <w:t xml:space="preserve"> de Rome, 1981.</w:t>
      </w:r>
    </w:p>
    <w:p w14:paraId="1D178461" w14:textId="31CC9D4A" w:rsidR="009E2935" w:rsidRPr="00771E6E" w:rsidRDefault="009E2935" w:rsidP="009E2935">
      <w:pPr>
        <w:pStyle w:val="Bibliography"/>
      </w:pPr>
      <w:proofErr w:type="spellStart"/>
      <w:r w:rsidRPr="00771E6E">
        <w:t>Areflord</w:t>
      </w:r>
      <w:proofErr w:type="spellEnd"/>
      <w:r w:rsidRPr="00771E6E">
        <w:t xml:space="preserve">, David S. </w:t>
      </w:r>
      <w:r w:rsidRPr="00771E6E">
        <w:rPr>
          <w:i/>
          <w:iCs/>
        </w:rPr>
        <w:t>The Viewer and the Printed Image in Late Medieval Europe</w:t>
      </w:r>
      <w:r w:rsidRPr="00771E6E">
        <w:t>. Farnham, England; Burlington, VT: Ashgate, 2010.</w:t>
      </w:r>
    </w:p>
    <w:p w14:paraId="2152D26B" w14:textId="5398A469" w:rsidR="001C640B" w:rsidRPr="00771E6E" w:rsidRDefault="00150825" w:rsidP="00F33779">
      <w:pPr>
        <w:pStyle w:val="Bibliography"/>
        <w:rPr>
          <w:lang w:val="en-US"/>
        </w:rPr>
      </w:pPr>
      <w:r w:rsidRPr="00771E6E">
        <w:rPr>
          <w:lang w:val="en-US"/>
        </w:rPr>
        <w:t>Baker, Nicholas Scott and Brian Jeffrey Maxson, eds.</w:t>
      </w:r>
      <w:r w:rsidR="001C640B" w:rsidRPr="00771E6E">
        <w:rPr>
          <w:lang w:val="en-US"/>
        </w:rPr>
        <w:t xml:space="preserve"> </w:t>
      </w:r>
      <w:r w:rsidRPr="00771E6E">
        <w:rPr>
          <w:i/>
          <w:iCs/>
          <w:lang w:val="en-US"/>
        </w:rPr>
        <w:t>After Civic Humanism: Learning and Politics in Renaissance Italy</w:t>
      </w:r>
      <w:r w:rsidR="001C640B" w:rsidRPr="00771E6E">
        <w:rPr>
          <w:lang w:val="en-US"/>
        </w:rPr>
        <w:t xml:space="preserve">. </w:t>
      </w:r>
      <w:r w:rsidRPr="00771E6E">
        <w:rPr>
          <w:lang w:val="en-US"/>
        </w:rPr>
        <w:t>Toronto: Centre for Reformation and Renaissance Studies, 2015</w:t>
      </w:r>
      <w:r w:rsidR="001C640B" w:rsidRPr="00771E6E">
        <w:rPr>
          <w:lang w:val="en-US"/>
        </w:rPr>
        <w:t>.</w:t>
      </w:r>
    </w:p>
    <w:p w14:paraId="45CB873D" w14:textId="0E8BB95D" w:rsidR="00F33779" w:rsidRPr="00771E6E" w:rsidRDefault="00F33779" w:rsidP="00F33779">
      <w:pPr>
        <w:pStyle w:val="Bibliography"/>
      </w:pPr>
      <w:proofErr w:type="spellStart"/>
      <w:r w:rsidRPr="00771E6E">
        <w:t>Baldissin</w:t>
      </w:r>
      <w:proofErr w:type="spellEnd"/>
      <w:r w:rsidRPr="00771E6E">
        <w:t xml:space="preserve"> </w:t>
      </w:r>
      <w:proofErr w:type="spellStart"/>
      <w:r w:rsidRPr="00771E6E">
        <w:t>Molli</w:t>
      </w:r>
      <w:proofErr w:type="spellEnd"/>
      <w:r w:rsidRPr="00771E6E">
        <w:t xml:space="preserve">, Giovanna, Cristina </w:t>
      </w:r>
      <w:proofErr w:type="spellStart"/>
      <w:r w:rsidRPr="00771E6E">
        <w:t>Guarnieri</w:t>
      </w:r>
      <w:proofErr w:type="spellEnd"/>
      <w:r w:rsidRPr="00771E6E">
        <w:t xml:space="preserve">, and Zuleika Murat, eds. </w:t>
      </w:r>
      <w:proofErr w:type="spellStart"/>
      <w:r w:rsidRPr="00771E6E">
        <w:rPr>
          <w:i/>
          <w:iCs/>
        </w:rPr>
        <w:t>Pregare</w:t>
      </w:r>
      <w:proofErr w:type="spellEnd"/>
      <w:r w:rsidRPr="00771E6E">
        <w:rPr>
          <w:i/>
          <w:iCs/>
        </w:rPr>
        <w:t xml:space="preserve"> in casa: </w:t>
      </w:r>
      <w:proofErr w:type="spellStart"/>
      <w:r w:rsidRPr="00771E6E">
        <w:rPr>
          <w:i/>
          <w:iCs/>
        </w:rPr>
        <w:t>oggetti</w:t>
      </w:r>
      <w:proofErr w:type="spellEnd"/>
      <w:r w:rsidRPr="00771E6E">
        <w:rPr>
          <w:i/>
          <w:iCs/>
        </w:rPr>
        <w:t xml:space="preserve"> e </w:t>
      </w:r>
      <w:proofErr w:type="spellStart"/>
      <w:r w:rsidRPr="00771E6E">
        <w:rPr>
          <w:i/>
          <w:iCs/>
        </w:rPr>
        <w:t>documenti</w:t>
      </w:r>
      <w:proofErr w:type="spellEnd"/>
      <w:r w:rsidRPr="00771E6E">
        <w:rPr>
          <w:i/>
          <w:iCs/>
        </w:rPr>
        <w:t xml:space="preserve"> </w:t>
      </w:r>
      <w:proofErr w:type="spellStart"/>
      <w:r w:rsidRPr="00771E6E">
        <w:rPr>
          <w:i/>
          <w:iCs/>
        </w:rPr>
        <w:t>della</w:t>
      </w:r>
      <w:proofErr w:type="spellEnd"/>
      <w:r w:rsidRPr="00771E6E">
        <w:rPr>
          <w:i/>
          <w:iCs/>
        </w:rPr>
        <w:t xml:space="preserve"> </w:t>
      </w:r>
      <w:proofErr w:type="spellStart"/>
      <w:r w:rsidRPr="00771E6E">
        <w:rPr>
          <w:i/>
          <w:iCs/>
        </w:rPr>
        <w:t>pratica</w:t>
      </w:r>
      <w:proofErr w:type="spellEnd"/>
      <w:r w:rsidRPr="00771E6E">
        <w:rPr>
          <w:i/>
          <w:iCs/>
        </w:rPr>
        <w:t xml:space="preserve"> religiosa </w:t>
      </w:r>
      <w:proofErr w:type="spellStart"/>
      <w:r w:rsidRPr="00771E6E">
        <w:rPr>
          <w:i/>
          <w:iCs/>
        </w:rPr>
        <w:t>tra</w:t>
      </w:r>
      <w:proofErr w:type="spellEnd"/>
      <w:r w:rsidRPr="00771E6E">
        <w:rPr>
          <w:i/>
          <w:iCs/>
        </w:rPr>
        <w:t xml:space="preserve"> </w:t>
      </w:r>
      <w:proofErr w:type="spellStart"/>
      <w:r w:rsidRPr="00771E6E">
        <w:rPr>
          <w:i/>
          <w:iCs/>
        </w:rPr>
        <w:t>Medioevo</w:t>
      </w:r>
      <w:proofErr w:type="spellEnd"/>
      <w:r w:rsidRPr="00771E6E">
        <w:rPr>
          <w:i/>
          <w:iCs/>
        </w:rPr>
        <w:t xml:space="preserve"> e </w:t>
      </w:r>
      <w:proofErr w:type="spellStart"/>
      <w:r w:rsidRPr="00771E6E">
        <w:rPr>
          <w:i/>
          <w:iCs/>
        </w:rPr>
        <w:t>Rinascimento</w:t>
      </w:r>
      <w:proofErr w:type="spellEnd"/>
      <w:r w:rsidRPr="00771E6E">
        <w:t xml:space="preserve">. Rome: </w:t>
      </w:r>
      <w:proofErr w:type="spellStart"/>
      <w:r w:rsidRPr="00771E6E">
        <w:t>Viella</w:t>
      </w:r>
      <w:proofErr w:type="spellEnd"/>
      <w:r w:rsidRPr="00771E6E">
        <w:t>, 2018.</w:t>
      </w:r>
    </w:p>
    <w:p w14:paraId="2C10027C" w14:textId="77777777" w:rsidR="00F33779" w:rsidRPr="00771E6E" w:rsidRDefault="00F33779" w:rsidP="00F33779">
      <w:pPr>
        <w:pStyle w:val="Bibliography"/>
      </w:pPr>
      <w:r w:rsidRPr="00771E6E">
        <w:lastRenderedPageBreak/>
        <w:t xml:space="preserve">Bank, </w:t>
      </w:r>
      <w:proofErr w:type="spellStart"/>
      <w:r w:rsidRPr="00771E6E">
        <w:t>Joannes</w:t>
      </w:r>
      <w:proofErr w:type="spellEnd"/>
      <w:r w:rsidRPr="00771E6E">
        <w:t xml:space="preserve"> Antonius. </w:t>
      </w:r>
      <w:r w:rsidRPr="00771E6E">
        <w:rPr>
          <w:i/>
          <w:iCs/>
        </w:rPr>
        <w:t>Tactus, Tempo and Notation in Mensural Music from the 13th to the 17th Century</w:t>
      </w:r>
      <w:r w:rsidRPr="00771E6E">
        <w:t>. Amsterdam: Annie Bank, 1972.</w:t>
      </w:r>
    </w:p>
    <w:p w14:paraId="7D3C18EC" w14:textId="77777777" w:rsidR="00F33779" w:rsidRPr="00771E6E" w:rsidRDefault="00F33779" w:rsidP="00F33779">
      <w:pPr>
        <w:pStyle w:val="Bibliography"/>
      </w:pPr>
      <w:r w:rsidRPr="00771E6E">
        <w:t xml:space="preserve">Banker, James R. </w:t>
      </w:r>
      <w:r w:rsidRPr="00771E6E">
        <w:rPr>
          <w:i/>
          <w:iCs/>
        </w:rPr>
        <w:t>Piero Della Francesca: Artist and Man</w:t>
      </w:r>
      <w:r w:rsidRPr="00771E6E">
        <w:t>. Oxford: Oxford University Press, 2014.</w:t>
      </w:r>
    </w:p>
    <w:p w14:paraId="059519B0" w14:textId="77777777" w:rsidR="00F33779" w:rsidRPr="00771E6E" w:rsidRDefault="00F33779" w:rsidP="00F33779">
      <w:pPr>
        <w:pStyle w:val="Bibliography"/>
      </w:pPr>
      <w:proofErr w:type="spellStart"/>
      <w:r w:rsidRPr="00771E6E">
        <w:t>Barberino</w:t>
      </w:r>
      <w:proofErr w:type="spellEnd"/>
      <w:r w:rsidRPr="00771E6E">
        <w:t xml:space="preserve">, Francesco da. </w:t>
      </w:r>
      <w:proofErr w:type="spellStart"/>
      <w:r w:rsidRPr="00771E6E">
        <w:rPr>
          <w:i/>
          <w:iCs/>
        </w:rPr>
        <w:t>Reggimento</w:t>
      </w:r>
      <w:proofErr w:type="spellEnd"/>
      <w:r w:rsidRPr="00771E6E">
        <w:rPr>
          <w:i/>
          <w:iCs/>
        </w:rPr>
        <w:t xml:space="preserve"> e </w:t>
      </w:r>
      <w:proofErr w:type="spellStart"/>
      <w:r w:rsidRPr="00771E6E">
        <w:rPr>
          <w:i/>
          <w:iCs/>
        </w:rPr>
        <w:t>costumi</w:t>
      </w:r>
      <w:proofErr w:type="spellEnd"/>
      <w:r w:rsidRPr="00771E6E">
        <w:rPr>
          <w:i/>
          <w:iCs/>
        </w:rPr>
        <w:t xml:space="preserve"> di donna</w:t>
      </w:r>
      <w:r w:rsidRPr="00771E6E">
        <w:t xml:space="preserve">. Edited by Carlo </w:t>
      </w:r>
      <w:proofErr w:type="spellStart"/>
      <w:r w:rsidRPr="00771E6E">
        <w:t>Baudi</w:t>
      </w:r>
      <w:proofErr w:type="spellEnd"/>
      <w:r w:rsidRPr="00771E6E">
        <w:t xml:space="preserve"> di </w:t>
      </w:r>
      <w:proofErr w:type="spellStart"/>
      <w:r w:rsidRPr="00771E6E">
        <w:t>Vesme</w:t>
      </w:r>
      <w:proofErr w:type="spellEnd"/>
      <w:r w:rsidRPr="00771E6E">
        <w:t xml:space="preserve">. Bologna: </w:t>
      </w:r>
      <w:proofErr w:type="spellStart"/>
      <w:r w:rsidRPr="00771E6E">
        <w:t>Romagnoli</w:t>
      </w:r>
      <w:proofErr w:type="spellEnd"/>
      <w:r w:rsidRPr="00771E6E">
        <w:t>, 1875.</w:t>
      </w:r>
    </w:p>
    <w:p w14:paraId="44072378" w14:textId="77777777" w:rsidR="00F33779" w:rsidRPr="00771E6E" w:rsidRDefault="00F33779" w:rsidP="00F33779">
      <w:pPr>
        <w:pStyle w:val="Bibliography"/>
      </w:pPr>
      <w:r w:rsidRPr="00771E6E">
        <w:t xml:space="preserve">Barbour, Daphne, and Roberta J. M. Olson. “New Methods for Studying Serialization in the Workshop of Andrea Della Robbia: Technical Study and Analysis.” In </w:t>
      </w:r>
      <w:r w:rsidRPr="00771E6E">
        <w:rPr>
          <w:i/>
          <w:iCs/>
        </w:rPr>
        <w:t xml:space="preserve">Della Robbia: </w:t>
      </w:r>
      <w:proofErr w:type="spellStart"/>
      <w:r w:rsidRPr="00771E6E">
        <w:rPr>
          <w:i/>
          <w:iCs/>
        </w:rPr>
        <w:t>Dieci</w:t>
      </w:r>
      <w:proofErr w:type="spellEnd"/>
      <w:r w:rsidRPr="00771E6E">
        <w:rPr>
          <w:i/>
          <w:iCs/>
        </w:rPr>
        <w:t xml:space="preserve"> Anni Di </w:t>
      </w:r>
      <w:proofErr w:type="spellStart"/>
      <w:r w:rsidRPr="00771E6E">
        <w:rPr>
          <w:i/>
          <w:iCs/>
        </w:rPr>
        <w:t>Studi</w:t>
      </w:r>
      <w:proofErr w:type="spellEnd"/>
      <w:r w:rsidRPr="00771E6E">
        <w:rPr>
          <w:i/>
          <w:iCs/>
        </w:rPr>
        <w:t xml:space="preserve"> - Dix Ans </w:t>
      </w:r>
      <w:proofErr w:type="spellStart"/>
      <w:r w:rsidRPr="00771E6E">
        <w:rPr>
          <w:i/>
          <w:iCs/>
        </w:rPr>
        <w:t>d’études</w:t>
      </w:r>
      <w:proofErr w:type="spellEnd"/>
      <w:r w:rsidRPr="00771E6E">
        <w:t xml:space="preserve">, edited by Anne </w:t>
      </w:r>
      <w:proofErr w:type="spellStart"/>
      <w:r w:rsidRPr="00771E6E">
        <w:t>Bouquillon</w:t>
      </w:r>
      <w:proofErr w:type="spellEnd"/>
      <w:r w:rsidRPr="00771E6E">
        <w:t xml:space="preserve">, Marc </w:t>
      </w:r>
      <w:proofErr w:type="spellStart"/>
      <w:r w:rsidRPr="00771E6E">
        <w:t>Bormand</w:t>
      </w:r>
      <w:proofErr w:type="spellEnd"/>
      <w:r w:rsidRPr="00771E6E">
        <w:t xml:space="preserve">, and Alessandro </w:t>
      </w:r>
      <w:proofErr w:type="spellStart"/>
      <w:r w:rsidRPr="00771E6E">
        <w:t>Zucchiatti</w:t>
      </w:r>
      <w:proofErr w:type="spellEnd"/>
      <w:r w:rsidRPr="00771E6E">
        <w:t xml:space="preserve">. Genova: </w:t>
      </w:r>
      <w:proofErr w:type="spellStart"/>
      <w:r w:rsidRPr="00771E6E">
        <w:t>Sagep</w:t>
      </w:r>
      <w:proofErr w:type="spellEnd"/>
      <w:r w:rsidRPr="00771E6E">
        <w:t xml:space="preserve"> </w:t>
      </w:r>
      <w:proofErr w:type="spellStart"/>
      <w:r w:rsidRPr="00771E6E">
        <w:t>Editori</w:t>
      </w:r>
      <w:proofErr w:type="spellEnd"/>
      <w:r w:rsidRPr="00771E6E">
        <w:t>, 2011.</w:t>
      </w:r>
    </w:p>
    <w:p w14:paraId="60E884B7" w14:textId="77777777" w:rsidR="00F33779" w:rsidRPr="00771E6E" w:rsidRDefault="00F33779" w:rsidP="00F33779">
      <w:pPr>
        <w:pStyle w:val="Bibliography"/>
      </w:pPr>
      <w:r w:rsidRPr="00771E6E">
        <w:t xml:space="preserve">Baron, Hans. </w:t>
      </w:r>
      <w:r w:rsidRPr="00771E6E">
        <w:rPr>
          <w:i/>
          <w:iCs/>
        </w:rPr>
        <w:t>The Crisis of the Early Italian Renaissance. Civic Humanism and Republican Liberty in an Age of Classicism and Tyranny</w:t>
      </w:r>
      <w:r w:rsidRPr="00771E6E">
        <w:t xml:space="preserve">. Princeton, NJ: </w:t>
      </w:r>
      <w:proofErr w:type="spellStart"/>
      <w:r w:rsidRPr="00771E6E">
        <w:t>Pricenton</w:t>
      </w:r>
      <w:proofErr w:type="spellEnd"/>
      <w:r w:rsidRPr="00771E6E">
        <w:t xml:space="preserve"> University Press, 1955.</w:t>
      </w:r>
    </w:p>
    <w:p w14:paraId="53383D51" w14:textId="77777777" w:rsidR="00F33779" w:rsidRPr="00771E6E" w:rsidRDefault="00F33779" w:rsidP="00F33779">
      <w:pPr>
        <w:pStyle w:val="Bibliography"/>
      </w:pPr>
      <w:r w:rsidRPr="00771E6E">
        <w:t xml:space="preserve">Barr, </w:t>
      </w:r>
      <w:proofErr w:type="spellStart"/>
      <w:r w:rsidRPr="00771E6E">
        <w:t>Cyrilla</w:t>
      </w:r>
      <w:proofErr w:type="spellEnd"/>
      <w:r w:rsidRPr="00771E6E">
        <w:t xml:space="preserve">. “Music and Spectacle in Confraternity Drama of Fifteenth-Century Florence: The Reconstruction of a Theatrical Event.” In </w:t>
      </w:r>
      <w:r w:rsidRPr="00771E6E">
        <w:rPr>
          <w:i/>
          <w:iCs/>
        </w:rPr>
        <w:t>Christianity and the Renaissance: Image and Religious Imagination in the Quattrocento</w:t>
      </w:r>
      <w:r w:rsidRPr="00771E6E">
        <w:t>, edited by John Henderson and Timothy Verdon, 376–404. Syracuse, New York: Syracuse University Press, 1990.</w:t>
      </w:r>
    </w:p>
    <w:p w14:paraId="2F95284A" w14:textId="77777777" w:rsidR="00F33779" w:rsidRPr="00771E6E" w:rsidRDefault="00F33779" w:rsidP="00F33779">
      <w:pPr>
        <w:pStyle w:val="Bibliography"/>
      </w:pPr>
      <w:r w:rsidRPr="00771E6E">
        <w:t xml:space="preserve">Battista, Giuseppina. </w:t>
      </w:r>
      <w:proofErr w:type="spellStart"/>
      <w:r w:rsidRPr="00771E6E">
        <w:rPr>
          <w:i/>
          <w:iCs/>
        </w:rPr>
        <w:t>L’educazione</w:t>
      </w:r>
      <w:proofErr w:type="spellEnd"/>
      <w:r w:rsidRPr="00771E6E">
        <w:rPr>
          <w:i/>
          <w:iCs/>
        </w:rPr>
        <w:t xml:space="preserve"> </w:t>
      </w:r>
      <w:proofErr w:type="spellStart"/>
      <w:r w:rsidRPr="00771E6E">
        <w:rPr>
          <w:i/>
          <w:iCs/>
        </w:rPr>
        <w:t>dei</w:t>
      </w:r>
      <w:proofErr w:type="spellEnd"/>
      <w:r w:rsidRPr="00771E6E">
        <w:rPr>
          <w:i/>
          <w:iCs/>
        </w:rPr>
        <w:t xml:space="preserve"> </w:t>
      </w:r>
      <w:proofErr w:type="spellStart"/>
      <w:r w:rsidRPr="00771E6E">
        <w:rPr>
          <w:i/>
          <w:iCs/>
        </w:rPr>
        <w:t>figli</w:t>
      </w:r>
      <w:proofErr w:type="spellEnd"/>
      <w:r w:rsidRPr="00771E6E">
        <w:rPr>
          <w:i/>
          <w:iCs/>
        </w:rPr>
        <w:t xml:space="preserve"> </w:t>
      </w:r>
      <w:proofErr w:type="spellStart"/>
      <w:r w:rsidRPr="00771E6E">
        <w:rPr>
          <w:i/>
          <w:iCs/>
        </w:rPr>
        <w:t>nella</w:t>
      </w:r>
      <w:proofErr w:type="spellEnd"/>
      <w:r w:rsidRPr="00771E6E">
        <w:rPr>
          <w:i/>
          <w:iCs/>
        </w:rPr>
        <w:t xml:space="preserve"> </w:t>
      </w:r>
      <w:proofErr w:type="spellStart"/>
      <w:r w:rsidRPr="00771E6E">
        <w:rPr>
          <w:i/>
          <w:iCs/>
        </w:rPr>
        <w:t>regola</w:t>
      </w:r>
      <w:proofErr w:type="spellEnd"/>
      <w:r w:rsidRPr="00771E6E">
        <w:rPr>
          <w:i/>
          <w:iCs/>
        </w:rPr>
        <w:t xml:space="preserve"> di Giovanni </w:t>
      </w:r>
      <w:proofErr w:type="spellStart"/>
      <w:r w:rsidRPr="00771E6E">
        <w:rPr>
          <w:i/>
          <w:iCs/>
        </w:rPr>
        <w:t>Dominici</w:t>
      </w:r>
      <w:proofErr w:type="spellEnd"/>
      <w:r w:rsidRPr="00771E6E">
        <w:t xml:space="preserve">. Florence: </w:t>
      </w:r>
      <w:proofErr w:type="spellStart"/>
      <w:r w:rsidRPr="00771E6E">
        <w:t>Pagnini</w:t>
      </w:r>
      <w:proofErr w:type="spellEnd"/>
      <w:r w:rsidRPr="00771E6E">
        <w:t xml:space="preserve"> and Martinelli, 2002.</w:t>
      </w:r>
    </w:p>
    <w:p w14:paraId="08376CE3" w14:textId="77777777" w:rsidR="00F33779" w:rsidRPr="00771E6E" w:rsidRDefault="00F33779" w:rsidP="00F33779">
      <w:pPr>
        <w:pStyle w:val="Bibliography"/>
      </w:pPr>
      <w:r w:rsidRPr="00771E6E">
        <w:t xml:space="preserve">Baxandall, Michael. </w:t>
      </w:r>
      <w:r w:rsidRPr="00771E6E">
        <w:rPr>
          <w:i/>
          <w:iCs/>
        </w:rPr>
        <w:t>Painting and Experience in Fifteenth-Century Italy. A Primer in the Social History of Pictorial Style</w:t>
      </w:r>
      <w:r w:rsidRPr="00771E6E">
        <w:t>. Oxford: Oxford University Press, 1972.</w:t>
      </w:r>
    </w:p>
    <w:p w14:paraId="5158F750" w14:textId="77777777" w:rsidR="00F33779" w:rsidRPr="00771E6E" w:rsidRDefault="00F33779" w:rsidP="00F33779">
      <w:pPr>
        <w:pStyle w:val="Bibliography"/>
      </w:pPr>
      <w:proofErr w:type="spellStart"/>
      <w:r w:rsidRPr="00771E6E">
        <w:t>Bejczy</w:t>
      </w:r>
      <w:proofErr w:type="spellEnd"/>
      <w:r w:rsidRPr="00771E6E">
        <w:t xml:space="preserve">, </w:t>
      </w:r>
      <w:proofErr w:type="spellStart"/>
      <w:r w:rsidRPr="00771E6E">
        <w:t>István</w:t>
      </w:r>
      <w:proofErr w:type="spellEnd"/>
      <w:r w:rsidRPr="00771E6E">
        <w:t xml:space="preserve"> Pieter, and Cary J </w:t>
      </w:r>
      <w:proofErr w:type="spellStart"/>
      <w:r w:rsidRPr="00771E6E">
        <w:t>Nederman</w:t>
      </w:r>
      <w:proofErr w:type="spellEnd"/>
      <w:r w:rsidRPr="00771E6E">
        <w:t xml:space="preserve">. </w:t>
      </w:r>
      <w:r w:rsidRPr="00771E6E">
        <w:rPr>
          <w:i/>
          <w:iCs/>
        </w:rPr>
        <w:t>Princely Virtues in the Middle Ages, 1200-1500</w:t>
      </w:r>
      <w:r w:rsidRPr="00771E6E">
        <w:t xml:space="preserve">. Edited by </w:t>
      </w:r>
      <w:proofErr w:type="spellStart"/>
      <w:r w:rsidRPr="00771E6E">
        <w:t>István</w:t>
      </w:r>
      <w:proofErr w:type="spellEnd"/>
      <w:r w:rsidRPr="00771E6E">
        <w:t xml:space="preserve"> Pieter </w:t>
      </w:r>
      <w:proofErr w:type="spellStart"/>
      <w:r w:rsidRPr="00771E6E">
        <w:t>Bejczy</w:t>
      </w:r>
      <w:proofErr w:type="spellEnd"/>
      <w:r w:rsidRPr="00771E6E">
        <w:t xml:space="preserve"> and Cary J </w:t>
      </w:r>
      <w:proofErr w:type="spellStart"/>
      <w:r w:rsidRPr="00771E6E">
        <w:t>Nederman</w:t>
      </w:r>
      <w:proofErr w:type="spellEnd"/>
      <w:r w:rsidRPr="00771E6E">
        <w:t xml:space="preserve">. Turnhout: </w:t>
      </w:r>
      <w:proofErr w:type="spellStart"/>
      <w:r w:rsidRPr="00771E6E">
        <w:t>Brepols</w:t>
      </w:r>
      <w:proofErr w:type="spellEnd"/>
      <w:r w:rsidRPr="00771E6E">
        <w:t>, 2007.</w:t>
      </w:r>
    </w:p>
    <w:p w14:paraId="7AC48E2D" w14:textId="3A166ADB" w:rsidR="005C0C5B" w:rsidRPr="00771E6E" w:rsidRDefault="005C0C5B" w:rsidP="005C0C5B">
      <w:pPr>
        <w:pStyle w:val="Bibliography"/>
      </w:pPr>
      <w:r w:rsidRPr="00771E6E">
        <w:t xml:space="preserve">Bell, Rudolph M. </w:t>
      </w:r>
      <w:r w:rsidRPr="00771E6E">
        <w:rPr>
          <w:i/>
          <w:iCs/>
        </w:rPr>
        <w:t>How to do it. Guides to good living for Renaissance Italians</w:t>
      </w:r>
      <w:r w:rsidR="001C640B" w:rsidRPr="00771E6E">
        <w:t xml:space="preserve">. </w:t>
      </w:r>
      <w:r w:rsidRPr="00771E6E">
        <w:t>Chicago and London: The University of Chicago Press, 1999.</w:t>
      </w:r>
    </w:p>
    <w:p w14:paraId="5D149067" w14:textId="7745A823" w:rsidR="00F33779" w:rsidRPr="00771E6E" w:rsidRDefault="00F33779" w:rsidP="00F33779">
      <w:pPr>
        <w:pStyle w:val="Bibliography"/>
      </w:pPr>
      <w:proofErr w:type="spellStart"/>
      <w:r w:rsidRPr="00771E6E">
        <w:t>Berefelt</w:t>
      </w:r>
      <w:proofErr w:type="spellEnd"/>
      <w:r w:rsidRPr="00771E6E">
        <w:t xml:space="preserve">, Gunnar. </w:t>
      </w:r>
      <w:r w:rsidRPr="00771E6E">
        <w:rPr>
          <w:i/>
          <w:iCs/>
        </w:rPr>
        <w:t>A Study on the Winged Angel: The Origin of a Motif.</w:t>
      </w:r>
      <w:r w:rsidRPr="00771E6E">
        <w:t xml:space="preserve"> Translated by Patrick Hort. Stockholm: Almqvist &amp; </w:t>
      </w:r>
      <w:proofErr w:type="spellStart"/>
      <w:r w:rsidRPr="00771E6E">
        <w:t>Wiksell</w:t>
      </w:r>
      <w:proofErr w:type="spellEnd"/>
      <w:r w:rsidRPr="00771E6E">
        <w:t>, 1968.</w:t>
      </w:r>
    </w:p>
    <w:p w14:paraId="78F49F2C" w14:textId="77777777" w:rsidR="00F33779" w:rsidRPr="00771E6E" w:rsidRDefault="00F33779" w:rsidP="00F33779">
      <w:pPr>
        <w:pStyle w:val="Bibliography"/>
      </w:pPr>
      <w:proofErr w:type="spellStart"/>
      <w:r w:rsidRPr="00771E6E">
        <w:t>Berti</w:t>
      </w:r>
      <w:proofErr w:type="spellEnd"/>
      <w:r w:rsidRPr="00771E6E">
        <w:t xml:space="preserve">, Luciano, and Umberto </w:t>
      </w:r>
      <w:proofErr w:type="spellStart"/>
      <w:r w:rsidRPr="00771E6E">
        <w:t>Baldini</w:t>
      </w:r>
      <w:proofErr w:type="spellEnd"/>
      <w:r w:rsidRPr="00771E6E">
        <w:t xml:space="preserve">. </w:t>
      </w:r>
      <w:r w:rsidRPr="00771E6E">
        <w:rPr>
          <w:i/>
          <w:iCs/>
        </w:rPr>
        <w:t>Filippino Lippi</w:t>
      </w:r>
      <w:r w:rsidRPr="00771E6E">
        <w:t xml:space="preserve">. Firenze: Ed. </w:t>
      </w:r>
      <w:proofErr w:type="spellStart"/>
      <w:r w:rsidRPr="00771E6E">
        <w:t>d’Arte</w:t>
      </w:r>
      <w:proofErr w:type="spellEnd"/>
      <w:r w:rsidRPr="00771E6E">
        <w:t xml:space="preserve"> </w:t>
      </w:r>
      <w:proofErr w:type="spellStart"/>
      <w:r w:rsidRPr="00771E6E">
        <w:t>il</w:t>
      </w:r>
      <w:proofErr w:type="spellEnd"/>
      <w:r w:rsidRPr="00771E6E">
        <w:t xml:space="preserve"> Fiorino, 1991.</w:t>
      </w:r>
    </w:p>
    <w:p w14:paraId="5B8B606E" w14:textId="77777777" w:rsidR="00F33779" w:rsidRPr="00771E6E" w:rsidRDefault="00F33779" w:rsidP="00F33779">
      <w:pPr>
        <w:pStyle w:val="Bibliography"/>
      </w:pPr>
      <w:r w:rsidRPr="00771E6E">
        <w:t xml:space="preserve">Bianchi, Luca. “Renaissance Readings of the Nicomachean Ethics.” In </w:t>
      </w:r>
      <w:r w:rsidRPr="00771E6E">
        <w:rPr>
          <w:i/>
          <w:iCs/>
        </w:rPr>
        <w:t>Rethinking Virtue, Reforming Society. New Directions in Renaissance Ethics, c.1350-c.1650</w:t>
      </w:r>
      <w:r w:rsidRPr="00771E6E">
        <w:t xml:space="preserve">, 131–67. Turnhout: </w:t>
      </w:r>
      <w:proofErr w:type="spellStart"/>
      <w:r w:rsidRPr="00771E6E">
        <w:t>Brepols</w:t>
      </w:r>
      <w:proofErr w:type="spellEnd"/>
      <w:r w:rsidRPr="00771E6E">
        <w:t>, 2013.</w:t>
      </w:r>
    </w:p>
    <w:p w14:paraId="0CFF4923" w14:textId="77777777" w:rsidR="00F33779" w:rsidRPr="00771E6E" w:rsidRDefault="00F33779" w:rsidP="00F33779">
      <w:pPr>
        <w:pStyle w:val="Bibliography"/>
      </w:pPr>
      <w:proofErr w:type="spellStart"/>
      <w:r w:rsidRPr="00771E6E">
        <w:t>Biernoff</w:t>
      </w:r>
      <w:proofErr w:type="spellEnd"/>
      <w:r w:rsidRPr="00771E6E">
        <w:t xml:space="preserve">, Suzannah. </w:t>
      </w:r>
      <w:r w:rsidRPr="00771E6E">
        <w:rPr>
          <w:i/>
          <w:iCs/>
        </w:rPr>
        <w:t>Sight and Embodiment in the Middle Ages</w:t>
      </w:r>
      <w:r w:rsidRPr="00771E6E">
        <w:t>. Basingstoke: Palgrave, 2002.</w:t>
      </w:r>
    </w:p>
    <w:p w14:paraId="38A569C7" w14:textId="77777777" w:rsidR="00F33779" w:rsidRPr="00771E6E" w:rsidRDefault="00F33779" w:rsidP="00F33779">
      <w:pPr>
        <w:pStyle w:val="Bibliography"/>
      </w:pPr>
      <w:proofErr w:type="spellStart"/>
      <w:r w:rsidRPr="00771E6E">
        <w:t>Blachly</w:t>
      </w:r>
      <w:proofErr w:type="spellEnd"/>
      <w:r w:rsidRPr="00771E6E">
        <w:t>, Alexander. “</w:t>
      </w:r>
      <w:r w:rsidRPr="00771E6E">
        <w:rPr>
          <w:i/>
          <w:iCs/>
        </w:rPr>
        <w:t>Mensura</w:t>
      </w:r>
      <w:r w:rsidRPr="00771E6E">
        <w:t xml:space="preserve"> versus </w:t>
      </w:r>
      <w:r w:rsidRPr="00771E6E">
        <w:rPr>
          <w:i/>
          <w:iCs/>
        </w:rPr>
        <w:t>Tactus</w:t>
      </w:r>
      <w:r w:rsidRPr="00771E6E">
        <w:t xml:space="preserve">.” </w:t>
      </w:r>
      <w:proofErr w:type="spellStart"/>
      <w:r w:rsidRPr="00771E6E">
        <w:rPr>
          <w:i/>
          <w:iCs/>
        </w:rPr>
        <w:t>Quellen</w:t>
      </w:r>
      <w:proofErr w:type="spellEnd"/>
      <w:r w:rsidRPr="00771E6E">
        <w:rPr>
          <w:i/>
          <w:iCs/>
        </w:rPr>
        <w:t xml:space="preserve"> Und </w:t>
      </w:r>
      <w:proofErr w:type="spellStart"/>
      <w:r w:rsidRPr="00771E6E">
        <w:rPr>
          <w:i/>
          <w:iCs/>
        </w:rPr>
        <w:t>Studien</w:t>
      </w:r>
      <w:proofErr w:type="spellEnd"/>
      <w:r w:rsidRPr="00771E6E">
        <w:rPr>
          <w:i/>
          <w:iCs/>
        </w:rPr>
        <w:t xml:space="preserve"> </w:t>
      </w:r>
      <w:proofErr w:type="spellStart"/>
      <w:r w:rsidRPr="00771E6E">
        <w:rPr>
          <w:i/>
          <w:iCs/>
        </w:rPr>
        <w:t>Zur</w:t>
      </w:r>
      <w:proofErr w:type="spellEnd"/>
      <w:r w:rsidRPr="00771E6E">
        <w:rPr>
          <w:i/>
          <w:iCs/>
        </w:rPr>
        <w:t xml:space="preserve"> </w:t>
      </w:r>
      <w:proofErr w:type="spellStart"/>
      <w:r w:rsidRPr="00771E6E">
        <w:rPr>
          <w:i/>
          <w:iCs/>
        </w:rPr>
        <w:t>Musiktheorie</w:t>
      </w:r>
      <w:proofErr w:type="spellEnd"/>
      <w:r w:rsidRPr="00771E6E">
        <w:rPr>
          <w:i/>
          <w:iCs/>
        </w:rPr>
        <w:t xml:space="preserve"> </w:t>
      </w:r>
      <w:proofErr w:type="gramStart"/>
      <w:r w:rsidRPr="00771E6E">
        <w:rPr>
          <w:i/>
          <w:iCs/>
        </w:rPr>
        <w:t>Des</w:t>
      </w:r>
      <w:proofErr w:type="gramEnd"/>
      <w:r w:rsidRPr="00771E6E">
        <w:rPr>
          <w:i/>
          <w:iCs/>
        </w:rPr>
        <w:t xml:space="preserve"> </w:t>
      </w:r>
      <w:proofErr w:type="spellStart"/>
      <w:r w:rsidRPr="00771E6E">
        <w:rPr>
          <w:i/>
          <w:iCs/>
        </w:rPr>
        <w:t>Mittelalters</w:t>
      </w:r>
      <w:proofErr w:type="spellEnd"/>
      <w:r w:rsidRPr="00771E6E">
        <w:t xml:space="preserve"> 3 (2001): 425–67.</w:t>
      </w:r>
    </w:p>
    <w:p w14:paraId="3CD7DB9F" w14:textId="77777777" w:rsidR="00F33779" w:rsidRPr="00771E6E" w:rsidRDefault="00F33779" w:rsidP="00F33779">
      <w:pPr>
        <w:pStyle w:val="Bibliography"/>
      </w:pPr>
      <w:r w:rsidRPr="00771E6E">
        <w:t xml:space="preserve">Black, Robert. “École et Société à Florence Aux </w:t>
      </w:r>
      <w:proofErr w:type="spellStart"/>
      <w:r w:rsidRPr="00771E6E">
        <w:t>XIVe</w:t>
      </w:r>
      <w:proofErr w:type="spellEnd"/>
      <w:r w:rsidRPr="00771E6E">
        <w:t xml:space="preserve"> et </w:t>
      </w:r>
      <w:proofErr w:type="spellStart"/>
      <w:r w:rsidRPr="00771E6E">
        <w:t>XVe</w:t>
      </w:r>
      <w:proofErr w:type="spellEnd"/>
      <w:r w:rsidRPr="00771E6E">
        <w:t xml:space="preserve"> Siècles: Le </w:t>
      </w:r>
      <w:proofErr w:type="spellStart"/>
      <w:r w:rsidRPr="00771E6E">
        <w:t>Témoignage</w:t>
      </w:r>
      <w:proofErr w:type="spellEnd"/>
      <w:r w:rsidRPr="00771E6E">
        <w:t xml:space="preserve"> </w:t>
      </w:r>
      <w:proofErr w:type="gramStart"/>
      <w:r w:rsidRPr="00771E6E">
        <w:t>Des</w:t>
      </w:r>
      <w:proofErr w:type="gramEnd"/>
      <w:r w:rsidRPr="00771E6E">
        <w:t xml:space="preserve"> </w:t>
      </w:r>
      <w:proofErr w:type="spellStart"/>
      <w:r w:rsidRPr="00771E6E">
        <w:t>Ricordanze</w:t>
      </w:r>
      <w:proofErr w:type="spellEnd"/>
      <w:r w:rsidRPr="00771E6E">
        <w:t xml:space="preserve">.” Translated by </w:t>
      </w:r>
      <w:proofErr w:type="spellStart"/>
      <w:r w:rsidRPr="00771E6E">
        <w:t>Aurélien</w:t>
      </w:r>
      <w:proofErr w:type="spellEnd"/>
      <w:r w:rsidRPr="00771E6E">
        <w:t xml:space="preserve"> Berra. </w:t>
      </w:r>
      <w:r w:rsidRPr="00771E6E">
        <w:rPr>
          <w:i/>
          <w:iCs/>
        </w:rPr>
        <w:t xml:space="preserve">Annales. </w:t>
      </w:r>
      <w:proofErr w:type="spellStart"/>
      <w:r w:rsidRPr="00771E6E">
        <w:rPr>
          <w:i/>
          <w:iCs/>
        </w:rPr>
        <w:t>Histoire</w:t>
      </w:r>
      <w:proofErr w:type="spellEnd"/>
      <w:r w:rsidRPr="00771E6E">
        <w:rPr>
          <w:i/>
          <w:iCs/>
        </w:rPr>
        <w:t xml:space="preserve">, Sciences </w:t>
      </w:r>
      <w:proofErr w:type="spellStart"/>
      <w:r w:rsidRPr="00771E6E">
        <w:rPr>
          <w:i/>
          <w:iCs/>
        </w:rPr>
        <w:t>Sociales</w:t>
      </w:r>
      <w:proofErr w:type="spellEnd"/>
      <w:r w:rsidRPr="00771E6E">
        <w:t>, no. 59.4 (August 2004): 827–46.</w:t>
      </w:r>
    </w:p>
    <w:p w14:paraId="401144EB" w14:textId="77777777" w:rsidR="00F33779" w:rsidRPr="00771E6E" w:rsidRDefault="00F33779" w:rsidP="00F33779">
      <w:pPr>
        <w:pStyle w:val="Bibliography"/>
      </w:pPr>
      <w:r w:rsidRPr="00771E6E">
        <w:t xml:space="preserve">———. </w:t>
      </w:r>
      <w:r w:rsidRPr="00771E6E">
        <w:rPr>
          <w:i/>
          <w:iCs/>
        </w:rPr>
        <w:t>Education and Society in Florentine Tuscany. Teachers, Pupils and Schools, c.1250-1500</w:t>
      </w:r>
      <w:r w:rsidRPr="00771E6E">
        <w:t>. Leiden and Boston: Brill, 2007.</w:t>
      </w:r>
    </w:p>
    <w:p w14:paraId="718DC342" w14:textId="77777777" w:rsidR="00F33779" w:rsidRPr="00771E6E" w:rsidRDefault="00F33779" w:rsidP="00F33779">
      <w:pPr>
        <w:pStyle w:val="Bibliography"/>
      </w:pPr>
      <w:r w:rsidRPr="00771E6E">
        <w:t xml:space="preserve">———. </w:t>
      </w:r>
      <w:r w:rsidRPr="00771E6E">
        <w:rPr>
          <w:i/>
          <w:iCs/>
        </w:rPr>
        <w:t>Humanism and Education in Medieval and Renaissance Italy. Tradition and Innovation in Latin Schools from the Twelfth to the Fifteenth Century</w:t>
      </w:r>
      <w:r w:rsidRPr="00771E6E">
        <w:t>. Cambridge: Cambridge University Press, 2003.</w:t>
      </w:r>
    </w:p>
    <w:p w14:paraId="6688BDA6" w14:textId="77777777" w:rsidR="00F33779" w:rsidRPr="00771E6E" w:rsidRDefault="00F33779" w:rsidP="00F33779">
      <w:pPr>
        <w:pStyle w:val="Bibliography"/>
      </w:pPr>
      <w:r w:rsidRPr="00771E6E">
        <w:t xml:space="preserve">Blackburn, Bonnie J. “Myself When Young: Becoming a Musician in Renaissance Italy - or Not.” </w:t>
      </w:r>
      <w:r w:rsidRPr="00771E6E">
        <w:rPr>
          <w:i/>
          <w:iCs/>
        </w:rPr>
        <w:t>Proceedings of the British Academy</w:t>
      </w:r>
      <w:r w:rsidRPr="00771E6E">
        <w:t>, no. 181 (2012): 169–203.</w:t>
      </w:r>
    </w:p>
    <w:p w14:paraId="26E0811E" w14:textId="77777777" w:rsidR="00F33779" w:rsidRPr="00771E6E" w:rsidRDefault="00F33779" w:rsidP="00F33779">
      <w:pPr>
        <w:pStyle w:val="Bibliography"/>
      </w:pPr>
      <w:r w:rsidRPr="00771E6E">
        <w:t>———. “</w:t>
      </w:r>
      <w:proofErr w:type="spellStart"/>
      <w:r w:rsidRPr="00771E6E">
        <w:rPr>
          <w:i/>
          <w:iCs/>
        </w:rPr>
        <w:t>Te</w:t>
      </w:r>
      <w:proofErr w:type="spellEnd"/>
      <w:r w:rsidRPr="00771E6E">
        <w:rPr>
          <w:i/>
          <w:iCs/>
        </w:rPr>
        <w:t xml:space="preserve"> </w:t>
      </w:r>
      <w:proofErr w:type="spellStart"/>
      <w:r w:rsidRPr="00771E6E">
        <w:rPr>
          <w:i/>
          <w:iCs/>
        </w:rPr>
        <w:t>Matrem</w:t>
      </w:r>
      <w:proofErr w:type="spellEnd"/>
      <w:r w:rsidRPr="00771E6E">
        <w:rPr>
          <w:i/>
          <w:iCs/>
        </w:rPr>
        <w:t xml:space="preserve"> Dei </w:t>
      </w:r>
      <w:proofErr w:type="spellStart"/>
      <w:r w:rsidRPr="00771E6E">
        <w:rPr>
          <w:i/>
          <w:iCs/>
        </w:rPr>
        <w:t>Laudamus</w:t>
      </w:r>
      <w:proofErr w:type="spellEnd"/>
      <w:r w:rsidRPr="00771E6E">
        <w:t xml:space="preserve">: A Study in the Musical Veneration of Mary.” </w:t>
      </w:r>
      <w:r w:rsidRPr="00771E6E">
        <w:rPr>
          <w:i/>
          <w:iCs/>
        </w:rPr>
        <w:t>The Musical Quarterly</w:t>
      </w:r>
      <w:r w:rsidRPr="00771E6E">
        <w:t xml:space="preserve"> 53, no. 1 (1967): 53–76.</w:t>
      </w:r>
    </w:p>
    <w:p w14:paraId="0DC62063" w14:textId="77777777" w:rsidR="00F33779" w:rsidRPr="00771E6E" w:rsidRDefault="00F33779" w:rsidP="00F33779">
      <w:pPr>
        <w:pStyle w:val="Bibliography"/>
      </w:pPr>
      <w:r w:rsidRPr="00771E6E">
        <w:lastRenderedPageBreak/>
        <w:t xml:space="preserve">Bower, Calvin M. “Introduction.” In </w:t>
      </w:r>
      <w:r w:rsidRPr="00771E6E">
        <w:rPr>
          <w:i/>
          <w:iCs/>
        </w:rPr>
        <w:t>Fundamentals of Music</w:t>
      </w:r>
      <w:r w:rsidRPr="00771E6E">
        <w:t xml:space="preserve">, edited by Claude V. </w:t>
      </w:r>
      <w:proofErr w:type="spellStart"/>
      <w:r w:rsidRPr="00771E6E">
        <w:t>Palisca</w:t>
      </w:r>
      <w:proofErr w:type="spellEnd"/>
      <w:r w:rsidRPr="00771E6E">
        <w:t>, translated by Calvin M. Bower, xiii–xliv. New Haven and London: Yale University Press, 1989.</w:t>
      </w:r>
    </w:p>
    <w:p w14:paraId="04D52A32" w14:textId="77777777" w:rsidR="00F33779" w:rsidRPr="00771E6E" w:rsidRDefault="00F33779" w:rsidP="00F33779">
      <w:pPr>
        <w:pStyle w:val="Bibliography"/>
      </w:pPr>
      <w:r w:rsidRPr="00771E6E">
        <w:t xml:space="preserve">Braham, Allan. “The Bed of </w:t>
      </w:r>
      <w:proofErr w:type="spellStart"/>
      <w:r w:rsidRPr="00771E6E">
        <w:t>Pierfrancesco</w:t>
      </w:r>
      <w:proofErr w:type="spellEnd"/>
      <w:r w:rsidRPr="00771E6E">
        <w:t xml:space="preserve"> </w:t>
      </w:r>
      <w:proofErr w:type="spellStart"/>
      <w:r w:rsidRPr="00771E6E">
        <w:t>Borgherini</w:t>
      </w:r>
      <w:proofErr w:type="spellEnd"/>
      <w:r w:rsidRPr="00771E6E">
        <w:t xml:space="preserve">.” </w:t>
      </w:r>
      <w:r w:rsidRPr="00771E6E">
        <w:rPr>
          <w:i/>
          <w:iCs/>
        </w:rPr>
        <w:t>The Burlington Magazine</w:t>
      </w:r>
      <w:r w:rsidRPr="00771E6E">
        <w:t xml:space="preserve"> 121, no. 921 (1979): 754–65.</w:t>
      </w:r>
    </w:p>
    <w:p w14:paraId="00C0646F" w14:textId="77777777" w:rsidR="00F33779" w:rsidRPr="00771E6E" w:rsidRDefault="00F33779" w:rsidP="00F33779">
      <w:pPr>
        <w:pStyle w:val="Bibliography"/>
      </w:pPr>
      <w:r w:rsidRPr="00771E6E">
        <w:t xml:space="preserve">Brilliant, Virginia. “Entry 18.” In </w:t>
      </w:r>
      <w:r w:rsidRPr="00771E6E">
        <w:rPr>
          <w:i/>
          <w:iCs/>
        </w:rPr>
        <w:t>Piero di Cosimo: The poetry of painting in Renaissance Florence</w:t>
      </w:r>
      <w:r w:rsidRPr="00771E6E">
        <w:t xml:space="preserve">, edited by Dennis </w:t>
      </w:r>
      <w:proofErr w:type="spellStart"/>
      <w:r w:rsidRPr="00771E6E">
        <w:t>Geronimus</w:t>
      </w:r>
      <w:proofErr w:type="spellEnd"/>
      <w:r w:rsidRPr="00771E6E">
        <w:t>, 156–59. London: Lund Humphries Pub., 2015.</w:t>
      </w:r>
    </w:p>
    <w:p w14:paraId="6FD9A680" w14:textId="77777777" w:rsidR="00F33779" w:rsidRPr="00771E6E" w:rsidRDefault="00F33779" w:rsidP="00F33779">
      <w:pPr>
        <w:pStyle w:val="Bibliography"/>
      </w:pPr>
      <w:r w:rsidRPr="00771E6E">
        <w:t xml:space="preserve">———. “Entry 32.” In </w:t>
      </w:r>
      <w:r w:rsidRPr="00771E6E">
        <w:rPr>
          <w:i/>
          <w:iCs/>
        </w:rPr>
        <w:t>Piero di Cosimo: The poetry of painting in Renaissance Florence</w:t>
      </w:r>
      <w:r w:rsidRPr="00771E6E">
        <w:t xml:space="preserve">, edited by Dennis </w:t>
      </w:r>
      <w:proofErr w:type="spellStart"/>
      <w:r w:rsidRPr="00771E6E">
        <w:t>Geronimus</w:t>
      </w:r>
      <w:proofErr w:type="spellEnd"/>
      <w:r w:rsidRPr="00771E6E">
        <w:t>, 200–201. London: Lund Humphries Pub., 2015.</w:t>
      </w:r>
    </w:p>
    <w:p w14:paraId="0BD574D7" w14:textId="77777777" w:rsidR="00F33779" w:rsidRPr="00771E6E" w:rsidRDefault="00F33779" w:rsidP="00F33779">
      <w:pPr>
        <w:pStyle w:val="Bibliography"/>
      </w:pPr>
      <w:r w:rsidRPr="00771E6E">
        <w:t xml:space="preserve">Brown, Alison. “Introduction.” In </w:t>
      </w:r>
      <w:r w:rsidRPr="00771E6E">
        <w:rPr>
          <w:i/>
          <w:iCs/>
        </w:rPr>
        <w:t>Selected Writings of Girolamo Savonarola. Religion and Politics, 1490-1498</w:t>
      </w:r>
      <w:r w:rsidRPr="00771E6E">
        <w:t xml:space="preserve">, edited and translated by Anne Borelli and Maria Pastore </w:t>
      </w:r>
      <w:proofErr w:type="spellStart"/>
      <w:r w:rsidRPr="00771E6E">
        <w:t>Passaro</w:t>
      </w:r>
      <w:proofErr w:type="spellEnd"/>
      <w:r w:rsidRPr="00771E6E">
        <w:t>, xv–xxxv. New Haven and London: Yale University Press, 2006.</w:t>
      </w:r>
    </w:p>
    <w:p w14:paraId="16F0102F" w14:textId="77777777" w:rsidR="00F33779" w:rsidRPr="00771E6E" w:rsidRDefault="00F33779" w:rsidP="00F33779">
      <w:pPr>
        <w:pStyle w:val="Bibliography"/>
      </w:pPr>
      <w:r w:rsidRPr="00771E6E">
        <w:t xml:space="preserve">Brown, Clifford M, and Anna Maria </w:t>
      </w:r>
      <w:proofErr w:type="spellStart"/>
      <w:r w:rsidRPr="00771E6E">
        <w:t>Lorenzoni</w:t>
      </w:r>
      <w:proofErr w:type="spellEnd"/>
      <w:r w:rsidRPr="00771E6E">
        <w:t xml:space="preserve">. </w:t>
      </w:r>
      <w:r w:rsidRPr="00771E6E">
        <w:rPr>
          <w:i/>
          <w:iCs/>
        </w:rPr>
        <w:t xml:space="preserve">Isabella </w:t>
      </w:r>
      <w:proofErr w:type="spellStart"/>
      <w:r w:rsidRPr="00771E6E">
        <w:rPr>
          <w:i/>
          <w:iCs/>
        </w:rPr>
        <w:t>d’Este</w:t>
      </w:r>
      <w:proofErr w:type="spellEnd"/>
      <w:r w:rsidRPr="00771E6E">
        <w:rPr>
          <w:i/>
          <w:iCs/>
        </w:rPr>
        <w:t xml:space="preserve"> and Lorenzo Da Pavia: Documents for the History of Art and Culture in Renaissance Mantua</w:t>
      </w:r>
      <w:r w:rsidRPr="00771E6E">
        <w:t xml:space="preserve">. Geneva: </w:t>
      </w:r>
      <w:proofErr w:type="spellStart"/>
      <w:r w:rsidRPr="00771E6E">
        <w:t>Droz</w:t>
      </w:r>
      <w:proofErr w:type="spellEnd"/>
      <w:r w:rsidRPr="00771E6E">
        <w:t>, 1982.</w:t>
      </w:r>
    </w:p>
    <w:p w14:paraId="12A997C5" w14:textId="77777777" w:rsidR="00F33779" w:rsidRPr="00771E6E" w:rsidRDefault="00F33779" w:rsidP="00F33779">
      <w:pPr>
        <w:pStyle w:val="Bibliography"/>
      </w:pPr>
      <w:r w:rsidRPr="00771E6E">
        <w:t xml:space="preserve">Brown, Howard Mayer. “Trecento Angels and the Instruments They Play.” In </w:t>
      </w:r>
      <w:r w:rsidRPr="00771E6E">
        <w:rPr>
          <w:i/>
          <w:iCs/>
        </w:rPr>
        <w:t>Modern Musical Scholarship</w:t>
      </w:r>
      <w:r w:rsidRPr="00771E6E">
        <w:t xml:space="preserve">, edited by Edward </w:t>
      </w:r>
      <w:proofErr w:type="spellStart"/>
      <w:r w:rsidRPr="00771E6E">
        <w:t>Olleson</w:t>
      </w:r>
      <w:proofErr w:type="spellEnd"/>
      <w:r w:rsidRPr="00771E6E">
        <w:t xml:space="preserve">, 112–40. </w:t>
      </w:r>
      <w:proofErr w:type="spellStart"/>
      <w:r w:rsidRPr="00771E6E">
        <w:t>Stocksfield</w:t>
      </w:r>
      <w:proofErr w:type="spellEnd"/>
      <w:r w:rsidRPr="00771E6E">
        <w:t>: Oriel Press, 1980.</w:t>
      </w:r>
    </w:p>
    <w:p w14:paraId="0F3018FE" w14:textId="77777777" w:rsidR="00F33779" w:rsidRPr="00771E6E" w:rsidRDefault="00F33779" w:rsidP="00F33779">
      <w:pPr>
        <w:pStyle w:val="Bibliography"/>
      </w:pPr>
      <w:r w:rsidRPr="00771E6E">
        <w:t xml:space="preserve">Brown, Peter. “The Saint as Exemplar in Late Antiquity.” </w:t>
      </w:r>
      <w:r w:rsidRPr="00771E6E">
        <w:rPr>
          <w:i/>
          <w:iCs/>
        </w:rPr>
        <w:t>Representations</w:t>
      </w:r>
      <w:r w:rsidRPr="00771E6E">
        <w:t>, no. 2 (1983): 1–25.</w:t>
      </w:r>
    </w:p>
    <w:p w14:paraId="433B7322" w14:textId="77777777" w:rsidR="00F33779" w:rsidRPr="00771E6E" w:rsidRDefault="00F33779" w:rsidP="00F33779">
      <w:pPr>
        <w:pStyle w:val="Bibliography"/>
      </w:pPr>
      <w:proofErr w:type="spellStart"/>
      <w:r w:rsidRPr="00771E6E">
        <w:t>Brundin</w:t>
      </w:r>
      <w:proofErr w:type="spellEnd"/>
      <w:r w:rsidRPr="00771E6E">
        <w:t xml:space="preserve">, Abigail, Deborah Howard, and Mary </w:t>
      </w:r>
      <w:proofErr w:type="spellStart"/>
      <w:r w:rsidRPr="00771E6E">
        <w:t>Laven</w:t>
      </w:r>
      <w:proofErr w:type="spellEnd"/>
      <w:r w:rsidRPr="00771E6E">
        <w:t xml:space="preserve">. </w:t>
      </w:r>
      <w:r w:rsidRPr="00771E6E">
        <w:rPr>
          <w:i/>
          <w:iCs/>
        </w:rPr>
        <w:t>The Sacred Home in Renaissance Italy</w:t>
      </w:r>
      <w:r w:rsidRPr="00771E6E">
        <w:t>. Oxford: Oxford University Press, 2018.</w:t>
      </w:r>
    </w:p>
    <w:p w14:paraId="5ABCB54B" w14:textId="77777777" w:rsidR="00F33779" w:rsidRPr="00771E6E" w:rsidRDefault="00F33779" w:rsidP="00F33779">
      <w:pPr>
        <w:pStyle w:val="Bibliography"/>
      </w:pPr>
      <w:r w:rsidRPr="00771E6E">
        <w:t xml:space="preserve">Bryce, Judith. “Performing for Strangers: Women, Dance, and Music in Quattrocento Florence.” </w:t>
      </w:r>
      <w:r w:rsidRPr="00771E6E">
        <w:rPr>
          <w:i/>
          <w:iCs/>
        </w:rPr>
        <w:t>Renaissance Quarterly</w:t>
      </w:r>
      <w:r w:rsidRPr="00771E6E">
        <w:t xml:space="preserve"> 54, no. 4 (2001): 1074–1107.</w:t>
      </w:r>
    </w:p>
    <w:p w14:paraId="1483E533" w14:textId="77777777" w:rsidR="00F33779" w:rsidRPr="00771E6E" w:rsidRDefault="00F33779" w:rsidP="00F33779">
      <w:pPr>
        <w:pStyle w:val="Bibliography"/>
      </w:pPr>
      <w:proofErr w:type="spellStart"/>
      <w:r w:rsidRPr="00771E6E">
        <w:t>Buccheri</w:t>
      </w:r>
      <w:proofErr w:type="spellEnd"/>
      <w:r w:rsidRPr="00771E6E">
        <w:t xml:space="preserve">, Alessandra. </w:t>
      </w:r>
      <w:r w:rsidRPr="00771E6E">
        <w:rPr>
          <w:i/>
          <w:iCs/>
        </w:rPr>
        <w:t>The Spectacle of Clouds, 1439-1650: Italian Art and Theatre</w:t>
      </w:r>
      <w:r w:rsidRPr="00771E6E">
        <w:t>. Oxon and New York: Ashgate, 2014.</w:t>
      </w:r>
    </w:p>
    <w:p w14:paraId="22FC9F09" w14:textId="77777777" w:rsidR="00F33779" w:rsidRPr="00771E6E" w:rsidRDefault="00F33779" w:rsidP="00F33779">
      <w:pPr>
        <w:pStyle w:val="Bibliography"/>
      </w:pPr>
      <w:proofErr w:type="spellStart"/>
      <w:r w:rsidRPr="00771E6E">
        <w:t>Buranelli</w:t>
      </w:r>
      <w:proofErr w:type="spellEnd"/>
      <w:r w:rsidRPr="00771E6E">
        <w:t xml:space="preserve">, Francesco. </w:t>
      </w:r>
      <w:r w:rsidRPr="00771E6E">
        <w:rPr>
          <w:i/>
          <w:iCs/>
        </w:rPr>
        <w:t>Between God and Man: Angels in Italian Art</w:t>
      </w:r>
      <w:r w:rsidRPr="00771E6E">
        <w:t xml:space="preserve">. Edited by Robin C. </w:t>
      </w:r>
      <w:proofErr w:type="spellStart"/>
      <w:r w:rsidRPr="00771E6E">
        <w:t>Dietrick</w:t>
      </w:r>
      <w:proofErr w:type="spellEnd"/>
      <w:r w:rsidRPr="00771E6E">
        <w:t>. Jackson, Miss.: Mississippi Museum of Art, 2008.</w:t>
      </w:r>
    </w:p>
    <w:p w14:paraId="506DD703" w14:textId="77777777" w:rsidR="00F33779" w:rsidRPr="00771E6E" w:rsidRDefault="00F33779" w:rsidP="00F33779">
      <w:pPr>
        <w:pStyle w:val="Bibliography"/>
      </w:pPr>
      <w:r w:rsidRPr="00771E6E">
        <w:t xml:space="preserve">Burke, Peter. “Individuality and Biography in the Renaissance.” </w:t>
      </w:r>
      <w:r w:rsidRPr="00771E6E">
        <w:rPr>
          <w:i/>
          <w:iCs/>
        </w:rPr>
        <w:t>The European Legacy</w:t>
      </w:r>
      <w:r w:rsidRPr="00771E6E">
        <w:t>, no. 2, 8 (1997): 1372-1382.</w:t>
      </w:r>
    </w:p>
    <w:p w14:paraId="20DE7784" w14:textId="77777777" w:rsidR="00F33779" w:rsidRPr="00771E6E" w:rsidRDefault="00F33779" w:rsidP="00F33779">
      <w:pPr>
        <w:pStyle w:val="Bibliography"/>
      </w:pPr>
      <w:r w:rsidRPr="00771E6E">
        <w:t xml:space="preserve">———. </w:t>
      </w:r>
      <w:r w:rsidRPr="00771E6E">
        <w:rPr>
          <w:i/>
          <w:iCs/>
        </w:rPr>
        <w:t>The Italian Renaissance: Culture and Society in Italy</w:t>
      </w:r>
      <w:r w:rsidRPr="00771E6E">
        <w:t>. Princeton, NJ: Princeton University Press, 1986.</w:t>
      </w:r>
    </w:p>
    <w:p w14:paraId="119BCC3C" w14:textId="77777777" w:rsidR="00F33779" w:rsidRPr="00771E6E" w:rsidRDefault="00F33779" w:rsidP="00F33779">
      <w:pPr>
        <w:pStyle w:val="Bibliography"/>
      </w:pPr>
      <w:proofErr w:type="spellStart"/>
      <w:r w:rsidRPr="00771E6E">
        <w:t>Bussagli</w:t>
      </w:r>
      <w:proofErr w:type="spellEnd"/>
      <w:r w:rsidRPr="00771E6E">
        <w:t xml:space="preserve">, Marco. “Angels: From Their Origins to the Middle Ages Theology and Iconography.” In </w:t>
      </w:r>
      <w:r w:rsidRPr="00771E6E">
        <w:rPr>
          <w:i/>
          <w:iCs/>
        </w:rPr>
        <w:t>Between God and Man: Angels in Italian Art</w:t>
      </w:r>
      <w:r w:rsidRPr="00771E6E">
        <w:t xml:space="preserve">, by Francesco </w:t>
      </w:r>
      <w:proofErr w:type="spellStart"/>
      <w:r w:rsidRPr="00771E6E">
        <w:t>Buranelli</w:t>
      </w:r>
      <w:proofErr w:type="spellEnd"/>
      <w:r w:rsidRPr="00771E6E">
        <w:t xml:space="preserve">, 12–22. edited by Robin C. </w:t>
      </w:r>
      <w:proofErr w:type="spellStart"/>
      <w:r w:rsidRPr="00771E6E">
        <w:t>Dietrick</w:t>
      </w:r>
      <w:proofErr w:type="spellEnd"/>
      <w:r w:rsidRPr="00771E6E">
        <w:t>. Jackson, Miss.: Mississippi Museum of Art, 2008.</w:t>
      </w:r>
    </w:p>
    <w:p w14:paraId="20F6E600" w14:textId="77777777" w:rsidR="00F33779" w:rsidRPr="00771E6E" w:rsidRDefault="00F33779" w:rsidP="00F33779">
      <w:pPr>
        <w:pStyle w:val="Bibliography"/>
      </w:pPr>
      <w:r w:rsidRPr="00771E6E">
        <w:t>———. “</w:t>
      </w:r>
      <w:proofErr w:type="spellStart"/>
      <w:r w:rsidRPr="00771E6E">
        <w:t>Gli</w:t>
      </w:r>
      <w:proofErr w:type="spellEnd"/>
      <w:r w:rsidRPr="00771E6E">
        <w:t xml:space="preserve"> </w:t>
      </w:r>
      <w:proofErr w:type="spellStart"/>
      <w:r w:rsidRPr="00771E6E">
        <w:t>Angeli</w:t>
      </w:r>
      <w:proofErr w:type="spellEnd"/>
      <w:r w:rsidRPr="00771E6E">
        <w:t xml:space="preserve"> dal </w:t>
      </w:r>
      <w:proofErr w:type="spellStart"/>
      <w:r w:rsidRPr="00771E6E">
        <w:t>Rinascimento</w:t>
      </w:r>
      <w:proofErr w:type="spellEnd"/>
      <w:r w:rsidRPr="00771E6E">
        <w:t xml:space="preserve"> al </w:t>
      </w:r>
      <w:proofErr w:type="spellStart"/>
      <w:r w:rsidRPr="00771E6E">
        <w:t>Barocco</w:t>
      </w:r>
      <w:proofErr w:type="spellEnd"/>
      <w:r w:rsidRPr="00771E6E">
        <w:t xml:space="preserve">. Dalla luce </w:t>
      </w:r>
      <w:proofErr w:type="spellStart"/>
      <w:r w:rsidRPr="00771E6E">
        <w:t>alla</w:t>
      </w:r>
      <w:proofErr w:type="spellEnd"/>
      <w:r w:rsidRPr="00771E6E">
        <w:t xml:space="preserve"> carne.” In </w:t>
      </w:r>
      <w:proofErr w:type="spellStart"/>
      <w:r w:rsidRPr="00771E6E">
        <w:rPr>
          <w:i/>
          <w:iCs/>
        </w:rPr>
        <w:t>Angeli</w:t>
      </w:r>
      <w:proofErr w:type="spellEnd"/>
      <w:r w:rsidRPr="00771E6E">
        <w:rPr>
          <w:i/>
          <w:iCs/>
        </w:rPr>
        <w:t xml:space="preserve">: </w:t>
      </w:r>
      <w:proofErr w:type="spellStart"/>
      <w:r w:rsidRPr="00771E6E">
        <w:rPr>
          <w:i/>
          <w:iCs/>
        </w:rPr>
        <w:t>volti</w:t>
      </w:r>
      <w:proofErr w:type="spellEnd"/>
      <w:r w:rsidRPr="00771E6E">
        <w:rPr>
          <w:i/>
          <w:iCs/>
        </w:rPr>
        <w:t xml:space="preserve"> </w:t>
      </w:r>
      <w:proofErr w:type="spellStart"/>
      <w:r w:rsidRPr="00771E6E">
        <w:rPr>
          <w:i/>
          <w:iCs/>
        </w:rPr>
        <w:t>dell’invisibile</w:t>
      </w:r>
      <w:proofErr w:type="spellEnd"/>
      <w:r w:rsidRPr="00771E6E">
        <w:rPr>
          <w:i/>
          <w:iCs/>
        </w:rPr>
        <w:t xml:space="preserve">, </w:t>
      </w:r>
      <w:r w:rsidRPr="00771E6E">
        <w:t xml:space="preserve">exh.cat., edited by Serenella </w:t>
      </w:r>
      <w:proofErr w:type="spellStart"/>
      <w:r w:rsidRPr="00771E6E">
        <w:t>Castri</w:t>
      </w:r>
      <w:proofErr w:type="spellEnd"/>
      <w:r w:rsidRPr="00771E6E">
        <w:t xml:space="preserve">, 59–71. Turin: Umberto </w:t>
      </w:r>
      <w:proofErr w:type="spellStart"/>
      <w:r w:rsidRPr="00771E6E">
        <w:t>Allemandi</w:t>
      </w:r>
      <w:proofErr w:type="spellEnd"/>
      <w:r w:rsidRPr="00771E6E">
        <w:t>, 2010.</w:t>
      </w:r>
    </w:p>
    <w:p w14:paraId="3AE25D6D" w14:textId="77777777" w:rsidR="00F33779" w:rsidRPr="00771E6E" w:rsidRDefault="00F33779" w:rsidP="00F33779">
      <w:pPr>
        <w:pStyle w:val="Bibliography"/>
      </w:pPr>
      <w:r w:rsidRPr="00771E6E">
        <w:t xml:space="preserve">———. </w:t>
      </w:r>
      <w:r w:rsidRPr="00771E6E">
        <w:rPr>
          <w:i/>
          <w:iCs/>
        </w:rPr>
        <w:t xml:space="preserve">Storia </w:t>
      </w:r>
      <w:proofErr w:type="spellStart"/>
      <w:r w:rsidRPr="00771E6E">
        <w:rPr>
          <w:i/>
          <w:iCs/>
        </w:rPr>
        <w:t>degli</w:t>
      </w:r>
      <w:proofErr w:type="spellEnd"/>
      <w:r w:rsidRPr="00771E6E">
        <w:rPr>
          <w:i/>
          <w:iCs/>
        </w:rPr>
        <w:t xml:space="preserve"> </w:t>
      </w:r>
      <w:proofErr w:type="spellStart"/>
      <w:r w:rsidRPr="00771E6E">
        <w:rPr>
          <w:i/>
          <w:iCs/>
        </w:rPr>
        <w:t>angeli</w:t>
      </w:r>
      <w:proofErr w:type="spellEnd"/>
      <w:r w:rsidRPr="00771E6E">
        <w:rPr>
          <w:i/>
          <w:iCs/>
        </w:rPr>
        <w:t xml:space="preserve">: </w:t>
      </w:r>
      <w:proofErr w:type="spellStart"/>
      <w:r w:rsidRPr="00771E6E">
        <w:rPr>
          <w:i/>
          <w:iCs/>
        </w:rPr>
        <w:t>racconto</w:t>
      </w:r>
      <w:proofErr w:type="spellEnd"/>
      <w:r w:rsidRPr="00771E6E">
        <w:rPr>
          <w:i/>
          <w:iCs/>
        </w:rPr>
        <w:t xml:space="preserve"> di </w:t>
      </w:r>
      <w:proofErr w:type="spellStart"/>
      <w:r w:rsidRPr="00771E6E">
        <w:rPr>
          <w:i/>
          <w:iCs/>
        </w:rPr>
        <w:t>immagini</w:t>
      </w:r>
      <w:proofErr w:type="spellEnd"/>
      <w:r w:rsidRPr="00771E6E">
        <w:rPr>
          <w:i/>
          <w:iCs/>
        </w:rPr>
        <w:t xml:space="preserve"> e di </w:t>
      </w:r>
      <w:proofErr w:type="spellStart"/>
      <w:r w:rsidRPr="00771E6E">
        <w:rPr>
          <w:i/>
          <w:iCs/>
        </w:rPr>
        <w:t>idee</w:t>
      </w:r>
      <w:proofErr w:type="spellEnd"/>
      <w:r w:rsidRPr="00771E6E">
        <w:t xml:space="preserve">. Milano: </w:t>
      </w:r>
      <w:proofErr w:type="spellStart"/>
      <w:r w:rsidRPr="00771E6E">
        <w:t>Rusconi</w:t>
      </w:r>
      <w:proofErr w:type="spellEnd"/>
      <w:r w:rsidRPr="00771E6E">
        <w:t>, 1991.</w:t>
      </w:r>
    </w:p>
    <w:p w14:paraId="1926E6C2" w14:textId="77777777" w:rsidR="00F33779" w:rsidRPr="00771E6E" w:rsidRDefault="00F33779" w:rsidP="00F33779">
      <w:pPr>
        <w:pStyle w:val="Bibliography"/>
      </w:pPr>
      <w:proofErr w:type="spellStart"/>
      <w:r w:rsidRPr="00771E6E">
        <w:t>Callmann</w:t>
      </w:r>
      <w:proofErr w:type="spellEnd"/>
      <w:r w:rsidRPr="00771E6E">
        <w:t xml:space="preserve">, Ellen. </w:t>
      </w:r>
      <w:r w:rsidRPr="00771E6E">
        <w:rPr>
          <w:i/>
          <w:iCs/>
        </w:rPr>
        <w:t>Apollonio Di Giovanni</w:t>
      </w:r>
      <w:r w:rsidRPr="00771E6E">
        <w:t>. Oxford: Clarendon Press, 1974.</w:t>
      </w:r>
    </w:p>
    <w:p w14:paraId="046F50E2" w14:textId="77777777" w:rsidR="00F33779" w:rsidRPr="00771E6E" w:rsidRDefault="00F33779" w:rsidP="00F33779">
      <w:pPr>
        <w:pStyle w:val="Bibliography"/>
      </w:pPr>
      <w:r w:rsidRPr="00771E6E">
        <w:t xml:space="preserve">———. “Apollonio Di Giovanni and Painting for the Early Renaissance Room.” </w:t>
      </w:r>
      <w:proofErr w:type="spellStart"/>
      <w:r w:rsidRPr="00771E6E">
        <w:rPr>
          <w:i/>
          <w:iCs/>
        </w:rPr>
        <w:t>Antichità</w:t>
      </w:r>
      <w:proofErr w:type="spellEnd"/>
      <w:r w:rsidRPr="00771E6E">
        <w:rPr>
          <w:i/>
          <w:iCs/>
        </w:rPr>
        <w:t xml:space="preserve"> Viva</w:t>
      </w:r>
      <w:r w:rsidRPr="00771E6E">
        <w:t xml:space="preserve"> XXVII, no. 3–4 (1988): 5–18.</w:t>
      </w:r>
    </w:p>
    <w:p w14:paraId="3D7EAE9E" w14:textId="77777777" w:rsidR="00F33779" w:rsidRPr="00771E6E" w:rsidRDefault="00F33779" w:rsidP="00F33779">
      <w:pPr>
        <w:pStyle w:val="Bibliography"/>
      </w:pPr>
      <w:r w:rsidRPr="00771E6E">
        <w:t xml:space="preserve">———. </w:t>
      </w:r>
      <w:r w:rsidRPr="00771E6E">
        <w:rPr>
          <w:i/>
          <w:iCs/>
        </w:rPr>
        <w:t>Beyond Nobility: Art for the Private Citizen in the Early Renaissance</w:t>
      </w:r>
      <w:r w:rsidRPr="00771E6E">
        <w:t>. Allentown: Allentown Art Museum, 1980.</w:t>
      </w:r>
    </w:p>
    <w:p w14:paraId="3FFDA5EF" w14:textId="77777777" w:rsidR="00F33779" w:rsidRPr="00771E6E" w:rsidRDefault="00F33779" w:rsidP="00F33779">
      <w:pPr>
        <w:pStyle w:val="Bibliography"/>
      </w:pPr>
      <w:proofErr w:type="spellStart"/>
      <w:r w:rsidRPr="00771E6E">
        <w:t>Cambareri</w:t>
      </w:r>
      <w:proofErr w:type="spellEnd"/>
      <w:r w:rsidRPr="00771E6E">
        <w:t xml:space="preserve">, Marietta. </w:t>
      </w:r>
      <w:r w:rsidRPr="00771E6E">
        <w:rPr>
          <w:i/>
          <w:iCs/>
        </w:rPr>
        <w:t xml:space="preserve">Della Robbia: Sculpting with </w:t>
      </w:r>
      <w:proofErr w:type="spellStart"/>
      <w:r w:rsidRPr="00771E6E">
        <w:rPr>
          <w:i/>
          <w:iCs/>
        </w:rPr>
        <w:t>Color</w:t>
      </w:r>
      <w:proofErr w:type="spellEnd"/>
      <w:r w:rsidRPr="00771E6E">
        <w:rPr>
          <w:i/>
          <w:iCs/>
        </w:rPr>
        <w:t xml:space="preserve"> in Renaissance Florence</w:t>
      </w:r>
      <w:r w:rsidRPr="00771E6E">
        <w:t xml:space="preserve">. Edited by Abigail </w:t>
      </w:r>
      <w:proofErr w:type="spellStart"/>
      <w:r w:rsidRPr="00771E6E">
        <w:t>Hykin</w:t>
      </w:r>
      <w:proofErr w:type="spellEnd"/>
      <w:r w:rsidRPr="00771E6E">
        <w:t xml:space="preserve"> and Courtney Leigh Harris. Boston: MFA Publications - Museum of Fine Arts, 2016.</w:t>
      </w:r>
    </w:p>
    <w:p w14:paraId="00D3A70E" w14:textId="77777777" w:rsidR="00F33779" w:rsidRPr="00771E6E" w:rsidRDefault="00F33779" w:rsidP="00F33779">
      <w:pPr>
        <w:pStyle w:val="Bibliography"/>
      </w:pPr>
      <w:r w:rsidRPr="00771E6E">
        <w:lastRenderedPageBreak/>
        <w:t xml:space="preserve">Camille, Michael. “Before the Gaze. The Internal Senses and Late Medieval Practices of Seeing.” In </w:t>
      </w:r>
      <w:r w:rsidRPr="00771E6E">
        <w:rPr>
          <w:i/>
          <w:iCs/>
        </w:rPr>
        <w:t>Visuality before and beyond the Renaissance. Seeing as Others Saw</w:t>
      </w:r>
      <w:r w:rsidRPr="00771E6E">
        <w:t>, edited by Robert S. Nelson, 197–223. Cambridge: Cambridge University Press, 2000.</w:t>
      </w:r>
    </w:p>
    <w:p w14:paraId="52BC86C5" w14:textId="77777777" w:rsidR="00F33779" w:rsidRPr="00771E6E" w:rsidRDefault="00F33779" w:rsidP="00F33779">
      <w:pPr>
        <w:pStyle w:val="Bibliography"/>
      </w:pPr>
      <w:proofErr w:type="spellStart"/>
      <w:r w:rsidRPr="00771E6E">
        <w:t>Capretti</w:t>
      </w:r>
      <w:proofErr w:type="spellEnd"/>
      <w:r w:rsidRPr="00771E6E">
        <w:t xml:space="preserve">, Elena. “Entry 40.” In </w:t>
      </w:r>
      <w:r w:rsidRPr="00771E6E">
        <w:rPr>
          <w:i/>
          <w:iCs/>
        </w:rPr>
        <w:t xml:space="preserve">Piero di Cosimo 1462-1522: </w:t>
      </w:r>
      <w:proofErr w:type="spellStart"/>
      <w:r w:rsidRPr="00771E6E">
        <w:rPr>
          <w:i/>
          <w:iCs/>
        </w:rPr>
        <w:t>pittore</w:t>
      </w:r>
      <w:proofErr w:type="spellEnd"/>
      <w:r w:rsidRPr="00771E6E">
        <w:rPr>
          <w:i/>
          <w:iCs/>
        </w:rPr>
        <w:t xml:space="preserve"> </w:t>
      </w:r>
      <w:proofErr w:type="spellStart"/>
      <w:r w:rsidRPr="00771E6E">
        <w:rPr>
          <w:i/>
          <w:iCs/>
        </w:rPr>
        <w:t>eccentrico</w:t>
      </w:r>
      <w:proofErr w:type="spellEnd"/>
      <w:r w:rsidRPr="00771E6E">
        <w:rPr>
          <w:i/>
          <w:iCs/>
        </w:rPr>
        <w:t xml:space="preserve"> </w:t>
      </w:r>
      <w:proofErr w:type="spellStart"/>
      <w:r w:rsidRPr="00771E6E">
        <w:rPr>
          <w:i/>
          <w:iCs/>
        </w:rPr>
        <w:t>fra</w:t>
      </w:r>
      <w:proofErr w:type="spellEnd"/>
      <w:r w:rsidRPr="00771E6E">
        <w:rPr>
          <w:i/>
          <w:iCs/>
        </w:rPr>
        <w:t xml:space="preserve"> </w:t>
      </w:r>
      <w:proofErr w:type="spellStart"/>
      <w:r w:rsidRPr="00771E6E">
        <w:rPr>
          <w:i/>
          <w:iCs/>
        </w:rPr>
        <w:t>Rinascimento</w:t>
      </w:r>
      <w:proofErr w:type="spellEnd"/>
      <w:r w:rsidRPr="00771E6E">
        <w:rPr>
          <w:i/>
          <w:iCs/>
        </w:rPr>
        <w:t xml:space="preserve"> e </w:t>
      </w:r>
      <w:proofErr w:type="spellStart"/>
      <w:r w:rsidRPr="00771E6E">
        <w:rPr>
          <w:i/>
          <w:iCs/>
        </w:rPr>
        <w:t>Maniera</w:t>
      </w:r>
      <w:proofErr w:type="spellEnd"/>
      <w:r w:rsidRPr="00771E6E">
        <w:t xml:space="preserve">, edited by Elena </w:t>
      </w:r>
      <w:proofErr w:type="spellStart"/>
      <w:r w:rsidRPr="00771E6E">
        <w:t>Capretti</w:t>
      </w:r>
      <w:proofErr w:type="spellEnd"/>
      <w:r w:rsidRPr="00771E6E">
        <w:t xml:space="preserve">, Anna </w:t>
      </w:r>
      <w:proofErr w:type="spellStart"/>
      <w:r w:rsidRPr="00771E6E">
        <w:t>Forlani</w:t>
      </w:r>
      <w:proofErr w:type="spellEnd"/>
      <w:r w:rsidRPr="00771E6E">
        <w:t xml:space="preserve"> </w:t>
      </w:r>
      <w:proofErr w:type="spellStart"/>
      <w:r w:rsidRPr="00771E6E">
        <w:t>Tempesti</w:t>
      </w:r>
      <w:proofErr w:type="spellEnd"/>
      <w:r w:rsidRPr="00771E6E">
        <w:t xml:space="preserve">, Serena </w:t>
      </w:r>
      <w:proofErr w:type="spellStart"/>
      <w:r w:rsidRPr="00771E6E">
        <w:t>Padovani</w:t>
      </w:r>
      <w:proofErr w:type="spellEnd"/>
      <w:r w:rsidRPr="00771E6E">
        <w:t>, and Daniela Parenti, 292, 2015.</w:t>
      </w:r>
    </w:p>
    <w:p w14:paraId="258B26BC" w14:textId="77777777" w:rsidR="00F33779" w:rsidRPr="00771E6E" w:rsidRDefault="00F33779" w:rsidP="00F33779">
      <w:pPr>
        <w:pStyle w:val="Bibliography"/>
      </w:pPr>
      <w:proofErr w:type="spellStart"/>
      <w:r w:rsidRPr="00771E6E">
        <w:t>Carapezza</w:t>
      </w:r>
      <w:proofErr w:type="spellEnd"/>
      <w:r w:rsidRPr="00771E6E">
        <w:t xml:space="preserve">, Paolo Emilio. “Regina </w:t>
      </w:r>
      <w:proofErr w:type="spellStart"/>
      <w:r w:rsidRPr="00771E6E">
        <w:t>Angelorum</w:t>
      </w:r>
      <w:proofErr w:type="spellEnd"/>
      <w:r w:rsidRPr="00771E6E">
        <w:t xml:space="preserve"> in </w:t>
      </w:r>
      <w:proofErr w:type="spellStart"/>
      <w:r w:rsidRPr="00771E6E">
        <w:t>Musica</w:t>
      </w:r>
      <w:proofErr w:type="spellEnd"/>
      <w:r w:rsidRPr="00771E6E">
        <w:t xml:space="preserve"> </w:t>
      </w:r>
      <w:proofErr w:type="spellStart"/>
      <w:r w:rsidRPr="00771E6E">
        <w:t>Picta</w:t>
      </w:r>
      <w:proofErr w:type="spellEnd"/>
      <w:r w:rsidRPr="00771E6E">
        <w:t xml:space="preserve">.” </w:t>
      </w:r>
      <w:proofErr w:type="spellStart"/>
      <w:r w:rsidRPr="00771E6E">
        <w:rPr>
          <w:i/>
          <w:iCs/>
        </w:rPr>
        <w:t>Rivista</w:t>
      </w:r>
      <w:proofErr w:type="spellEnd"/>
      <w:r w:rsidRPr="00771E6E">
        <w:rPr>
          <w:i/>
          <w:iCs/>
        </w:rPr>
        <w:t xml:space="preserve"> </w:t>
      </w:r>
      <w:proofErr w:type="spellStart"/>
      <w:r w:rsidRPr="00771E6E">
        <w:rPr>
          <w:i/>
          <w:iCs/>
        </w:rPr>
        <w:t>Italiana</w:t>
      </w:r>
      <w:proofErr w:type="spellEnd"/>
      <w:r w:rsidRPr="00771E6E">
        <w:rPr>
          <w:i/>
          <w:iCs/>
        </w:rPr>
        <w:t xml:space="preserve"> Di </w:t>
      </w:r>
      <w:proofErr w:type="spellStart"/>
      <w:r w:rsidRPr="00771E6E">
        <w:rPr>
          <w:i/>
          <w:iCs/>
        </w:rPr>
        <w:t>Musicologia</w:t>
      </w:r>
      <w:proofErr w:type="spellEnd"/>
      <w:r w:rsidRPr="00771E6E">
        <w:t xml:space="preserve"> 10 (1975): 134–54.</w:t>
      </w:r>
    </w:p>
    <w:p w14:paraId="6659C034" w14:textId="77777777" w:rsidR="00F33779" w:rsidRPr="00771E6E" w:rsidRDefault="00F33779" w:rsidP="00F33779">
      <w:pPr>
        <w:pStyle w:val="Bibliography"/>
      </w:pPr>
      <w:r w:rsidRPr="00771E6E">
        <w:t xml:space="preserve">Carli, Cecilia de. </w:t>
      </w:r>
      <w:r w:rsidRPr="00771E6E">
        <w:rPr>
          <w:i/>
          <w:iCs/>
        </w:rPr>
        <w:t xml:space="preserve">I deschi da parto e la </w:t>
      </w:r>
      <w:proofErr w:type="spellStart"/>
      <w:r w:rsidRPr="00771E6E">
        <w:rPr>
          <w:i/>
          <w:iCs/>
        </w:rPr>
        <w:t>pittura</w:t>
      </w:r>
      <w:proofErr w:type="spellEnd"/>
      <w:r w:rsidRPr="00771E6E">
        <w:rPr>
          <w:i/>
          <w:iCs/>
        </w:rPr>
        <w:t xml:space="preserve"> del primo </w:t>
      </w:r>
      <w:proofErr w:type="spellStart"/>
      <w:r w:rsidRPr="00771E6E">
        <w:rPr>
          <w:i/>
          <w:iCs/>
        </w:rPr>
        <w:t>Rinascimento</w:t>
      </w:r>
      <w:proofErr w:type="spellEnd"/>
      <w:r w:rsidRPr="00771E6E">
        <w:rPr>
          <w:i/>
          <w:iCs/>
        </w:rPr>
        <w:t xml:space="preserve"> </w:t>
      </w:r>
      <w:proofErr w:type="spellStart"/>
      <w:r w:rsidRPr="00771E6E">
        <w:rPr>
          <w:i/>
          <w:iCs/>
        </w:rPr>
        <w:t>toscano</w:t>
      </w:r>
      <w:proofErr w:type="spellEnd"/>
      <w:r w:rsidRPr="00771E6E">
        <w:t xml:space="preserve">. Turin: Umberto </w:t>
      </w:r>
      <w:proofErr w:type="spellStart"/>
      <w:r w:rsidRPr="00771E6E">
        <w:t>Allemandi</w:t>
      </w:r>
      <w:proofErr w:type="spellEnd"/>
      <w:r w:rsidRPr="00771E6E">
        <w:t>, 1997.</w:t>
      </w:r>
    </w:p>
    <w:p w14:paraId="1C2F76CA" w14:textId="72442AB9" w:rsidR="00F33779" w:rsidRPr="00771E6E" w:rsidRDefault="00F33779" w:rsidP="00F33779">
      <w:pPr>
        <w:pStyle w:val="Bibliography"/>
      </w:pPr>
      <w:proofErr w:type="spellStart"/>
      <w:r w:rsidRPr="00771E6E">
        <w:t>Casu</w:t>
      </w:r>
      <w:proofErr w:type="spellEnd"/>
      <w:r w:rsidRPr="00771E6E">
        <w:t xml:space="preserve">, Stefano G. “Speculum </w:t>
      </w:r>
      <w:proofErr w:type="spellStart"/>
      <w:r w:rsidRPr="00771E6E">
        <w:t>Principis</w:t>
      </w:r>
      <w:proofErr w:type="spellEnd"/>
      <w:r w:rsidRPr="00771E6E">
        <w:t xml:space="preserve">: Notes on Two Plaquettes by </w:t>
      </w:r>
      <w:proofErr w:type="spellStart"/>
      <w:r w:rsidRPr="00771E6E">
        <w:t>Filarete</w:t>
      </w:r>
      <w:proofErr w:type="spellEnd"/>
      <w:r w:rsidRPr="00771E6E">
        <w:t xml:space="preserve">.” </w:t>
      </w:r>
      <w:r w:rsidRPr="00771E6E">
        <w:rPr>
          <w:i/>
          <w:iCs/>
        </w:rPr>
        <w:t xml:space="preserve">The Medal / Publ. by the British Art Medal Trust in Assoc. with FIDEM, the Fédération Internationale de La </w:t>
      </w:r>
      <w:proofErr w:type="spellStart"/>
      <w:r w:rsidRPr="00771E6E">
        <w:rPr>
          <w:i/>
          <w:iCs/>
        </w:rPr>
        <w:t>Médaille</w:t>
      </w:r>
      <w:proofErr w:type="spellEnd"/>
      <w:r w:rsidRPr="00771E6E">
        <w:rPr>
          <w:i/>
          <w:iCs/>
        </w:rPr>
        <w:t>.</w:t>
      </w:r>
      <w:r w:rsidRPr="00771E6E">
        <w:t>, 2015, 38–49.</w:t>
      </w:r>
    </w:p>
    <w:p w14:paraId="3C27E9E0" w14:textId="0581D5BB" w:rsidR="000C66CF" w:rsidRPr="00771E6E" w:rsidRDefault="000C66CF" w:rsidP="000C66CF">
      <w:pPr>
        <w:pStyle w:val="Bibliography"/>
      </w:pPr>
      <w:r w:rsidRPr="00771E6E">
        <w:t xml:space="preserve">Cavalli, </w:t>
      </w:r>
      <w:r w:rsidR="002F02C0" w:rsidRPr="00771E6E">
        <w:t xml:space="preserve">Carlo. </w:t>
      </w:r>
      <w:r w:rsidRPr="00771E6E">
        <w:t>“</w:t>
      </w:r>
      <w:proofErr w:type="spellStart"/>
      <w:r w:rsidRPr="00771E6E">
        <w:t>Tra</w:t>
      </w:r>
      <w:proofErr w:type="spellEnd"/>
      <w:r w:rsidRPr="00771E6E">
        <w:t xml:space="preserve"> </w:t>
      </w:r>
      <w:proofErr w:type="spellStart"/>
      <w:r w:rsidRPr="00771E6E">
        <w:t>devozione</w:t>
      </w:r>
      <w:proofErr w:type="spellEnd"/>
      <w:r w:rsidRPr="00771E6E">
        <w:t xml:space="preserve"> </w:t>
      </w:r>
      <w:proofErr w:type="spellStart"/>
      <w:r w:rsidRPr="00771E6E">
        <w:t>pubblica</w:t>
      </w:r>
      <w:proofErr w:type="spellEnd"/>
      <w:r w:rsidRPr="00771E6E">
        <w:t xml:space="preserve"> e private: un </w:t>
      </w:r>
      <w:proofErr w:type="spellStart"/>
      <w:r w:rsidRPr="00771E6E">
        <w:t>reliquiario</w:t>
      </w:r>
      <w:proofErr w:type="spellEnd"/>
      <w:r w:rsidRPr="00771E6E">
        <w:t xml:space="preserve"> </w:t>
      </w:r>
      <w:proofErr w:type="spellStart"/>
      <w:r w:rsidRPr="00771E6E">
        <w:t>trecentesco</w:t>
      </w:r>
      <w:proofErr w:type="spellEnd"/>
      <w:r w:rsidRPr="00771E6E">
        <w:t xml:space="preserve"> per la </w:t>
      </w:r>
      <w:proofErr w:type="spellStart"/>
      <w:r w:rsidRPr="00771E6E">
        <w:t>confraterinata</w:t>
      </w:r>
      <w:proofErr w:type="spellEnd"/>
      <w:r w:rsidRPr="00771E6E">
        <w:t xml:space="preserve"> di Santa Maria </w:t>
      </w:r>
      <w:proofErr w:type="spellStart"/>
      <w:r w:rsidRPr="00771E6E">
        <w:t>dei</w:t>
      </w:r>
      <w:proofErr w:type="spellEnd"/>
      <w:r w:rsidRPr="00771E6E">
        <w:t xml:space="preserve"> </w:t>
      </w:r>
      <w:proofErr w:type="spellStart"/>
      <w:r w:rsidRPr="00771E6E">
        <w:t>Battuti</w:t>
      </w:r>
      <w:proofErr w:type="spellEnd"/>
      <w:r w:rsidRPr="00771E6E">
        <w:t xml:space="preserve"> </w:t>
      </w:r>
      <w:proofErr w:type="spellStart"/>
      <w:r w:rsidRPr="00771E6E">
        <w:t>nella</w:t>
      </w:r>
      <w:proofErr w:type="spellEnd"/>
      <w:r w:rsidRPr="00771E6E">
        <w:t xml:space="preserve"> </w:t>
      </w:r>
      <w:proofErr w:type="spellStart"/>
      <w:r w:rsidRPr="00771E6E">
        <w:t>Cattedrale</w:t>
      </w:r>
      <w:proofErr w:type="spellEnd"/>
      <w:r w:rsidRPr="00771E6E">
        <w:t xml:space="preserve"> </w:t>
      </w:r>
      <w:proofErr w:type="spellStart"/>
      <w:r w:rsidRPr="00771E6E">
        <w:t>padovana</w:t>
      </w:r>
      <w:proofErr w:type="spellEnd"/>
      <w:r w:rsidR="002F02C0" w:rsidRPr="00771E6E">
        <w:t>.</w:t>
      </w:r>
      <w:r w:rsidRPr="00771E6E">
        <w:t>”</w:t>
      </w:r>
      <w:r w:rsidR="002F02C0" w:rsidRPr="00771E6E">
        <w:t xml:space="preserve"> I</w:t>
      </w:r>
      <w:r w:rsidRPr="00771E6E">
        <w:t xml:space="preserve">n </w:t>
      </w:r>
      <w:proofErr w:type="spellStart"/>
      <w:r w:rsidRPr="00771E6E">
        <w:rPr>
          <w:i/>
          <w:iCs/>
        </w:rPr>
        <w:t>Pregare</w:t>
      </w:r>
      <w:proofErr w:type="spellEnd"/>
      <w:r w:rsidRPr="00771E6E">
        <w:rPr>
          <w:i/>
          <w:iCs/>
        </w:rPr>
        <w:t xml:space="preserve"> in casa: </w:t>
      </w:r>
      <w:proofErr w:type="spellStart"/>
      <w:r w:rsidRPr="00771E6E">
        <w:rPr>
          <w:i/>
          <w:iCs/>
        </w:rPr>
        <w:t>oggetti</w:t>
      </w:r>
      <w:proofErr w:type="spellEnd"/>
      <w:r w:rsidRPr="00771E6E">
        <w:rPr>
          <w:i/>
          <w:iCs/>
        </w:rPr>
        <w:t xml:space="preserve"> e </w:t>
      </w:r>
      <w:proofErr w:type="spellStart"/>
      <w:r w:rsidRPr="00771E6E">
        <w:rPr>
          <w:i/>
          <w:iCs/>
        </w:rPr>
        <w:t>documenti</w:t>
      </w:r>
      <w:proofErr w:type="spellEnd"/>
      <w:r w:rsidRPr="00771E6E">
        <w:rPr>
          <w:i/>
          <w:iCs/>
        </w:rPr>
        <w:t xml:space="preserve"> </w:t>
      </w:r>
      <w:proofErr w:type="spellStart"/>
      <w:r w:rsidRPr="00771E6E">
        <w:rPr>
          <w:i/>
          <w:iCs/>
        </w:rPr>
        <w:t>della</w:t>
      </w:r>
      <w:proofErr w:type="spellEnd"/>
      <w:r w:rsidRPr="00771E6E">
        <w:rPr>
          <w:i/>
          <w:iCs/>
        </w:rPr>
        <w:t xml:space="preserve"> </w:t>
      </w:r>
      <w:proofErr w:type="spellStart"/>
      <w:r w:rsidRPr="00771E6E">
        <w:rPr>
          <w:i/>
          <w:iCs/>
        </w:rPr>
        <w:t>pratica</w:t>
      </w:r>
      <w:proofErr w:type="spellEnd"/>
      <w:r w:rsidRPr="00771E6E">
        <w:rPr>
          <w:i/>
          <w:iCs/>
        </w:rPr>
        <w:t xml:space="preserve"> religiosa </w:t>
      </w:r>
      <w:proofErr w:type="spellStart"/>
      <w:r w:rsidRPr="00771E6E">
        <w:rPr>
          <w:i/>
          <w:iCs/>
        </w:rPr>
        <w:t>tra</w:t>
      </w:r>
      <w:proofErr w:type="spellEnd"/>
      <w:r w:rsidRPr="00771E6E">
        <w:rPr>
          <w:i/>
          <w:iCs/>
        </w:rPr>
        <w:t xml:space="preserve"> </w:t>
      </w:r>
      <w:proofErr w:type="spellStart"/>
      <w:r w:rsidRPr="00771E6E">
        <w:rPr>
          <w:i/>
          <w:iCs/>
        </w:rPr>
        <w:t>Medioevo</w:t>
      </w:r>
      <w:proofErr w:type="spellEnd"/>
      <w:r w:rsidRPr="00771E6E">
        <w:rPr>
          <w:i/>
          <w:iCs/>
        </w:rPr>
        <w:t xml:space="preserve"> e </w:t>
      </w:r>
      <w:proofErr w:type="spellStart"/>
      <w:r w:rsidRPr="00771E6E">
        <w:rPr>
          <w:i/>
          <w:iCs/>
        </w:rPr>
        <w:t>Rinascimento</w:t>
      </w:r>
      <w:proofErr w:type="spellEnd"/>
      <w:r w:rsidRPr="00771E6E">
        <w:t xml:space="preserve">, edited by Giovanna </w:t>
      </w:r>
      <w:proofErr w:type="spellStart"/>
      <w:r w:rsidRPr="00771E6E">
        <w:t>Baldissin</w:t>
      </w:r>
      <w:proofErr w:type="spellEnd"/>
      <w:r w:rsidRPr="00771E6E">
        <w:t xml:space="preserve"> </w:t>
      </w:r>
      <w:proofErr w:type="spellStart"/>
      <w:r w:rsidRPr="00771E6E">
        <w:t>Molli</w:t>
      </w:r>
      <w:proofErr w:type="spellEnd"/>
      <w:r w:rsidRPr="00771E6E">
        <w:t xml:space="preserve">, Cristina </w:t>
      </w:r>
      <w:proofErr w:type="spellStart"/>
      <w:r w:rsidRPr="00771E6E">
        <w:t>Guarnieri</w:t>
      </w:r>
      <w:proofErr w:type="spellEnd"/>
      <w:r w:rsidRPr="00771E6E">
        <w:t xml:space="preserve">, and Zuleika Murat. Rome: </w:t>
      </w:r>
      <w:proofErr w:type="spellStart"/>
      <w:r w:rsidRPr="00771E6E">
        <w:t>Viella</w:t>
      </w:r>
      <w:proofErr w:type="spellEnd"/>
      <w:r w:rsidRPr="00771E6E">
        <w:t>, 2018, 131-148.</w:t>
      </w:r>
    </w:p>
    <w:p w14:paraId="63ECEC70" w14:textId="58674713" w:rsidR="00F33779" w:rsidRPr="00771E6E" w:rsidRDefault="00F33779" w:rsidP="00F33779">
      <w:pPr>
        <w:pStyle w:val="Bibliography"/>
      </w:pPr>
      <w:r w:rsidRPr="00771E6E">
        <w:t xml:space="preserve">Chase, Steven. </w:t>
      </w:r>
      <w:r w:rsidRPr="00771E6E">
        <w:rPr>
          <w:i/>
          <w:iCs/>
        </w:rPr>
        <w:t>Angelic Spirituality: Medieval Perspectives on the Ways of Angels</w:t>
      </w:r>
      <w:r w:rsidRPr="00771E6E">
        <w:t>. Translated by and intro by Steven Chase, preface by Ewert H. Cousins. Paulist Press, 2002.</w:t>
      </w:r>
    </w:p>
    <w:p w14:paraId="1933A9E0" w14:textId="0ABA2D61" w:rsidR="009E2935" w:rsidRPr="00771E6E" w:rsidRDefault="009E2935" w:rsidP="009E2935">
      <w:pPr>
        <w:pStyle w:val="Bibliography"/>
      </w:pPr>
      <w:proofErr w:type="spellStart"/>
      <w:r w:rsidRPr="00771E6E">
        <w:t>Cobianchi</w:t>
      </w:r>
      <w:proofErr w:type="spellEnd"/>
      <w:r w:rsidRPr="00771E6E">
        <w:t xml:space="preserve">, Roberto. “The Use of Woodcuts in Fifteenth-century Italy.” </w:t>
      </w:r>
      <w:r w:rsidRPr="00771E6E">
        <w:rPr>
          <w:i/>
          <w:iCs/>
        </w:rPr>
        <w:t>Print Quarterly</w:t>
      </w:r>
      <w:r w:rsidRPr="00771E6E">
        <w:t xml:space="preserve">, Vol. 23, No. 1 (March 2006): 47-54. </w:t>
      </w:r>
    </w:p>
    <w:p w14:paraId="1337625A" w14:textId="77777777" w:rsidR="00F33779" w:rsidRPr="00771E6E" w:rsidRDefault="00F33779" w:rsidP="00F33779">
      <w:pPr>
        <w:pStyle w:val="Bibliography"/>
      </w:pPr>
      <w:r w:rsidRPr="00771E6E">
        <w:t>Coelho, Victor. “</w:t>
      </w:r>
      <w:proofErr w:type="spellStart"/>
      <w:r w:rsidRPr="00771E6E">
        <w:t>Bronzino’s</w:t>
      </w:r>
      <w:proofErr w:type="spellEnd"/>
      <w:r w:rsidRPr="00771E6E">
        <w:t xml:space="preserve"> Lute Player: Music and Youth Culture in Renaissance Florence.” In </w:t>
      </w:r>
      <w:r w:rsidRPr="00771E6E">
        <w:rPr>
          <w:i/>
          <w:iCs/>
        </w:rPr>
        <w:t xml:space="preserve">Renaissance Studies in </w:t>
      </w:r>
      <w:proofErr w:type="spellStart"/>
      <w:r w:rsidRPr="00771E6E">
        <w:rPr>
          <w:i/>
          <w:iCs/>
        </w:rPr>
        <w:t>Honor</w:t>
      </w:r>
      <w:proofErr w:type="spellEnd"/>
      <w:r w:rsidRPr="00771E6E">
        <w:rPr>
          <w:i/>
          <w:iCs/>
        </w:rPr>
        <w:t xml:space="preserve"> of Joseph Connors</w:t>
      </w:r>
      <w:r w:rsidRPr="00771E6E">
        <w:t xml:space="preserve">, edited by </w:t>
      </w:r>
      <w:proofErr w:type="spellStart"/>
      <w:r w:rsidRPr="00771E6E">
        <w:t>Machtelt</w:t>
      </w:r>
      <w:proofErr w:type="spellEnd"/>
      <w:r w:rsidRPr="00771E6E">
        <w:t xml:space="preserve"> </w:t>
      </w:r>
      <w:proofErr w:type="spellStart"/>
      <w:r w:rsidRPr="00771E6E">
        <w:t>Israëls</w:t>
      </w:r>
      <w:proofErr w:type="spellEnd"/>
      <w:r w:rsidRPr="00771E6E">
        <w:t xml:space="preserve">, Louis Alexander Waldman, and Guido </w:t>
      </w:r>
      <w:proofErr w:type="spellStart"/>
      <w:r w:rsidRPr="00771E6E">
        <w:t>Beltramini</w:t>
      </w:r>
      <w:proofErr w:type="spellEnd"/>
      <w:r w:rsidRPr="00771E6E">
        <w:t xml:space="preserve">, 650–59. Florence: Villa I </w:t>
      </w:r>
      <w:proofErr w:type="spellStart"/>
      <w:r w:rsidRPr="00771E6E">
        <w:t>Tatti</w:t>
      </w:r>
      <w:proofErr w:type="spellEnd"/>
      <w:r w:rsidRPr="00771E6E">
        <w:t xml:space="preserve">, The Harvard University </w:t>
      </w:r>
      <w:proofErr w:type="spellStart"/>
      <w:r w:rsidRPr="00771E6E">
        <w:t>Center</w:t>
      </w:r>
      <w:proofErr w:type="spellEnd"/>
      <w:r w:rsidRPr="00771E6E">
        <w:t xml:space="preserve"> for Italian Renaissance Studies, 2013.</w:t>
      </w:r>
    </w:p>
    <w:p w14:paraId="4EC4CC1E" w14:textId="77777777" w:rsidR="00F33779" w:rsidRPr="00771E6E" w:rsidRDefault="00F33779" w:rsidP="00F33779">
      <w:pPr>
        <w:pStyle w:val="Bibliography"/>
      </w:pPr>
      <w:r w:rsidRPr="00771E6E">
        <w:t xml:space="preserve">Coelho, Victor, and Keith Polk. </w:t>
      </w:r>
      <w:r w:rsidRPr="00771E6E">
        <w:rPr>
          <w:i/>
          <w:iCs/>
        </w:rPr>
        <w:t>Instrumentalists and Renaissance Culture, 1420-1600: Players of Function and Fantasy</w:t>
      </w:r>
      <w:r w:rsidRPr="00771E6E">
        <w:t>. Cambridge: Cambridge university press, 2016.</w:t>
      </w:r>
    </w:p>
    <w:p w14:paraId="6ED7884B" w14:textId="77777777" w:rsidR="00F33779" w:rsidRPr="00771E6E" w:rsidRDefault="00F33779" w:rsidP="00F33779">
      <w:pPr>
        <w:pStyle w:val="Bibliography"/>
      </w:pPr>
      <w:r w:rsidRPr="00771E6E">
        <w:t>Cole-</w:t>
      </w:r>
      <w:proofErr w:type="spellStart"/>
      <w:r w:rsidRPr="00771E6E">
        <w:t>Ahl</w:t>
      </w:r>
      <w:proofErr w:type="spellEnd"/>
      <w:r w:rsidRPr="00771E6E">
        <w:t xml:space="preserve">, Diane. </w:t>
      </w:r>
      <w:proofErr w:type="spellStart"/>
      <w:r w:rsidRPr="00771E6E">
        <w:rPr>
          <w:i/>
          <w:iCs/>
        </w:rPr>
        <w:t>Benozzo</w:t>
      </w:r>
      <w:proofErr w:type="spellEnd"/>
      <w:r w:rsidRPr="00771E6E">
        <w:rPr>
          <w:i/>
          <w:iCs/>
        </w:rPr>
        <w:t xml:space="preserve"> </w:t>
      </w:r>
      <w:proofErr w:type="spellStart"/>
      <w:r w:rsidRPr="00771E6E">
        <w:rPr>
          <w:i/>
          <w:iCs/>
        </w:rPr>
        <w:t>Gozzoli</w:t>
      </w:r>
      <w:proofErr w:type="spellEnd"/>
      <w:r w:rsidRPr="00771E6E">
        <w:rPr>
          <w:i/>
          <w:iCs/>
        </w:rPr>
        <w:t>: Tradition and Innovation in Renaissance Painting.</w:t>
      </w:r>
      <w:r w:rsidRPr="00771E6E">
        <w:t xml:space="preserve"> New Haven; London: Yale University Press, 1996.</w:t>
      </w:r>
    </w:p>
    <w:p w14:paraId="5D948694" w14:textId="77777777" w:rsidR="00F33779" w:rsidRPr="00771E6E" w:rsidRDefault="00F33779" w:rsidP="00F33779">
      <w:pPr>
        <w:pStyle w:val="Bibliography"/>
      </w:pPr>
      <w:proofErr w:type="spellStart"/>
      <w:r w:rsidRPr="00771E6E">
        <w:t>Comanducci</w:t>
      </w:r>
      <w:proofErr w:type="spellEnd"/>
      <w:r w:rsidRPr="00771E6E">
        <w:t>, Rita. “</w:t>
      </w:r>
      <w:proofErr w:type="spellStart"/>
      <w:r w:rsidRPr="00771E6E">
        <w:t>Produzione</w:t>
      </w:r>
      <w:proofErr w:type="spellEnd"/>
      <w:r w:rsidRPr="00771E6E">
        <w:t xml:space="preserve"> serial e </w:t>
      </w:r>
      <w:proofErr w:type="spellStart"/>
      <w:r w:rsidRPr="00771E6E">
        <w:t>mercato</w:t>
      </w:r>
      <w:proofErr w:type="spellEnd"/>
      <w:r w:rsidRPr="00771E6E">
        <w:t xml:space="preserve"> </w:t>
      </w:r>
      <w:proofErr w:type="spellStart"/>
      <w:r w:rsidRPr="00771E6E">
        <w:t>d’arte</w:t>
      </w:r>
      <w:proofErr w:type="spellEnd"/>
      <w:r w:rsidRPr="00771E6E">
        <w:t xml:space="preserve"> a Firenze </w:t>
      </w:r>
      <w:proofErr w:type="spellStart"/>
      <w:r w:rsidRPr="00771E6E">
        <w:t>tra</w:t>
      </w:r>
      <w:proofErr w:type="spellEnd"/>
      <w:r w:rsidRPr="00771E6E">
        <w:t xml:space="preserve"> Quattro e Cinquecento.” In </w:t>
      </w:r>
      <w:r w:rsidRPr="00771E6E">
        <w:rPr>
          <w:i/>
          <w:iCs/>
        </w:rPr>
        <w:t xml:space="preserve">The art market in Italy 15th - 17th centuries: Il </w:t>
      </w:r>
      <w:proofErr w:type="spellStart"/>
      <w:r w:rsidRPr="00771E6E">
        <w:rPr>
          <w:i/>
          <w:iCs/>
        </w:rPr>
        <w:t>mercato</w:t>
      </w:r>
      <w:proofErr w:type="spellEnd"/>
      <w:r w:rsidRPr="00771E6E">
        <w:rPr>
          <w:i/>
          <w:iCs/>
        </w:rPr>
        <w:t xml:space="preserve"> </w:t>
      </w:r>
      <w:proofErr w:type="spellStart"/>
      <w:r w:rsidRPr="00771E6E">
        <w:rPr>
          <w:i/>
          <w:iCs/>
        </w:rPr>
        <w:t>dell’Arte</w:t>
      </w:r>
      <w:proofErr w:type="spellEnd"/>
      <w:r w:rsidRPr="00771E6E">
        <w:rPr>
          <w:i/>
          <w:iCs/>
        </w:rPr>
        <w:t xml:space="preserve"> in Italia </w:t>
      </w:r>
      <w:proofErr w:type="spellStart"/>
      <w:r w:rsidRPr="00771E6E">
        <w:rPr>
          <w:i/>
          <w:iCs/>
        </w:rPr>
        <w:t>secc</w:t>
      </w:r>
      <w:proofErr w:type="spellEnd"/>
      <w:r w:rsidRPr="00771E6E">
        <w:rPr>
          <w:i/>
          <w:iCs/>
        </w:rPr>
        <w:t>. XV-XVII</w:t>
      </w:r>
      <w:r w:rsidRPr="00771E6E">
        <w:t xml:space="preserve">, edited by Marcello </w:t>
      </w:r>
      <w:proofErr w:type="spellStart"/>
      <w:r w:rsidRPr="00771E6E">
        <w:t>Fantoni</w:t>
      </w:r>
      <w:proofErr w:type="spellEnd"/>
      <w:r w:rsidRPr="00771E6E">
        <w:t>, Louisa C Matthew, and Sara F Matthews-</w:t>
      </w:r>
      <w:proofErr w:type="spellStart"/>
      <w:r w:rsidRPr="00771E6E">
        <w:t>Grieco</w:t>
      </w:r>
      <w:proofErr w:type="spellEnd"/>
      <w:r w:rsidRPr="00771E6E">
        <w:t>, 105–13. Modena: Franco Cosimo Panini, 2003.</w:t>
      </w:r>
    </w:p>
    <w:p w14:paraId="25FBB3CF" w14:textId="77777777" w:rsidR="00F33779" w:rsidRPr="00771E6E" w:rsidRDefault="00F33779" w:rsidP="00F33779">
      <w:pPr>
        <w:pStyle w:val="Bibliography"/>
      </w:pPr>
      <w:proofErr w:type="spellStart"/>
      <w:r w:rsidRPr="00771E6E">
        <w:t>Consavari</w:t>
      </w:r>
      <w:proofErr w:type="spellEnd"/>
      <w:r w:rsidRPr="00771E6E">
        <w:t xml:space="preserve">, Elizabeth Carroll, Stephanie R Miller, and Erin J Campbell, eds. </w:t>
      </w:r>
      <w:r w:rsidRPr="00771E6E">
        <w:rPr>
          <w:i/>
          <w:iCs/>
        </w:rPr>
        <w:t>The Early Modern Italian Domestic Interior, 1400-1700: Objects, Spaces, Domesticities</w:t>
      </w:r>
      <w:r w:rsidRPr="00771E6E">
        <w:t>. Farnham: Ashgate, 2014.</w:t>
      </w:r>
    </w:p>
    <w:p w14:paraId="442DD016" w14:textId="77777777" w:rsidR="00F33779" w:rsidRPr="00771E6E" w:rsidRDefault="00F33779" w:rsidP="00F33779">
      <w:pPr>
        <w:pStyle w:val="Bibliography"/>
      </w:pPr>
      <w:r w:rsidRPr="00771E6E">
        <w:t xml:space="preserve">Cooke Carpenter, Nan. </w:t>
      </w:r>
      <w:r w:rsidRPr="00771E6E">
        <w:rPr>
          <w:i/>
          <w:iCs/>
        </w:rPr>
        <w:t>Music in the Medieval and Renaissance Universities</w:t>
      </w:r>
      <w:r w:rsidRPr="00771E6E">
        <w:t>. Norman: University of Oklahoma Press, 1958.</w:t>
      </w:r>
    </w:p>
    <w:p w14:paraId="2C94A533" w14:textId="77777777" w:rsidR="00F33779" w:rsidRPr="00771E6E" w:rsidRDefault="00F33779" w:rsidP="00F33779">
      <w:pPr>
        <w:pStyle w:val="Bibliography"/>
      </w:pPr>
      <w:proofErr w:type="spellStart"/>
      <w:r w:rsidRPr="00771E6E">
        <w:t>Coonin</w:t>
      </w:r>
      <w:proofErr w:type="spellEnd"/>
      <w:r w:rsidRPr="00771E6E">
        <w:t xml:space="preserve">, Arnold Victor. “Portrait Busts of Children in Quattrocento Florence.” </w:t>
      </w:r>
      <w:r w:rsidRPr="00771E6E">
        <w:rPr>
          <w:i/>
          <w:iCs/>
        </w:rPr>
        <w:t>Metropolitan Museum Journal</w:t>
      </w:r>
      <w:r w:rsidRPr="00771E6E">
        <w:t xml:space="preserve"> 30 (1995): 61–71.</w:t>
      </w:r>
    </w:p>
    <w:p w14:paraId="5D925AC2" w14:textId="77777777" w:rsidR="00F33779" w:rsidRPr="00771E6E" w:rsidRDefault="00F33779" w:rsidP="00F33779">
      <w:pPr>
        <w:pStyle w:val="Bibliography"/>
      </w:pPr>
      <w:r w:rsidRPr="00771E6E">
        <w:t xml:space="preserve">Cooper, Donal. “Devotion.” In </w:t>
      </w:r>
      <w:proofErr w:type="gramStart"/>
      <w:r w:rsidRPr="00771E6E">
        <w:rPr>
          <w:i/>
          <w:iCs/>
        </w:rPr>
        <w:t>At</w:t>
      </w:r>
      <w:proofErr w:type="gramEnd"/>
      <w:r w:rsidRPr="00771E6E">
        <w:rPr>
          <w:i/>
          <w:iCs/>
        </w:rPr>
        <w:t xml:space="preserve"> Home in Renaissance Italy</w:t>
      </w:r>
      <w:r w:rsidRPr="00771E6E">
        <w:t xml:space="preserve">, edited by Marta </w:t>
      </w:r>
      <w:proofErr w:type="spellStart"/>
      <w:r w:rsidRPr="00771E6E">
        <w:t>Ajmar-Wollheim</w:t>
      </w:r>
      <w:proofErr w:type="spellEnd"/>
      <w:r w:rsidRPr="00771E6E">
        <w:t xml:space="preserve"> and Flora Dennis, 190–203. London: V&amp;A Publications, 2006.</w:t>
      </w:r>
    </w:p>
    <w:p w14:paraId="52B0BE62" w14:textId="77777777" w:rsidR="00F33779" w:rsidRPr="00771E6E" w:rsidRDefault="00F33779" w:rsidP="00F33779">
      <w:pPr>
        <w:pStyle w:val="Bibliography"/>
      </w:pPr>
      <w:r w:rsidRPr="00771E6E">
        <w:t xml:space="preserve">Corry, Maya. “Delight in Painted Companions: Shaping the Soul from Birth in Early Modern Italy.” In </w:t>
      </w:r>
      <w:r w:rsidRPr="00771E6E">
        <w:rPr>
          <w:i/>
          <w:iCs/>
        </w:rPr>
        <w:t>Domestic Devotions in Early Modern Italy</w:t>
      </w:r>
      <w:r w:rsidRPr="00771E6E">
        <w:t xml:space="preserve">, edited by Maya Corry, Marco </w:t>
      </w:r>
      <w:proofErr w:type="spellStart"/>
      <w:r w:rsidRPr="00771E6E">
        <w:t>Faini</w:t>
      </w:r>
      <w:proofErr w:type="spellEnd"/>
      <w:r w:rsidRPr="00771E6E">
        <w:t xml:space="preserve">, and Alessia </w:t>
      </w:r>
      <w:proofErr w:type="spellStart"/>
      <w:r w:rsidRPr="00771E6E">
        <w:t>Meneghin</w:t>
      </w:r>
      <w:proofErr w:type="spellEnd"/>
      <w:r w:rsidRPr="00771E6E">
        <w:t>, 310-341. Leiden and Boston: Brill, 2018.</w:t>
      </w:r>
    </w:p>
    <w:p w14:paraId="6184A3BF" w14:textId="77777777" w:rsidR="00F33779" w:rsidRPr="00771E6E" w:rsidRDefault="00F33779" w:rsidP="00F33779">
      <w:pPr>
        <w:pStyle w:val="Bibliography"/>
      </w:pPr>
      <w:r w:rsidRPr="00771E6E">
        <w:lastRenderedPageBreak/>
        <w:t xml:space="preserve">Corry, Maya, Marco </w:t>
      </w:r>
      <w:proofErr w:type="spellStart"/>
      <w:r w:rsidRPr="00771E6E">
        <w:t>Faini</w:t>
      </w:r>
      <w:proofErr w:type="spellEnd"/>
      <w:r w:rsidRPr="00771E6E">
        <w:t xml:space="preserve">, and Alessia </w:t>
      </w:r>
      <w:proofErr w:type="spellStart"/>
      <w:r w:rsidRPr="00771E6E">
        <w:t>Meneghin</w:t>
      </w:r>
      <w:proofErr w:type="spellEnd"/>
      <w:r w:rsidRPr="00771E6E">
        <w:t xml:space="preserve">, eds. </w:t>
      </w:r>
      <w:r w:rsidRPr="00771E6E">
        <w:rPr>
          <w:i/>
          <w:iCs/>
        </w:rPr>
        <w:t>Domestic Devotions in Early Modern Italy</w:t>
      </w:r>
      <w:r w:rsidRPr="00771E6E">
        <w:t>. Leiden and Boston: Brill, 2018.</w:t>
      </w:r>
    </w:p>
    <w:p w14:paraId="388AB0AD" w14:textId="77777777" w:rsidR="00F33779" w:rsidRPr="00771E6E" w:rsidRDefault="00F33779" w:rsidP="00F33779">
      <w:pPr>
        <w:pStyle w:val="Bibliography"/>
      </w:pPr>
      <w:proofErr w:type="spellStart"/>
      <w:r w:rsidRPr="00771E6E">
        <w:t>Coté</w:t>
      </w:r>
      <w:proofErr w:type="spellEnd"/>
      <w:r w:rsidRPr="00771E6E">
        <w:t>, Arthur Basil. “</w:t>
      </w:r>
      <w:proofErr w:type="spellStart"/>
      <w:r w:rsidRPr="00771E6E">
        <w:t>Regola</w:t>
      </w:r>
      <w:proofErr w:type="spellEnd"/>
      <w:r w:rsidRPr="00771E6E">
        <w:t xml:space="preserve"> Del </w:t>
      </w:r>
      <w:proofErr w:type="spellStart"/>
      <w:r w:rsidRPr="00771E6E">
        <w:t>Governo</w:t>
      </w:r>
      <w:proofErr w:type="spellEnd"/>
      <w:r w:rsidRPr="00771E6E">
        <w:t xml:space="preserve"> Di </w:t>
      </w:r>
      <w:proofErr w:type="spellStart"/>
      <w:r w:rsidRPr="00771E6E">
        <w:t>Cura</w:t>
      </w:r>
      <w:proofErr w:type="spellEnd"/>
      <w:r w:rsidRPr="00771E6E">
        <w:t xml:space="preserve"> </w:t>
      </w:r>
      <w:proofErr w:type="spellStart"/>
      <w:r w:rsidRPr="00771E6E">
        <w:t>Familiare</w:t>
      </w:r>
      <w:proofErr w:type="spellEnd"/>
      <w:r w:rsidRPr="00771E6E">
        <w:t xml:space="preserve">, </w:t>
      </w:r>
      <w:proofErr w:type="spellStart"/>
      <w:r w:rsidRPr="00771E6E">
        <w:t>Parte</w:t>
      </w:r>
      <w:proofErr w:type="spellEnd"/>
      <w:r w:rsidRPr="00771E6E">
        <w:t xml:space="preserve"> </w:t>
      </w:r>
      <w:proofErr w:type="spellStart"/>
      <w:r w:rsidRPr="00771E6E">
        <w:t>Quarta</w:t>
      </w:r>
      <w:proofErr w:type="spellEnd"/>
      <w:r w:rsidRPr="00771E6E">
        <w:t xml:space="preserve">: </w:t>
      </w:r>
      <w:r w:rsidRPr="00771E6E">
        <w:rPr>
          <w:i/>
          <w:iCs/>
        </w:rPr>
        <w:t>On the Education of Children</w:t>
      </w:r>
      <w:r w:rsidRPr="00771E6E">
        <w:t>.” PhD diss, The Catholic University of America, 1927.</w:t>
      </w:r>
    </w:p>
    <w:p w14:paraId="3BA8B1F7" w14:textId="77777777" w:rsidR="00F33779" w:rsidRPr="00771E6E" w:rsidRDefault="00F33779" w:rsidP="00F33779">
      <w:pPr>
        <w:pStyle w:val="Bibliography"/>
      </w:pPr>
      <w:proofErr w:type="spellStart"/>
      <w:r w:rsidRPr="00771E6E">
        <w:t>Covi</w:t>
      </w:r>
      <w:proofErr w:type="spellEnd"/>
      <w:r w:rsidRPr="00771E6E">
        <w:t xml:space="preserve">, Dario. </w:t>
      </w:r>
      <w:r w:rsidRPr="00771E6E">
        <w:rPr>
          <w:i/>
          <w:iCs/>
        </w:rPr>
        <w:t>The Inscription in Fifteenth Century Florentine Painting</w:t>
      </w:r>
      <w:r w:rsidRPr="00771E6E">
        <w:t>. New York and London: Garland Publishing, 1986.</w:t>
      </w:r>
    </w:p>
    <w:p w14:paraId="51C037C2" w14:textId="77777777" w:rsidR="00F33779" w:rsidRPr="00771E6E" w:rsidRDefault="00F33779" w:rsidP="00F33779">
      <w:pPr>
        <w:pStyle w:val="Bibliography"/>
      </w:pPr>
      <w:r w:rsidRPr="00771E6E">
        <w:t xml:space="preserve">Da </w:t>
      </w:r>
      <w:proofErr w:type="spellStart"/>
      <w:r w:rsidRPr="00771E6E">
        <w:t>Prati</w:t>
      </w:r>
      <w:proofErr w:type="spellEnd"/>
      <w:r w:rsidRPr="00771E6E">
        <w:t xml:space="preserve">, Pino. </w:t>
      </w:r>
      <w:r w:rsidRPr="00771E6E">
        <w:rPr>
          <w:i/>
          <w:iCs/>
        </w:rPr>
        <w:t xml:space="preserve">Giovanni </w:t>
      </w:r>
      <w:proofErr w:type="spellStart"/>
      <w:r w:rsidRPr="00771E6E">
        <w:rPr>
          <w:i/>
          <w:iCs/>
        </w:rPr>
        <w:t>Dominici</w:t>
      </w:r>
      <w:proofErr w:type="spellEnd"/>
      <w:r w:rsidRPr="00771E6E">
        <w:rPr>
          <w:i/>
          <w:iCs/>
        </w:rPr>
        <w:t xml:space="preserve"> e </w:t>
      </w:r>
      <w:proofErr w:type="spellStart"/>
      <w:r w:rsidRPr="00771E6E">
        <w:rPr>
          <w:i/>
          <w:iCs/>
        </w:rPr>
        <w:t>l’Umanesimo</w:t>
      </w:r>
      <w:proofErr w:type="spellEnd"/>
      <w:r w:rsidRPr="00771E6E">
        <w:t xml:space="preserve">. Naples: </w:t>
      </w:r>
      <w:proofErr w:type="spellStart"/>
      <w:r w:rsidRPr="00771E6E">
        <w:t>Istituto</w:t>
      </w:r>
      <w:proofErr w:type="spellEnd"/>
      <w:r w:rsidRPr="00771E6E">
        <w:t xml:space="preserve"> </w:t>
      </w:r>
      <w:proofErr w:type="spellStart"/>
      <w:r w:rsidRPr="00771E6E">
        <w:t>Editoriale</w:t>
      </w:r>
      <w:proofErr w:type="spellEnd"/>
      <w:r w:rsidRPr="00771E6E">
        <w:t xml:space="preserve"> del </w:t>
      </w:r>
      <w:proofErr w:type="spellStart"/>
      <w:r w:rsidRPr="00771E6E">
        <w:t>Mezzogiorno</w:t>
      </w:r>
      <w:proofErr w:type="spellEnd"/>
      <w:r w:rsidRPr="00771E6E">
        <w:t>, 1965.</w:t>
      </w:r>
    </w:p>
    <w:p w14:paraId="5627DDF3" w14:textId="77777777" w:rsidR="00F33779" w:rsidRPr="00771E6E" w:rsidRDefault="00F33779" w:rsidP="00F33779">
      <w:pPr>
        <w:pStyle w:val="Bibliography"/>
      </w:pPr>
      <w:proofErr w:type="spellStart"/>
      <w:r w:rsidRPr="00771E6E">
        <w:t>D’Accone</w:t>
      </w:r>
      <w:proofErr w:type="spellEnd"/>
      <w:r w:rsidRPr="00771E6E">
        <w:t xml:space="preserve">, Frank A. “Lorenzo </w:t>
      </w:r>
      <w:proofErr w:type="spellStart"/>
      <w:r w:rsidRPr="00771E6E">
        <w:t>il</w:t>
      </w:r>
      <w:proofErr w:type="spellEnd"/>
      <w:r w:rsidRPr="00771E6E">
        <w:t xml:space="preserve"> Magnifico e la </w:t>
      </w:r>
      <w:proofErr w:type="spellStart"/>
      <w:r w:rsidRPr="00771E6E">
        <w:t>musica</w:t>
      </w:r>
      <w:proofErr w:type="spellEnd"/>
      <w:r w:rsidRPr="00771E6E">
        <w:t xml:space="preserve">.” Edited by Piero Gargiulo. </w:t>
      </w:r>
      <w:proofErr w:type="spellStart"/>
      <w:r w:rsidRPr="00771E6E">
        <w:rPr>
          <w:i/>
          <w:iCs/>
        </w:rPr>
        <w:t>Musica</w:t>
      </w:r>
      <w:proofErr w:type="spellEnd"/>
      <w:r w:rsidRPr="00771E6E">
        <w:rPr>
          <w:i/>
          <w:iCs/>
        </w:rPr>
        <w:t xml:space="preserve"> a Firenze al tempo di Lorenzo </w:t>
      </w:r>
      <w:proofErr w:type="spellStart"/>
      <w:r w:rsidRPr="00771E6E">
        <w:rPr>
          <w:i/>
          <w:iCs/>
        </w:rPr>
        <w:t>il</w:t>
      </w:r>
      <w:proofErr w:type="spellEnd"/>
      <w:r w:rsidRPr="00771E6E">
        <w:rPr>
          <w:i/>
          <w:iCs/>
        </w:rPr>
        <w:t xml:space="preserve"> Magnifico: </w:t>
      </w:r>
      <w:proofErr w:type="spellStart"/>
      <w:r w:rsidRPr="00771E6E">
        <w:rPr>
          <w:i/>
          <w:iCs/>
        </w:rPr>
        <w:t>Congresso</w:t>
      </w:r>
      <w:proofErr w:type="spellEnd"/>
      <w:r w:rsidRPr="00771E6E">
        <w:rPr>
          <w:i/>
          <w:iCs/>
        </w:rPr>
        <w:t xml:space="preserve"> </w:t>
      </w:r>
      <w:proofErr w:type="spellStart"/>
      <w:r w:rsidRPr="00771E6E">
        <w:rPr>
          <w:i/>
          <w:iCs/>
        </w:rPr>
        <w:t>internazionale</w:t>
      </w:r>
      <w:proofErr w:type="spellEnd"/>
      <w:r w:rsidRPr="00771E6E">
        <w:rPr>
          <w:i/>
          <w:iCs/>
        </w:rPr>
        <w:t xml:space="preserve"> di </w:t>
      </w:r>
      <w:proofErr w:type="spellStart"/>
      <w:r w:rsidRPr="00771E6E">
        <w:rPr>
          <w:i/>
          <w:iCs/>
        </w:rPr>
        <w:t>studi</w:t>
      </w:r>
      <w:proofErr w:type="spellEnd"/>
      <w:r w:rsidRPr="00771E6E">
        <w:rPr>
          <w:i/>
          <w:iCs/>
        </w:rPr>
        <w:t xml:space="preserve">, Firenze, 15-17 </w:t>
      </w:r>
      <w:proofErr w:type="spellStart"/>
      <w:r w:rsidRPr="00771E6E">
        <w:rPr>
          <w:i/>
          <w:iCs/>
        </w:rPr>
        <w:t>giugno</w:t>
      </w:r>
      <w:proofErr w:type="spellEnd"/>
      <w:r w:rsidRPr="00771E6E">
        <w:rPr>
          <w:i/>
          <w:iCs/>
        </w:rPr>
        <w:t xml:space="preserve"> 1992</w:t>
      </w:r>
      <w:r w:rsidRPr="00771E6E">
        <w:t>, 1993, 219–48.</w:t>
      </w:r>
    </w:p>
    <w:p w14:paraId="527A9043" w14:textId="77777777" w:rsidR="00F33779" w:rsidRPr="00771E6E" w:rsidRDefault="00F33779" w:rsidP="00F33779">
      <w:pPr>
        <w:pStyle w:val="Bibliography"/>
      </w:pPr>
      <w:r w:rsidRPr="00771E6E">
        <w:t>D’Agostino, Gianluca. “</w:t>
      </w:r>
      <w:proofErr w:type="spellStart"/>
      <w:r w:rsidRPr="00771E6E">
        <w:t>Gli</w:t>
      </w:r>
      <w:proofErr w:type="spellEnd"/>
      <w:r w:rsidRPr="00771E6E">
        <w:t xml:space="preserve"> Alberti e la </w:t>
      </w:r>
      <w:proofErr w:type="spellStart"/>
      <w:r w:rsidRPr="00771E6E">
        <w:t>Musica</w:t>
      </w:r>
      <w:proofErr w:type="spellEnd"/>
      <w:r w:rsidRPr="00771E6E">
        <w:t xml:space="preserve"> </w:t>
      </w:r>
      <w:proofErr w:type="spellStart"/>
      <w:r w:rsidRPr="00771E6E">
        <w:t>tra</w:t>
      </w:r>
      <w:proofErr w:type="spellEnd"/>
      <w:r w:rsidRPr="00771E6E">
        <w:t xml:space="preserve"> Tre e Quattrocento.” Edited by Paola Benigni, Stefano Campagnolo, L. </w:t>
      </w:r>
      <w:proofErr w:type="spellStart"/>
      <w:r w:rsidRPr="00771E6E">
        <w:t>Rino</w:t>
      </w:r>
      <w:proofErr w:type="spellEnd"/>
      <w:r w:rsidRPr="00771E6E">
        <w:t xml:space="preserve"> Caputo, Stefania Cori, and Agostino </w:t>
      </w:r>
      <w:proofErr w:type="spellStart"/>
      <w:r w:rsidRPr="00771E6E">
        <w:t>Ziino</w:t>
      </w:r>
      <w:proofErr w:type="spellEnd"/>
      <w:r w:rsidRPr="00771E6E">
        <w:t xml:space="preserve">. </w:t>
      </w:r>
      <w:proofErr w:type="spellStart"/>
      <w:r w:rsidRPr="00771E6E">
        <w:rPr>
          <w:i/>
          <w:iCs/>
        </w:rPr>
        <w:t>L’Ars</w:t>
      </w:r>
      <w:proofErr w:type="spellEnd"/>
      <w:r w:rsidRPr="00771E6E">
        <w:rPr>
          <w:i/>
          <w:iCs/>
        </w:rPr>
        <w:t xml:space="preserve"> Nova </w:t>
      </w:r>
      <w:proofErr w:type="spellStart"/>
      <w:r w:rsidRPr="00771E6E">
        <w:rPr>
          <w:i/>
          <w:iCs/>
        </w:rPr>
        <w:t>Italiana</w:t>
      </w:r>
      <w:proofErr w:type="spellEnd"/>
      <w:r w:rsidRPr="00771E6E">
        <w:rPr>
          <w:i/>
          <w:iCs/>
        </w:rPr>
        <w:t xml:space="preserve"> del Trecento, vol. ix, </w:t>
      </w:r>
      <w:proofErr w:type="spellStart"/>
      <w:r w:rsidRPr="00771E6E">
        <w:rPr>
          <w:i/>
          <w:iCs/>
        </w:rPr>
        <w:t>Atti</w:t>
      </w:r>
      <w:proofErr w:type="spellEnd"/>
      <w:r w:rsidRPr="00771E6E">
        <w:rPr>
          <w:i/>
          <w:iCs/>
        </w:rPr>
        <w:t xml:space="preserve"> del </w:t>
      </w:r>
      <w:proofErr w:type="spellStart"/>
      <w:r w:rsidRPr="00771E6E">
        <w:rPr>
          <w:i/>
          <w:iCs/>
        </w:rPr>
        <w:t>Convegno</w:t>
      </w:r>
      <w:proofErr w:type="spellEnd"/>
      <w:r w:rsidRPr="00771E6E">
        <w:rPr>
          <w:i/>
          <w:iCs/>
        </w:rPr>
        <w:t xml:space="preserve"> </w:t>
      </w:r>
      <w:proofErr w:type="spellStart"/>
      <w:r w:rsidRPr="00771E6E">
        <w:rPr>
          <w:i/>
          <w:iCs/>
        </w:rPr>
        <w:t>internazionale</w:t>
      </w:r>
      <w:proofErr w:type="spellEnd"/>
      <w:r w:rsidRPr="00771E6E">
        <w:rPr>
          <w:i/>
          <w:iCs/>
        </w:rPr>
        <w:t xml:space="preserve"> “</w:t>
      </w:r>
      <w:proofErr w:type="spellStart"/>
      <w:r w:rsidRPr="00771E6E">
        <w:rPr>
          <w:i/>
          <w:iCs/>
        </w:rPr>
        <w:t>Letteratura</w:t>
      </w:r>
      <w:proofErr w:type="spellEnd"/>
      <w:r w:rsidRPr="00771E6E">
        <w:rPr>
          <w:i/>
          <w:iCs/>
        </w:rPr>
        <w:t xml:space="preserve"> e </w:t>
      </w:r>
      <w:proofErr w:type="spellStart"/>
      <w:r w:rsidRPr="00771E6E">
        <w:rPr>
          <w:i/>
          <w:iCs/>
        </w:rPr>
        <w:t>Musica</w:t>
      </w:r>
      <w:proofErr w:type="spellEnd"/>
      <w:r w:rsidRPr="00771E6E">
        <w:rPr>
          <w:i/>
          <w:iCs/>
        </w:rPr>
        <w:t xml:space="preserve"> del Duecento e del Trecento” (</w:t>
      </w:r>
      <w:proofErr w:type="spellStart"/>
      <w:r w:rsidRPr="00771E6E">
        <w:rPr>
          <w:i/>
          <w:iCs/>
        </w:rPr>
        <w:t>Certaldo</w:t>
      </w:r>
      <w:proofErr w:type="spellEnd"/>
      <w:r w:rsidRPr="00771E6E">
        <w:rPr>
          <w:i/>
          <w:iCs/>
        </w:rPr>
        <w:t xml:space="preserve">, 17-19 </w:t>
      </w:r>
      <w:proofErr w:type="spellStart"/>
      <w:r w:rsidRPr="00771E6E">
        <w:rPr>
          <w:i/>
          <w:iCs/>
        </w:rPr>
        <w:t>dicembre</w:t>
      </w:r>
      <w:proofErr w:type="spellEnd"/>
      <w:r w:rsidRPr="00771E6E">
        <w:rPr>
          <w:i/>
          <w:iCs/>
        </w:rPr>
        <w:t xml:space="preserve"> 2015)</w:t>
      </w:r>
      <w:r w:rsidRPr="00771E6E">
        <w:t>, 2017, 161–96.</w:t>
      </w:r>
    </w:p>
    <w:p w14:paraId="42FD4424" w14:textId="77777777" w:rsidR="00F33779" w:rsidRPr="00771E6E" w:rsidRDefault="00F33779" w:rsidP="00F33779">
      <w:pPr>
        <w:pStyle w:val="Bibliography"/>
      </w:pPr>
      <w:r w:rsidRPr="00771E6E">
        <w:t xml:space="preserve">Dale, William. “Donatello’s </w:t>
      </w:r>
      <w:proofErr w:type="spellStart"/>
      <w:r w:rsidRPr="00771E6E">
        <w:rPr>
          <w:i/>
          <w:iCs/>
        </w:rPr>
        <w:t>Chellini</w:t>
      </w:r>
      <w:proofErr w:type="spellEnd"/>
      <w:r w:rsidRPr="00771E6E">
        <w:rPr>
          <w:i/>
          <w:iCs/>
        </w:rPr>
        <w:t xml:space="preserve"> Madonna</w:t>
      </w:r>
      <w:r w:rsidRPr="00771E6E">
        <w:t xml:space="preserve">: </w:t>
      </w:r>
      <w:r w:rsidRPr="00771E6E">
        <w:rPr>
          <w:i/>
          <w:iCs/>
        </w:rPr>
        <w:t>Speculum Sine Macula</w:t>
      </w:r>
      <w:r w:rsidRPr="00771E6E">
        <w:t xml:space="preserve">.” </w:t>
      </w:r>
      <w:r w:rsidRPr="00771E6E">
        <w:rPr>
          <w:i/>
          <w:iCs/>
        </w:rPr>
        <w:t>Apollo</w:t>
      </w:r>
      <w:r w:rsidRPr="00771E6E">
        <w:t xml:space="preserve"> 141, no. 397 (March 1995): 3–9.</w:t>
      </w:r>
    </w:p>
    <w:p w14:paraId="092BDED7" w14:textId="77777777" w:rsidR="00F33779" w:rsidRPr="00771E6E" w:rsidRDefault="00F33779" w:rsidP="00F33779">
      <w:pPr>
        <w:pStyle w:val="Bibliography"/>
      </w:pPr>
      <w:proofErr w:type="spellStart"/>
      <w:r w:rsidRPr="00771E6E">
        <w:t>D’Ancona</w:t>
      </w:r>
      <w:proofErr w:type="spellEnd"/>
      <w:r w:rsidRPr="00771E6E">
        <w:t xml:space="preserve">, Alessandro. </w:t>
      </w:r>
      <w:proofErr w:type="spellStart"/>
      <w:r w:rsidRPr="00771E6E">
        <w:rPr>
          <w:i/>
          <w:iCs/>
        </w:rPr>
        <w:t>Sacre</w:t>
      </w:r>
      <w:proofErr w:type="spellEnd"/>
      <w:r w:rsidRPr="00771E6E">
        <w:rPr>
          <w:i/>
          <w:iCs/>
        </w:rPr>
        <w:t xml:space="preserve"> </w:t>
      </w:r>
      <w:proofErr w:type="spellStart"/>
      <w:r w:rsidRPr="00771E6E">
        <w:rPr>
          <w:i/>
          <w:iCs/>
        </w:rPr>
        <w:t>Rappresentazioni</w:t>
      </w:r>
      <w:proofErr w:type="spellEnd"/>
      <w:r w:rsidRPr="00771E6E">
        <w:rPr>
          <w:i/>
          <w:iCs/>
        </w:rPr>
        <w:t xml:space="preserve"> </w:t>
      </w:r>
      <w:proofErr w:type="spellStart"/>
      <w:r w:rsidRPr="00771E6E">
        <w:rPr>
          <w:i/>
          <w:iCs/>
        </w:rPr>
        <w:t>dei</w:t>
      </w:r>
      <w:proofErr w:type="spellEnd"/>
      <w:r w:rsidRPr="00771E6E">
        <w:rPr>
          <w:i/>
          <w:iCs/>
        </w:rPr>
        <w:t xml:space="preserve"> </w:t>
      </w:r>
      <w:proofErr w:type="spellStart"/>
      <w:r w:rsidRPr="00771E6E">
        <w:rPr>
          <w:i/>
          <w:iCs/>
        </w:rPr>
        <w:t>Secoli</w:t>
      </w:r>
      <w:proofErr w:type="spellEnd"/>
      <w:r w:rsidRPr="00771E6E">
        <w:rPr>
          <w:i/>
          <w:iCs/>
        </w:rPr>
        <w:t xml:space="preserve"> XIV, XV e XVI</w:t>
      </w:r>
      <w:r w:rsidRPr="00771E6E">
        <w:t xml:space="preserve">. Vol. 1. Florence: </w:t>
      </w:r>
      <w:proofErr w:type="spellStart"/>
      <w:r w:rsidRPr="00771E6E">
        <w:t>Successori</w:t>
      </w:r>
      <w:proofErr w:type="spellEnd"/>
      <w:r w:rsidRPr="00771E6E">
        <w:t xml:space="preserve"> Le Monnier, 1872.</w:t>
      </w:r>
    </w:p>
    <w:p w14:paraId="731095B3" w14:textId="77777777" w:rsidR="00F33779" w:rsidRPr="00771E6E" w:rsidRDefault="00F33779" w:rsidP="00F33779">
      <w:pPr>
        <w:pStyle w:val="Bibliography"/>
      </w:pPr>
      <w:r w:rsidRPr="00771E6E">
        <w:t xml:space="preserve">———. </w:t>
      </w:r>
      <w:proofErr w:type="spellStart"/>
      <w:r w:rsidRPr="00771E6E">
        <w:rPr>
          <w:i/>
          <w:iCs/>
        </w:rPr>
        <w:t>Origini</w:t>
      </w:r>
      <w:proofErr w:type="spellEnd"/>
      <w:r w:rsidRPr="00771E6E">
        <w:rPr>
          <w:i/>
          <w:iCs/>
        </w:rPr>
        <w:t xml:space="preserve"> del Teatro </w:t>
      </w:r>
      <w:proofErr w:type="spellStart"/>
      <w:r w:rsidRPr="00771E6E">
        <w:rPr>
          <w:i/>
          <w:iCs/>
        </w:rPr>
        <w:t>Italiano</w:t>
      </w:r>
      <w:proofErr w:type="spellEnd"/>
      <w:r w:rsidRPr="00771E6E">
        <w:t xml:space="preserve">. Vol. I. Turin: </w:t>
      </w:r>
      <w:proofErr w:type="spellStart"/>
      <w:r w:rsidRPr="00771E6E">
        <w:t>Ermanno</w:t>
      </w:r>
      <w:proofErr w:type="spellEnd"/>
      <w:r w:rsidRPr="00771E6E">
        <w:t xml:space="preserve"> </w:t>
      </w:r>
      <w:proofErr w:type="spellStart"/>
      <w:r w:rsidRPr="00771E6E">
        <w:t>Loescher</w:t>
      </w:r>
      <w:proofErr w:type="spellEnd"/>
      <w:r w:rsidRPr="00771E6E">
        <w:t>, 1891.</w:t>
      </w:r>
    </w:p>
    <w:p w14:paraId="5E4BEBB0" w14:textId="77777777" w:rsidR="00F33779" w:rsidRPr="00771E6E" w:rsidRDefault="00F33779" w:rsidP="00F33779">
      <w:pPr>
        <w:pStyle w:val="Bibliography"/>
      </w:pPr>
      <w:proofErr w:type="spellStart"/>
      <w:r w:rsidRPr="00771E6E">
        <w:t>Danieli</w:t>
      </w:r>
      <w:proofErr w:type="spellEnd"/>
      <w:r w:rsidRPr="00771E6E">
        <w:t xml:space="preserve">, Michele. “Arcangelo Michele.” In </w:t>
      </w:r>
      <w:proofErr w:type="spellStart"/>
      <w:r w:rsidRPr="00771E6E">
        <w:rPr>
          <w:i/>
          <w:iCs/>
        </w:rPr>
        <w:t>Angeli</w:t>
      </w:r>
      <w:proofErr w:type="spellEnd"/>
      <w:r w:rsidRPr="00771E6E">
        <w:rPr>
          <w:i/>
          <w:iCs/>
        </w:rPr>
        <w:t xml:space="preserve">: </w:t>
      </w:r>
      <w:proofErr w:type="spellStart"/>
      <w:r w:rsidRPr="00771E6E">
        <w:rPr>
          <w:i/>
          <w:iCs/>
        </w:rPr>
        <w:t>volti</w:t>
      </w:r>
      <w:proofErr w:type="spellEnd"/>
      <w:r w:rsidRPr="00771E6E">
        <w:rPr>
          <w:i/>
          <w:iCs/>
        </w:rPr>
        <w:t xml:space="preserve"> </w:t>
      </w:r>
      <w:proofErr w:type="spellStart"/>
      <w:r w:rsidRPr="00771E6E">
        <w:rPr>
          <w:i/>
          <w:iCs/>
        </w:rPr>
        <w:t>dell’invisibile</w:t>
      </w:r>
      <w:proofErr w:type="spellEnd"/>
      <w:r w:rsidRPr="00771E6E">
        <w:rPr>
          <w:i/>
          <w:iCs/>
        </w:rPr>
        <w:t xml:space="preserve">, </w:t>
      </w:r>
      <w:r w:rsidRPr="00771E6E">
        <w:t xml:space="preserve">exh.cat., edited by Serenella </w:t>
      </w:r>
      <w:proofErr w:type="spellStart"/>
      <w:r w:rsidRPr="00771E6E">
        <w:t>Castri</w:t>
      </w:r>
      <w:proofErr w:type="spellEnd"/>
      <w:r w:rsidRPr="00771E6E">
        <w:t xml:space="preserve">, 191–92. Turin: Umberto </w:t>
      </w:r>
      <w:proofErr w:type="spellStart"/>
      <w:r w:rsidRPr="00771E6E">
        <w:t>Allemandi</w:t>
      </w:r>
      <w:proofErr w:type="spellEnd"/>
      <w:r w:rsidRPr="00771E6E">
        <w:t>, 2010.</w:t>
      </w:r>
    </w:p>
    <w:p w14:paraId="219D9BED" w14:textId="77777777" w:rsidR="00F33779" w:rsidRPr="00771E6E" w:rsidRDefault="00F33779" w:rsidP="00F33779">
      <w:pPr>
        <w:pStyle w:val="Bibliography"/>
      </w:pPr>
      <w:r w:rsidRPr="00771E6E">
        <w:t xml:space="preserve">Debby, </w:t>
      </w:r>
      <w:proofErr w:type="spellStart"/>
      <w:r w:rsidRPr="00771E6E">
        <w:t>Nirit</w:t>
      </w:r>
      <w:proofErr w:type="spellEnd"/>
      <w:r w:rsidRPr="00771E6E">
        <w:t xml:space="preserve"> Ben-Aryeh. “Political Views in the Preaching of Giovanni </w:t>
      </w:r>
      <w:proofErr w:type="spellStart"/>
      <w:r w:rsidRPr="00771E6E">
        <w:t>Dominici</w:t>
      </w:r>
      <w:proofErr w:type="spellEnd"/>
      <w:r w:rsidRPr="00771E6E">
        <w:t xml:space="preserve"> in Renaissance Florence, 1400-1406.” </w:t>
      </w:r>
      <w:r w:rsidRPr="00771E6E">
        <w:rPr>
          <w:i/>
          <w:iCs/>
        </w:rPr>
        <w:t>Renaissance Quarterly</w:t>
      </w:r>
      <w:r w:rsidRPr="00771E6E">
        <w:t xml:space="preserve"> 55, no. 1 (2002): 19–48.</w:t>
      </w:r>
    </w:p>
    <w:p w14:paraId="36739689" w14:textId="77777777" w:rsidR="00F33779" w:rsidRPr="00771E6E" w:rsidRDefault="00F33779" w:rsidP="00F33779">
      <w:pPr>
        <w:pStyle w:val="Bibliography"/>
      </w:pPr>
      <w:r w:rsidRPr="00771E6E">
        <w:t xml:space="preserve">———. </w:t>
      </w:r>
      <w:r w:rsidRPr="00771E6E">
        <w:rPr>
          <w:i/>
          <w:iCs/>
        </w:rPr>
        <w:t xml:space="preserve">Renaissance Florence in the Rhetoric of Two Popular Preachers: Giovanni </w:t>
      </w:r>
      <w:proofErr w:type="spellStart"/>
      <w:r w:rsidRPr="00771E6E">
        <w:rPr>
          <w:i/>
          <w:iCs/>
        </w:rPr>
        <w:t>Dominici</w:t>
      </w:r>
      <w:proofErr w:type="spellEnd"/>
      <w:r w:rsidRPr="00771E6E">
        <w:rPr>
          <w:i/>
          <w:iCs/>
        </w:rPr>
        <w:t xml:space="preserve"> (1356-1419) and Bernardino Da Siena (1380-1444)</w:t>
      </w:r>
      <w:r w:rsidRPr="00771E6E">
        <w:t xml:space="preserve">. Turnhout: </w:t>
      </w:r>
      <w:proofErr w:type="spellStart"/>
      <w:r w:rsidRPr="00771E6E">
        <w:t>Brepols</w:t>
      </w:r>
      <w:proofErr w:type="spellEnd"/>
      <w:r w:rsidRPr="00771E6E">
        <w:t>, 2001.</w:t>
      </w:r>
    </w:p>
    <w:p w14:paraId="0B62CB88" w14:textId="77777777" w:rsidR="00F33779" w:rsidRPr="00771E6E" w:rsidRDefault="00F33779" w:rsidP="00F33779">
      <w:pPr>
        <w:pStyle w:val="Bibliography"/>
      </w:pPr>
      <w:proofErr w:type="spellStart"/>
      <w:r w:rsidRPr="00771E6E">
        <w:t>Debenedetti</w:t>
      </w:r>
      <w:proofErr w:type="spellEnd"/>
      <w:r w:rsidRPr="00771E6E">
        <w:t xml:space="preserve">, Ana. “Entry 119.” In </w:t>
      </w:r>
      <w:r w:rsidRPr="00771E6E">
        <w:rPr>
          <w:i/>
          <w:iCs/>
        </w:rPr>
        <w:t>Botticelli Reimagined</w:t>
      </w:r>
      <w:r w:rsidRPr="00771E6E">
        <w:t xml:space="preserve">, edited by Mark Evans, Stefan </w:t>
      </w:r>
      <w:proofErr w:type="spellStart"/>
      <w:r w:rsidRPr="00771E6E">
        <w:t>Weppelmann</w:t>
      </w:r>
      <w:proofErr w:type="spellEnd"/>
      <w:r w:rsidRPr="00771E6E">
        <w:t xml:space="preserve">, and Ana </w:t>
      </w:r>
      <w:proofErr w:type="spellStart"/>
      <w:r w:rsidRPr="00771E6E">
        <w:t>Debenedetti</w:t>
      </w:r>
      <w:proofErr w:type="spellEnd"/>
      <w:r w:rsidRPr="00771E6E">
        <w:t>, 269. London: V &amp; A Publishing, 2016.</w:t>
      </w:r>
    </w:p>
    <w:p w14:paraId="6826D800" w14:textId="77777777" w:rsidR="00F33779" w:rsidRPr="00771E6E" w:rsidRDefault="00F33779" w:rsidP="00F33779">
      <w:pPr>
        <w:pStyle w:val="Bibliography"/>
      </w:pPr>
      <w:proofErr w:type="spellStart"/>
      <w:r w:rsidRPr="00771E6E">
        <w:t>DeFord</w:t>
      </w:r>
      <w:proofErr w:type="spellEnd"/>
      <w:r w:rsidRPr="00771E6E">
        <w:t xml:space="preserve">, Ruth. </w:t>
      </w:r>
      <w:r w:rsidRPr="00771E6E">
        <w:rPr>
          <w:i/>
          <w:iCs/>
        </w:rPr>
        <w:t>Tactus, Mensuration and Rhythm in Renaissance Music</w:t>
      </w:r>
      <w:r w:rsidRPr="00771E6E">
        <w:t>, 2018.</w:t>
      </w:r>
    </w:p>
    <w:p w14:paraId="35396FA9" w14:textId="77777777" w:rsidR="00F33779" w:rsidRPr="00771E6E" w:rsidRDefault="00F33779" w:rsidP="00F33779">
      <w:pPr>
        <w:pStyle w:val="Bibliography"/>
      </w:pPr>
      <w:r w:rsidRPr="00771E6E">
        <w:t xml:space="preserve">Dempsey, Charles. </w:t>
      </w:r>
      <w:r w:rsidRPr="00771E6E">
        <w:rPr>
          <w:i/>
          <w:iCs/>
        </w:rPr>
        <w:t>Inventing the Renaissance Putto</w:t>
      </w:r>
      <w:r w:rsidRPr="00771E6E">
        <w:t>. Chapel Hill and London: The University of North Carolina Press, 2001.</w:t>
      </w:r>
    </w:p>
    <w:p w14:paraId="777D834D" w14:textId="77777777" w:rsidR="00F33779" w:rsidRPr="00771E6E" w:rsidRDefault="00F33779" w:rsidP="00F33779">
      <w:pPr>
        <w:pStyle w:val="Bibliography"/>
      </w:pPr>
      <w:r w:rsidRPr="00771E6E">
        <w:t xml:space="preserve">Dennis, Flora. “Music.” In </w:t>
      </w:r>
      <w:proofErr w:type="gramStart"/>
      <w:r w:rsidRPr="00771E6E">
        <w:rPr>
          <w:i/>
          <w:iCs/>
        </w:rPr>
        <w:t>At</w:t>
      </w:r>
      <w:proofErr w:type="gramEnd"/>
      <w:r w:rsidRPr="00771E6E">
        <w:rPr>
          <w:i/>
          <w:iCs/>
        </w:rPr>
        <w:t xml:space="preserve"> Home in Renaissance Italy</w:t>
      </w:r>
      <w:r w:rsidRPr="00771E6E">
        <w:t xml:space="preserve">, edited by Marta </w:t>
      </w:r>
      <w:proofErr w:type="spellStart"/>
      <w:r w:rsidRPr="00771E6E">
        <w:t>Ajmar-Wollheim</w:t>
      </w:r>
      <w:proofErr w:type="spellEnd"/>
      <w:r w:rsidRPr="00771E6E">
        <w:t xml:space="preserve"> and Flora Dennis, 228–43. London: V&amp;A Publications, 2006.</w:t>
      </w:r>
    </w:p>
    <w:p w14:paraId="25232A2B" w14:textId="77777777" w:rsidR="00F33779" w:rsidRPr="00771E6E" w:rsidRDefault="00F33779" w:rsidP="00F33779">
      <w:pPr>
        <w:pStyle w:val="Bibliography"/>
      </w:pPr>
      <w:r w:rsidRPr="00771E6E">
        <w:t xml:space="preserve">———. “Sound and Domestic Space in Fifteenth- and Sixteenth-Century Italy.” </w:t>
      </w:r>
      <w:r w:rsidRPr="00771E6E">
        <w:rPr>
          <w:i/>
          <w:iCs/>
        </w:rPr>
        <w:t>Studies in the Decorative Arts</w:t>
      </w:r>
      <w:r w:rsidRPr="00771E6E">
        <w:t xml:space="preserve"> 16, no. 1 (2008): 7–19.</w:t>
      </w:r>
    </w:p>
    <w:p w14:paraId="51157D93" w14:textId="77777777" w:rsidR="00F33779" w:rsidRPr="00771E6E" w:rsidRDefault="00F33779" w:rsidP="00F33779">
      <w:pPr>
        <w:pStyle w:val="Bibliography"/>
      </w:pPr>
      <w:r w:rsidRPr="00771E6E">
        <w:t>———. “Unlocking the Gates of Chastity: Music and the Erotic in the Domestic Sphere in Fifteenth and Sixteenth-Century Italy.” Edited by Sara F. Matthews-</w:t>
      </w:r>
      <w:proofErr w:type="spellStart"/>
      <w:r w:rsidRPr="00771E6E">
        <w:t>Grieco</w:t>
      </w:r>
      <w:proofErr w:type="spellEnd"/>
      <w:r w:rsidRPr="00771E6E">
        <w:t xml:space="preserve">. </w:t>
      </w:r>
      <w:r w:rsidRPr="00771E6E">
        <w:rPr>
          <w:i/>
          <w:iCs/>
        </w:rPr>
        <w:t>Erotic Cultures of Renaissance Italy</w:t>
      </w:r>
      <w:r w:rsidRPr="00771E6E">
        <w:t>, 2010, 223–45.</w:t>
      </w:r>
    </w:p>
    <w:p w14:paraId="407F54F5" w14:textId="77777777" w:rsidR="00F33779" w:rsidRPr="00771E6E" w:rsidRDefault="00F33779" w:rsidP="00F33779">
      <w:pPr>
        <w:pStyle w:val="Bibliography"/>
      </w:pPr>
      <w:r w:rsidRPr="00771E6E">
        <w:t xml:space="preserve">———. “When Is a Room a Music Room? Sounds, Spaces, and Objects in Non-Courtly Italian Interiors.” In </w:t>
      </w:r>
      <w:proofErr w:type="gramStart"/>
      <w:r w:rsidRPr="00771E6E">
        <w:rPr>
          <w:i/>
          <w:iCs/>
        </w:rPr>
        <w:t>The</w:t>
      </w:r>
      <w:proofErr w:type="gramEnd"/>
      <w:r w:rsidRPr="00771E6E">
        <w:rPr>
          <w:i/>
          <w:iCs/>
        </w:rPr>
        <w:t xml:space="preserve"> Music Room in Early Modern France and Italy: Sound, Space and Object</w:t>
      </w:r>
      <w:r w:rsidRPr="00771E6E">
        <w:t>, edited by Deborah Howard and Laura Moretti, 37–49. Oxford: Published for the British Academy by Oxford University Press, 2012.</w:t>
      </w:r>
    </w:p>
    <w:p w14:paraId="6FEB0BB3" w14:textId="77777777" w:rsidR="00F33779" w:rsidRPr="00771E6E" w:rsidRDefault="00F33779" w:rsidP="00F33779">
      <w:pPr>
        <w:pStyle w:val="Bibliography"/>
      </w:pPr>
      <w:proofErr w:type="spellStart"/>
      <w:r w:rsidRPr="00771E6E">
        <w:t>DePrano</w:t>
      </w:r>
      <w:proofErr w:type="spellEnd"/>
      <w:r w:rsidRPr="00771E6E">
        <w:t xml:space="preserve">, Maria. </w:t>
      </w:r>
      <w:r w:rsidRPr="00771E6E">
        <w:rPr>
          <w:i/>
          <w:iCs/>
        </w:rPr>
        <w:t>Art Patronage, Family, and Gender in Renaissance Florence: The Tornabuoni</w:t>
      </w:r>
      <w:r w:rsidRPr="00771E6E">
        <w:t>. Cambridge: Cambridge University Press, 2018.</w:t>
      </w:r>
    </w:p>
    <w:p w14:paraId="272CC3EC" w14:textId="36C65939" w:rsidR="00F33779" w:rsidRPr="00771E6E" w:rsidRDefault="00F33779" w:rsidP="002115F4">
      <w:pPr>
        <w:pStyle w:val="Bibliography"/>
      </w:pPr>
      <w:r w:rsidRPr="00771E6E">
        <w:t>———. “</w:t>
      </w:r>
      <w:r w:rsidRPr="00771E6E">
        <w:rPr>
          <w:i/>
          <w:iCs/>
        </w:rPr>
        <w:t xml:space="preserve">Chi </w:t>
      </w:r>
      <w:proofErr w:type="spellStart"/>
      <w:r w:rsidRPr="00771E6E">
        <w:rPr>
          <w:i/>
          <w:iCs/>
        </w:rPr>
        <w:t>Vuol</w:t>
      </w:r>
      <w:proofErr w:type="spellEnd"/>
      <w:r w:rsidRPr="00771E6E">
        <w:rPr>
          <w:i/>
          <w:iCs/>
        </w:rPr>
        <w:t xml:space="preserve"> </w:t>
      </w:r>
      <w:proofErr w:type="spellStart"/>
      <w:r w:rsidRPr="00771E6E">
        <w:rPr>
          <w:i/>
          <w:iCs/>
        </w:rPr>
        <w:t>Esser</w:t>
      </w:r>
      <w:proofErr w:type="spellEnd"/>
      <w:r w:rsidRPr="00771E6E">
        <w:rPr>
          <w:i/>
          <w:iCs/>
        </w:rPr>
        <w:t xml:space="preserve"> </w:t>
      </w:r>
      <w:proofErr w:type="spellStart"/>
      <w:r w:rsidRPr="00771E6E">
        <w:rPr>
          <w:i/>
          <w:iCs/>
        </w:rPr>
        <w:t>Lieto</w:t>
      </w:r>
      <w:proofErr w:type="spellEnd"/>
      <w:r w:rsidRPr="00771E6E">
        <w:rPr>
          <w:i/>
          <w:iCs/>
        </w:rPr>
        <w:t>, Sia</w:t>
      </w:r>
      <w:r w:rsidRPr="00771E6E">
        <w:t xml:space="preserve">: Objects of </w:t>
      </w:r>
      <w:proofErr w:type="spellStart"/>
      <w:r w:rsidRPr="00771E6E">
        <w:t>Enterteinment</w:t>
      </w:r>
      <w:proofErr w:type="spellEnd"/>
      <w:r w:rsidRPr="00771E6E">
        <w:t xml:space="preserve"> in the Tornabuoni Palace in Florence.” In </w:t>
      </w:r>
      <w:proofErr w:type="gramStart"/>
      <w:r w:rsidRPr="00771E6E">
        <w:rPr>
          <w:i/>
          <w:iCs/>
        </w:rPr>
        <w:t>The</w:t>
      </w:r>
      <w:proofErr w:type="gramEnd"/>
      <w:r w:rsidRPr="00771E6E">
        <w:rPr>
          <w:i/>
          <w:iCs/>
        </w:rPr>
        <w:t xml:space="preserve"> Early Modern Italian Domestic Interior, 1400-1700: Objects, </w:t>
      </w:r>
      <w:r w:rsidRPr="00771E6E">
        <w:rPr>
          <w:i/>
          <w:iCs/>
        </w:rPr>
        <w:lastRenderedPageBreak/>
        <w:t>Spaces, Domesticities</w:t>
      </w:r>
      <w:r w:rsidRPr="00771E6E">
        <w:t xml:space="preserve">, edited by Elizabeth Carroll </w:t>
      </w:r>
      <w:proofErr w:type="spellStart"/>
      <w:r w:rsidRPr="00771E6E">
        <w:t>Consavari</w:t>
      </w:r>
      <w:proofErr w:type="spellEnd"/>
      <w:r w:rsidRPr="00771E6E">
        <w:t>, Stephanie R Miller, and Erin J Campbell</w:t>
      </w:r>
      <w:r w:rsidR="002115F4" w:rsidRPr="00771E6E">
        <w:t>. Farnham, Surrey: Ashgate, 2013.</w:t>
      </w:r>
    </w:p>
    <w:p w14:paraId="4DC0AC99" w14:textId="1F82506E" w:rsidR="002115F4" w:rsidRPr="00771E6E" w:rsidRDefault="002115F4" w:rsidP="00F33779">
      <w:pPr>
        <w:pStyle w:val="Bibliography"/>
      </w:pPr>
      <w:r w:rsidRPr="00771E6E">
        <w:t xml:space="preserve">Dolan, Frances E. </w:t>
      </w:r>
      <w:r w:rsidRPr="00771E6E">
        <w:rPr>
          <w:i/>
          <w:iCs/>
        </w:rPr>
        <w:t xml:space="preserve">True relations: reading, literature, and evidence in seventeenth-century England. </w:t>
      </w:r>
      <w:r w:rsidRPr="00771E6E">
        <w:t>Philadelphia: University of Pennsylvania Press, 2013.</w:t>
      </w:r>
    </w:p>
    <w:p w14:paraId="7B64EBCE" w14:textId="7AB35B40" w:rsidR="00F33779" w:rsidRPr="00771E6E" w:rsidRDefault="00F33779" w:rsidP="00F33779">
      <w:pPr>
        <w:pStyle w:val="Bibliography"/>
      </w:pPr>
      <w:r w:rsidRPr="00771E6E">
        <w:t xml:space="preserve">Drury, John. </w:t>
      </w:r>
      <w:r w:rsidRPr="00771E6E">
        <w:rPr>
          <w:i/>
          <w:iCs/>
        </w:rPr>
        <w:t>Painting the Word: Christian Pictures and Their Meanings</w:t>
      </w:r>
      <w:r w:rsidRPr="00771E6E">
        <w:t>. London and New Haven: Yale University Press, 2000.</w:t>
      </w:r>
    </w:p>
    <w:p w14:paraId="343F02FF" w14:textId="76F64C32" w:rsidR="001A384D" w:rsidRPr="00771E6E" w:rsidRDefault="001A384D" w:rsidP="001A384D">
      <w:pPr>
        <w:pStyle w:val="Bibliography"/>
      </w:pPr>
      <w:r w:rsidRPr="00771E6E">
        <w:t xml:space="preserve">Duggan, Mary Kay. </w:t>
      </w:r>
      <w:r w:rsidRPr="00771E6E">
        <w:rPr>
          <w:i/>
          <w:iCs/>
        </w:rPr>
        <w:t>Italian Music Incunabula: Printers and Type</w:t>
      </w:r>
      <w:r w:rsidRPr="00771E6E">
        <w:t>. Berkeley and Los Angeles: University of California Press, 1992.</w:t>
      </w:r>
    </w:p>
    <w:p w14:paraId="69B72B14" w14:textId="77777777" w:rsidR="00F33779" w:rsidRPr="00771E6E" w:rsidRDefault="00F33779" w:rsidP="00F33779">
      <w:pPr>
        <w:pStyle w:val="Bibliography"/>
      </w:pPr>
      <w:r w:rsidRPr="00771E6E">
        <w:t xml:space="preserve">Duston, Allen, and Arnold </w:t>
      </w:r>
      <w:proofErr w:type="spellStart"/>
      <w:r w:rsidRPr="00771E6E">
        <w:t>Nesselrath</w:t>
      </w:r>
      <w:proofErr w:type="spellEnd"/>
      <w:r w:rsidRPr="00771E6E">
        <w:t xml:space="preserve">. </w:t>
      </w:r>
      <w:r w:rsidRPr="00771E6E">
        <w:rPr>
          <w:i/>
          <w:iCs/>
        </w:rPr>
        <w:t>Angels from the Vatican: The Invisible Made Visible</w:t>
      </w:r>
      <w:r w:rsidRPr="00771E6E">
        <w:t>. Alexandria, Va.: Art Services International, 1998.</w:t>
      </w:r>
    </w:p>
    <w:p w14:paraId="5E12654F" w14:textId="17016732" w:rsidR="00882107" w:rsidRPr="00771E6E" w:rsidRDefault="00882107" w:rsidP="00882107">
      <w:pPr>
        <w:pStyle w:val="Bibliography"/>
      </w:pPr>
      <w:r w:rsidRPr="00771E6E">
        <w:t xml:space="preserve">Eberhart, Marlene. “Sensing, Time and the Aural Imagination in Titian's ‘Venus with Organist and Dog.’” </w:t>
      </w:r>
      <w:proofErr w:type="spellStart"/>
      <w:r w:rsidRPr="00771E6E">
        <w:rPr>
          <w:i/>
          <w:iCs/>
        </w:rPr>
        <w:t>Artibus</w:t>
      </w:r>
      <w:proofErr w:type="spellEnd"/>
      <w:r w:rsidRPr="00771E6E">
        <w:rPr>
          <w:i/>
          <w:iCs/>
        </w:rPr>
        <w:t xml:space="preserve"> et </w:t>
      </w:r>
      <w:proofErr w:type="spellStart"/>
      <w:r w:rsidRPr="00771E6E">
        <w:rPr>
          <w:i/>
          <w:iCs/>
        </w:rPr>
        <w:t>Historiae</w:t>
      </w:r>
      <w:proofErr w:type="spellEnd"/>
      <w:r w:rsidRPr="00771E6E">
        <w:t xml:space="preserve">, Vol. 33, No. 65 (2012): 79-95. </w:t>
      </w:r>
    </w:p>
    <w:p w14:paraId="32FC982D" w14:textId="77777777" w:rsidR="00F33779" w:rsidRPr="00771E6E" w:rsidRDefault="00F33779" w:rsidP="00F33779">
      <w:pPr>
        <w:pStyle w:val="Bibliography"/>
      </w:pPr>
      <w:r w:rsidRPr="00771E6E">
        <w:t xml:space="preserve">Edgerton, Samuel. </w:t>
      </w:r>
      <w:r w:rsidRPr="00771E6E">
        <w:rPr>
          <w:i/>
          <w:iCs/>
        </w:rPr>
        <w:t>The Mirror, the Window, and the Telescope: How Renaissance Linear Perspective Changed Our Vision of the Universe</w:t>
      </w:r>
      <w:r w:rsidRPr="00771E6E">
        <w:t>. Ithaca: Cornell University Press, 2009.</w:t>
      </w:r>
    </w:p>
    <w:p w14:paraId="1F66BE22" w14:textId="77777777" w:rsidR="00F33779" w:rsidRPr="00771E6E" w:rsidRDefault="00F33779" w:rsidP="00F33779">
      <w:pPr>
        <w:pStyle w:val="Bibliography"/>
      </w:pPr>
      <w:r w:rsidRPr="00771E6E">
        <w:t xml:space="preserve">Edwards, Nancy. “Entry 128.” In </w:t>
      </w:r>
      <w:r w:rsidRPr="00771E6E">
        <w:rPr>
          <w:i/>
          <w:iCs/>
        </w:rPr>
        <w:t>Art and Love in Renaissance Italy</w:t>
      </w:r>
      <w:r w:rsidRPr="00771E6E">
        <w:t>, edited by Andrea Bayer, 277. New York, New Haven, Conn.; London: Metropolitan Museum of Art; Yale University Press, 2008.</w:t>
      </w:r>
    </w:p>
    <w:p w14:paraId="4398D247" w14:textId="77777777" w:rsidR="00F33779" w:rsidRPr="00771E6E" w:rsidRDefault="00F33779" w:rsidP="00F33779">
      <w:pPr>
        <w:pStyle w:val="Bibliography"/>
      </w:pPr>
      <w:proofErr w:type="spellStart"/>
      <w:r w:rsidRPr="00771E6E">
        <w:t>Eisenbichler</w:t>
      </w:r>
      <w:proofErr w:type="spellEnd"/>
      <w:r w:rsidRPr="00771E6E">
        <w:t xml:space="preserve">, Konrad. “Devotion to the Archangel Raphael in Renaissance Florence.” In </w:t>
      </w:r>
      <w:r w:rsidRPr="00771E6E">
        <w:rPr>
          <w:i/>
          <w:iCs/>
        </w:rPr>
        <w:t>Saints Studies in Hagiography</w:t>
      </w:r>
      <w:r w:rsidRPr="00771E6E">
        <w:t xml:space="preserve">, edited by Sandro </w:t>
      </w:r>
      <w:proofErr w:type="spellStart"/>
      <w:r w:rsidRPr="00771E6E">
        <w:t>Sticca</w:t>
      </w:r>
      <w:proofErr w:type="spellEnd"/>
      <w:r w:rsidRPr="00771E6E">
        <w:t xml:space="preserve">, 251–67. Binghamton, New York: </w:t>
      </w:r>
      <w:proofErr w:type="spellStart"/>
      <w:r w:rsidRPr="00771E6E">
        <w:t>Center</w:t>
      </w:r>
      <w:proofErr w:type="spellEnd"/>
      <w:r w:rsidRPr="00771E6E">
        <w:t xml:space="preserve"> for Medieval &amp; early Renaissance Studies, 1996.</w:t>
      </w:r>
    </w:p>
    <w:p w14:paraId="58C7C2E9" w14:textId="77777777" w:rsidR="00F33779" w:rsidRPr="00771E6E" w:rsidRDefault="00F33779" w:rsidP="00F33779">
      <w:pPr>
        <w:pStyle w:val="Bibliography"/>
      </w:pPr>
      <w:r w:rsidRPr="00771E6E">
        <w:t xml:space="preserve">———. </w:t>
      </w:r>
      <w:r w:rsidRPr="00771E6E">
        <w:rPr>
          <w:i/>
          <w:iCs/>
        </w:rPr>
        <w:t>The Boys of the Archangel Raphael: A Youth Confraternity in Florence, 1411-1785</w:t>
      </w:r>
      <w:r w:rsidRPr="00771E6E">
        <w:t>, 1998.</w:t>
      </w:r>
    </w:p>
    <w:p w14:paraId="028D4BAD" w14:textId="77777777" w:rsidR="00F33779" w:rsidRPr="00771E6E" w:rsidRDefault="00F33779" w:rsidP="00F33779">
      <w:pPr>
        <w:pStyle w:val="Bibliography"/>
      </w:pPr>
      <w:r w:rsidRPr="00771E6E">
        <w:t xml:space="preserve">Elders, Willem. </w:t>
      </w:r>
      <w:r w:rsidRPr="00771E6E">
        <w:rPr>
          <w:i/>
          <w:iCs/>
        </w:rPr>
        <w:t>Symbolic Scores: Studies in the Music of the Renaissance</w:t>
      </w:r>
      <w:r w:rsidRPr="00771E6E">
        <w:t>. Leiden; New York: E. J. Brill, 1994.</w:t>
      </w:r>
    </w:p>
    <w:p w14:paraId="019CD5F6" w14:textId="77777777" w:rsidR="00F33779" w:rsidRPr="00771E6E" w:rsidRDefault="00F33779" w:rsidP="00F33779">
      <w:pPr>
        <w:pStyle w:val="Bibliography"/>
      </w:pPr>
      <w:r w:rsidRPr="00771E6E">
        <w:t xml:space="preserve">Evans, Gillian Rosemary. </w:t>
      </w:r>
      <w:r w:rsidRPr="00771E6E">
        <w:rPr>
          <w:i/>
          <w:iCs/>
        </w:rPr>
        <w:t>The Thought of Gregory the Great</w:t>
      </w:r>
      <w:r w:rsidRPr="00771E6E">
        <w:t>. Cambridge: Cambridge University Press, 1986.</w:t>
      </w:r>
    </w:p>
    <w:p w14:paraId="78C8F4FD" w14:textId="77777777" w:rsidR="00F33779" w:rsidRPr="00771E6E" w:rsidRDefault="00F33779" w:rsidP="00F33779">
      <w:pPr>
        <w:pStyle w:val="Bibliography"/>
      </w:pPr>
      <w:r w:rsidRPr="00771E6E">
        <w:t xml:space="preserve">Evans, Mark. “Entry 114.” In </w:t>
      </w:r>
      <w:r w:rsidRPr="00771E6E">
        <w:rPr>
          <w:i/>
          <w:iCs/>
        </w:rPr>
        <w:t>Botticelli Reimagined</w:t>
      </w:r>
      <w:r w:rsidRPr="00771E6E">
        <w:t xml:space="preserve">, edited by Mark Evans, Stefan </w:t>
      </w:r>
      <w:proofErr w:type="spellStart"/>
      <w:r w:rsidRPr="00771E6E">
        <w:t>Weppelmann</w:t>
      </w:r>
      <w:proofErr w:type="spellEnd"/>
      <w:r w:rsidRPr="00771E6E">
        <w:t xml:space="preserve">, and Ana </w:t>
      </w:r>
      <w:proofErr w:type="spellStart"/>
      <w:r w:rsidRPr="00771E6E">
        <w:t>Debenedetti</w:t>
      </w:r>
      <w:proofErr w:type="spellEnd"/>
      <w:r w:rsidRPr="00771E6E">
        <w:t>, 265. London: V &amp; A Publishing, 2016.</w:t>
      </w:r>
    </w:p>
    <w:p w14:paraId="73E11C1E" w14:textId="77777777" w:rsidR="001A384D" w:rsidRPr="00771E6E" w:rsidRDefault="00F33779" w:rsidP="001A384D">
      <w:pPr>
        <w:pStyle w:val="Bibliography"/>
      </w:pPr>
      <w:proofErr w:type="spellStart"/>
      <w:r w:rsidRPr="00771E6E">
        <w:t>Fassler</w:t>
      </w:r>
      <w:proofErr w:type="spellEnd"/>
      <w:r w:rsidRPr="00771E6E">
        <w:t xml:space="preserve">, Margot Elsbeth. </w:t>
      </w:r>
      <w:r w:rsidRPr="00771E6E">
        <w:rPr>
          <w:i/>
          <w:iCs/>
        </w:rPr>
        <w:t>Music in the Medieval West: Western Music in Context</w:t>
      </w:r>
      <w:r w:rsidRPr="00771E6E">
        <w:t>. New York and London: W. W. Norton, 2014.</w:t>
      </w:r>
    </w:p>
    <w:p w14:paraId="6C7C6861" w14:textId="036E29C0" w:rsidR="001A384D" w:rsidRPr="00771E6E" w:rsidRDefault="001A384D" w:rsidP="001A384D">
      <w:pPr>
        <w:pStyle w:val="Bibliography"/>
      </w:pPr>
      <w:r w:rsidRPr="00771E6E">
        <w:t xml:space="preserve">Fenlon, Iain. “Music and Society.” In </w:t>
      </w:r>
      <w:proofErr w:type="gramStart"/>
      <w:r w:rsidRPr="00771E6E">
        <w:rPr>
          <w:i/>
          <w:iCs/>
        </w:rPr>
        <w:t>The</w:t>
      </w:r>
      <w:proofErr w:type="gramEnd"/>
      <w:r w:rsidRPr="00771E6E">
        <w:rPr>
          <w:i/>
          <w:iCs/>
        </w:rPr>
        <w:t xml:space="preserve"> Renaissance: From the 1470s to the end of the 16</w:t>
      </w:r>
      <w:r w:rsidRPr="00771E6E">
        <w:rPr>
          <w:i/>
          <w:iCs/>
          <w:vertAlign w:val="superscript"/>
        </w:rPr>
        <w:t>th</w:t>
      </w:r>
      <w:r w:rsidRPr="00771E6E">
        <w:rPr>
          <w:i/>
          <w:iCs/>
        </w:rPr>
        <w:t xml:space="preserve"> century</w:t>
      </w:r>
      <w:r w:rsidRPr="00771E6E">
        <w:t>, edited by Iain Fenlon. Basingstoke and London: The Macmillan Press, 1989, 1-62.</w:t>
      </w:r>
    </w:p>
    <w:p w14:paraId="494E85B4" w14:textId="77777777" w:rsidR="00F33779" w:rsidRPr="00771E6E" w:rsidRDefault="00F33779" w:rsidP="00F33779">
      <w:pPr>
        <w:pStyle w:val="Bibliography"/>
      </w:pPr>
      <w:r w:rsidRPr="00771E6E">
        <w:t xml:space="preserve">Fenlon, Iain. “Music and Domestic Devotion in the Age of Reform.” In </w:t>
      </w:r>
      <w:r w:rsidRPr="00771E6E">
        <w:rPr>
          <w:i/>
          <w:iCs/>
        </w:rPr>
        <w:t>Domestic Devotions in Early Modern Italy</w:t>
      </w:r>
      <w:r w:rsidRPr="00771E6E">
        <w:t xml:space="preserve">, edited by Maya Corry, Marco </w:t>
      </w:r>
      <w:proofErr w:type="spellStart"/>
      <w:r w:rsidRPr="00771E6E">
        <w:t>Faini</w:t>
      </w:r>
      <w:proofErr w:type="spellEnd"/>
      <w:r w:rsidRPr="00771E6E">
        <w:t xml:space="preserve">, and Alessia </w:t>
      </w:r>
      <w:proofErr w:type="spellStart"/>
      <w:r w:rsidRPr="00771E6E">
        <w:t>Meneghin</w:t>
      </w:r>
      <w:proofErr w:type="spellEnd"/>
      <w:r w:rsidRPr="00771E6E">
        <w:t>, 89–114. Leiden and Boston: Brill, 2018.</w:t>
      </w:r>
    </w:p>
    <w:p w14:paraId="646C1CF6" w14:textId="77777777" w:rsidR="00F33779" w:rsidRPr="00771E6E" w:rsidRDefault="00F33779" w:rsidP="00F33779">
      <w:pPr>
        <w:pStyle w:val="Bibliography"/>
      </w:pPr>
      <w:proofErr w:type="spellStart"/>
      <w:r w:rsidRPr="00771E6E">
        <w:t>Figliuolo</w:t>
      </w:r>
      <w:proofErr w:type="spellEnd"/>
      <w:r w:rsidRPr="00771E6E">
        <w:t>, Bruno. “</w:t>
      </w:r>
      <w:proofErr w:type="spellStart"/>
      <w:r w:rsidRPr="00771E6E">
        <w:t>Pontano</w:t>
      </w:r>
      <w:proofErr w:type="spellEnd"/>
      <w:r w:rsidRPr="00771E6E">
        <w:t>, Giovanni.” Vol. 84, 2015. http://www.treccani.it/enciclopedia/giovanni-pontano_%28Dizionario-Biografico%29/.</w:t>
      </w:r>
    </w:p>
    <w:p w14:paraId="229FE9A7" w14:textId="77777777" w:rsidR="00F33779" w:rsidRPr="00771E6E" w:rsidRDefault="00F33779" w:rsidP="00F33779">
      <w:pPr>
        <w:pStyle w:val="Bibliography"/>
      </w:pPr>
      <w:proofErr w:type="spellStart"/>
      <w:r w:rsidRPr="00771E6E">
        <w:t>Filippi</w:t>
      </w:r>
      <w:proofErr w:type="spellEnd"/>
      <w:r w:rsidRPr="00771E6E">
        <w:t xml:space="preserve">, Daniele V. “Sonic </w:t>
      </w:r>
      <w:proofErr w:type="spellStart"/>
      <w:r w:rsidRPr="00771E6E">
        <w:t>Afterworld</w:t>
      </w:r>
      <w:proofErr w:type="spellEnd"/>
      <w:r w:rsidRPr="00771E6E">
        <w:t xml:space="preserve">: Mapping the Soundscape of Heaven and Hell in Early Modern Cities.” In </w:t>
      </w:r>
      <w:r w:rsidRPr="00771E6E">
        <w:rPr>
          <w:i/>
          <w:iCs/>
        </w:rPr>
        <w:t>Cultural Histories of Noise, Sound and Listening in Europe, 1300-1918.</w:t>
      </w:r>
      <w:r w:rsidRPr="00771E6E">
        <w:t>, edited by Ian Biddle and Kirsten Gibson, 186–204. London and New York: Routledge, Taylor &amp; Francis Group, 2017.</w:t>
      </w:r>
    </w:p>
    <w:p w14:paraId="6BD36ECD" w14:textId="77777777" w:rsidR="00F33779" w:rsidRPr="00771E6E" w:rsidRDefault="00F33779" w:rsidP="00F33779">
      <w:pPr>
        <w:pStyle w:val="Bibliography"/>
      </w:pPr>
      <w:r w:rsidRPr="00771E6E">
        <w:t xml:space="preserve">Fiore, Kristina Hermann. “Entry 20.” In </w:t>
      </w:r>
      <w:r w:rsidRPr="00771E6E">
        <w:rPr>
          <w:i/>
          <w:iCs/>
        </w:rPr>
        <w:t xml:space="preserve">Botticelli E Filippino: </w:t>
      </w:r>
      <w:proofErr w:type="spellStart"/>
      <w:r w:rsidRPr="00771E6E">
        <w:rPr>
          <w:i/>
          <w:iCs/>
        </w:rPr>
        <w:t>L’inquietudine</w:t>
      </w:r>
      <w:proofErr w:type="spellEnd"/>
      <w:r w:rsidRPr="00771E6E">
        <w:rPr>
          <w:i/>
          <w:iCs/>
        </w:rPr>
        <w:t xml:space="preserve"> E La Grazia Nella </w:t>
      </w:r>
      <w:proofErr w:type="spellStart"/>
      <w:r w:rsidRPr="00771E6E">
        <w:rPr>
          <w:i/>
          <w:iCs/>
        </w:rPr>
        <w:t>Pittura</w:t>
      </w:r>
      <w:proofErr w:type="spellEnd"/>
      <w:r w:rsidRPr="00771E6E">
        <w:rPr>
          <w:i/>
          <w:iCs/>
        </w:rPr>
        <w:t xml:space="preserve"> Fiorentina Del Quattrocento </w:t>
      </w:r>
      <w:proofErr w:type="spellStart"/>
      <w:r w:rsidRPr="00771E6E">
        <w:t>Exh.Cat</w:t>
      </w:r>
      <w:proofErr w:type="spellEnd"/>
      <w:r w:rsidRPr="00771E6E">
        <w:t xml:space="preserve">., edited by Daniel </w:t>
      </w:r>
      <w:proofErr w:type="spellStart"/>
      <w:r w:rsidRPr="00771E6E">
        <w:t>Arasse</w:t>
      </w:r>
      <w:proofErr w:type="spellEnd"/>
      <w:r w:rsidRPr="00771E6E">
        <w:t xml:space="preserve">, </w:t>
      </w:r>
      <w:proofErr w:type="spellStart"/>
      <w:r w:rsidRPr="00771E6E">
        <w:t>Pierluigi</w:t>
      </w:r>
      <w:proofErr w:type="spellEnd"/>
      <w:r w:rsidRPr="00771E6E">
        <w:t xml:space="preserve"> De </w:t>
      </w:r>
      <w:proofErr w:type="spellStart"/>
      <w:r w:rsidRPr="00771E6E">
        <w:t>Vecchi</w:t>
      </w:r>
      <w:proofErr w:type="spellEnd"/>
      <w:r w:rsidRPr="00771E6E">
        <w:t xml:space="preserve">, and Jonathan Katz Nelson, 168–71. Milan: </w:t>
      </w:r>
      <w:proofErr w:type="spellStart"/>
      <w:r w:rsidRPr="00771E6E">
        <w:t>Skira</w:t>
      </w:r>
      <w:proofErr w:type="spellEnd"/>
      <w:r w:rsidRPr="00771E6E">
        <w:t>, 2004.</w:t>
      </w:r>
    </w:p>
    <w:p w14:paraId="294EA516" w14:textId="77777777" w:rsidR="00F33779" w:rsidRPr="00771E6E" w:rsidRDefault="00F33779" w:rsidP="00F33779">
      <w:pPr>
        <w:pStyle w:val="Bibliography"/>
      </w:pPr>
      <w:r w:rsidRPr="00771E6E">
        <w:t xml:space="preserve">Flanigan, Theresa. “Art, Memory, and the Cultivation of Virtue: The Ethical Function of Images in </w:t>
      </w:r>
      <w:proofErr w:type="spellStart"/>
      <w:r w:rsidRPr="00771E6E">
        <w:t>Antoninus’s</w:t>
      </w:r>
      <w:proofErr w:type="spellEnd"/>
      <w:r w:rsidRPr="00771E6E">
        <w:t xml:space="preserve"> Opera a Ben Vivere.” </w:t>
      </w:r>
      <w:proofErr w:type="spellStart"/>
      <w:r w:rsidRPr="00771E6E">
        <w:rPr>
          <w:i/>
          <w:iCs/>
        </w:rPr>
        <w:t>Gesta</w:t>
      </w:r>
      <w:proofErr w:type="spellEnd"/>
      <w:r w:rsidRPr="00771E6E">
        <w:t xml:space="preserve"> 53.2 (Fall 2014): 175–95.</w:t>
      </w:r>
    </w:p>
    <w:p w14:paraId="49200526" w14:textId="77777777" w:rsidR="00F33779" w:rsidRPr="00771E6E" w:rsidRDefault="00F33779" w:rsidP="00F33779">
      <w:pPr>
        <w:pStyle w:val="Bibliography"/>
      </w:pPr>
      <w:r w:rsidRPr="00771E6E">
        <w:lastRenderedPageBreak/>
        <w:t xml:space="preserve">———. “Disciplining the Tongue: Archbishop </w:t>
      </w:r>
      <w:proofErr w:type="spellStart"/>
      <w:r w:rsidRPr="00771E6E">
        <w:t>Antoninus</w:t>
      </w:r>
      <w:proofErr w:type="spellEnd"/>
      <w:r w:rsidRPr="00771E6E">
        <w:t xml:space="preserve">, the </w:t>
      </w:r>
      <w:r w:rsidRPr="00771E6E">
        <w:rPr>
          <w:i/>
          <w:iCs/>
        </w:rPr>
        <w:t>Opera a Ben Vivere</w:t>
      </w:r>
      <w:r w:rsidRPr="00771E6E">
        <w:t xml:space="preserve"> and the Regulation of Women’s Speech in Renaissance Florence.” </w:t>
      </w:r>
      <w:r w:rsidRPr="00771E6E">
        <w:rPr>
          <w:i/>
          <w:iCs/>
        </w:rPr>
        <w:t>The Open Arts Journal</w:t>
      </w:r>
      <w:r w:rsidRPr="00771E6E">
        <w:t>, no. 4 (2015): 41–60.</w:t>
      </w:r>
    </w:p>
    <w:p w14:paraId="6C725992" w14:textId="77777777" w:rsidR="00F33779" w:rsidRPr="00771E6E" w:rsidRDefault="00F33779" w:rsidP="00F33779">
      <w:pPr>
        <w:pStyle w:val="Bibliography"/>
      </w:pPr>
      <w:proofErr w:type="spellStart"/>
      <w:r w:rsidRPr="00771E6E">
        <w:t>Forcellino</w:t>
      </w:r>
      <w:proofErr w:type="spellEnd"/>
      <w:r w:rsidRPr="00771E6E">
        <w:t xml:space="preserve">, Maria. “Vittoria Colonna and Michelangelo: Drawings and Paintings.” In </w:t>
      </w:r>
      <w:r w:rsidRPr="00771E6E">
        <w:rPr>
          <w:i/>
          <w:iCs/>
        </w:rPr>
        <w:t>A Companion to Vittoria Colonna</w:t>
      </w:r>
      <w:r w:rsidRPr="00771E6E">
        <w:t xml:space="preserve">, edited by Abigail </w:t>
      </w:r>
      <w:proofErr w:type="spellStart"/>
      <w:r w:rsidRPr="00771E6E">
        <w:t>Brundin</w:t>
      </w:r>
      <w:proofErr w:type="spellEnd"/>
      <w:r w:rsidRPr="00771E6E">
        <w:t xml:space="preserve">, Tatiana </w:t>
      </w:r>
      <w:proofErr w:type="spellStart"/>
      <w:r w:rsidRPr="00771E6E">
        <w:t>Crivelli</w:t>
      </w:r>
      <w:proofErr w:type="spellEnd"/>
      <w:r w:rsidRPr="00771E6E">
        <w:t xml:space="preserve">, and Maria Serena </w:t>
      </w:r>
      <w:proofErr w:type="spellStart"/>
      <w:r w:rsidRPr="00771E6E">
        <w:t>Sapegno</w:t>
      </w:r>
      <w:proofErr w:type="spellEnd"/>
      <w:r w:rsidRPr="00771E6E">
        <w:t>, 270–313. Leiden and Boston: Brill, 2016.</w:t>
      </w:r>
    </w:p>
    <w:p w14:paraId="79E31CEA" w14:textId="77777777" w:rsidR="00F33779" w:rsidRPr="00771E6E" w:rsidRDefault="00F33779" w:rsidP="00F33779">
      <w:pPr>
        <w:pStyle w:val="Bibliography"/>
      </w:pPr>
      <w:proofErr w:type="spellStart"/>
      <w:r w:rsidRPr="00771E6E">
        <w:t>Fortini</w:t>
      </w:r>
      <w:proofErr w:type="spellEnd"/>
      <w:r w:rsidRPr="00771E6E">
        <w:t xml:space="preserve"> Brown, Patricia. “Children and Education.” In </w:t>
      </w:r>
      <w:proofErr w:type="gramStart"/>
      <w:r w:rsidRPr="00771E6E">
        <w:rPr>
          <w:i/>
          <w:iCs/>
        </w:rPr>
        <w:t>At</w:t>
      </w:r>
      <w:proofErr w:type="gramEnd"/>
      <w:r w:rsidRPr="00771E6E">
        <w:rPr>
          <w:i/>
          <w:iCs/>
        </w:rPr>
        <w:t xml:space="preserve"> Home in Renaissance Italy</w:t>
      </w:r>
      <w:r w:rsidRPr="00771E6E">
        <w:t xml:space="preserve">, edited by Marta </w:t>
      </w:r>
      <w:proofErr w:type="spellStart"/>
      <w:r w:rsidRPr="00771E6E">
        <w:t>Ajmar-Wollheim</w:t>
      </w:r>
      <w:proofErr w:type="spellEnd"/>
      <w:r w:rsidRPr="00771E6E">
        <w:t xml:space="preserve"> and Flora Dennis, 136–43. London: V&amp;A Publications, 2006.</w:t>
      </w:r>
    </w:p>
    <w:p w14:paraId="60F12473" w14:textId="69F22E1B" w:rsidR="002F02C0" w:rsidRPr="00771E6E" w:rsidRDefault="002F02C0" w:rsidP="002F02C0">
      <w:pPr>
        <w:pStyle w:val="Bibliography"/>
        <w:rPr>
          <w:i/>
          <w:iCs/>
        </w:rPr>
      </w:pPr>
      <w:r w:rsidRPr="00771E6E">
        <w:t xml:space="preserve">Franco, </w:t>
      </w:r>
      <w:proofErr w:type="spellStart"/>
      <w:r w:rsidRPr="00771E6E">
        <w:t>Tiziana</w:t>
      </w:r>
      <w:proofErr w:type="spellEnd"/>
      <w:r w:rsidRPr="00771E6E">
        <w:t>. “</w:t>
      </w:r>
      <w:proofErr w:type="spellStart"/>
      <w:r w:rsidRPr="00771E6E">
        <w:t>Pregare</w:t>
      </w:r>
      <w:proofErr w:type="spellEnd"/>
      <w:r w:rsidRPr="00771E6E">
        <w:t xml:space="preserve"> in Casa. </w:t>
      </w:r>
      <w:proofErr w:type="spellStart"/>
      <w:r w:rsidRPr="00771E6E">
        <w:t>Conclusioni</w:t>
      </w:r>
      <w:proofErr w:type="spellEnd"/>
      <w:r w:rsidRPr="00771E6E">
        <w:t xml:space="preserve">.” In </w:t>
      </w:r>
      <w:proofErr w:type="spellStart"/>
      <w:r w:rsidRPr="00771E6E">
        <w:rPr>
          <w:i/>
          <w:iCs/>
        </w:rPr>
        <w:t>Pregare</w:t>
      </w:r>
      <w:proofErr w:type="spellEnd"/>
      <w:r w:rsidRPr="00771E6E">
        <w:rPr>
          <w:i/>
          <w:iCs/>
        </w:rPr>
        <w:t xml:space="preserve"> in casa: </w:t>
      </w:r>
      <w:proofErr w:type="spellStart"/>
      <w:r w:rsidRPr="00771E6E">
        <w:rPr>
          <w:i/>
          <w:iCs/>
        </w:rPr>
        <w:t>oggetti</w:t>
      </w:r>
      <w:proofErr w:type="spellEnd"/>
      <w:r w:rsidRPr="00771E6E">
        <w:rPr>
          <w:i/>
          <w:iCs/>
        </w:rPr>
        <w:t xml:space="preserve"> e </w:t>
      </w:r>
      <w:proofErr w:type="spellStart"/>
      <w:r w:rsidRPr="00771E6E">
        <w:rPr>
          <w:i/>
          <w:iCs/>
        </w:rPr>
        <w:t>documenti</w:t>
      </w:r>
      <w:proofErr w:type="spellEnd"/>
      <w:r w:rsidRPr="00771E6E">
        <w:rPr>
          <w:i/>
          <w:iCs/>
        </w:rPr>
        <w:t xml:space="preserve"> </w:t>
      </w:r>
      <w:proofErr w:type="spellStart"/>
      <w:r w:rsidRPr="00771E6E">
        <w:rPr>
          <w:i/>
          <w:iCs/>
        </w:rPr>
        <w:t>della</w:t>
      </w:r>
      <w:proofErr w:type="spellEnd"/>
      <w:r w:rsidRPr="00771E6E">
        <w:rPr>
          <w:i/>
          <w:iCs/>
        </w:rPr>
        <w:t xml:space="preserve"> </w:t>
      </w:r>
      <w:proofErr w:type="spellStart"/>
      <w:r w:rsidRPr="00771E6E">
        <w:rPr>
          <w:i/>
          <w:iCs/>
        </w:rPr>
        <w:t>pratica</w:t>
      </w:r>
      <w:proofErr w:type="spellEnd"/>
      <w:r w:rsidRPr="00771E6E">
        <w:rPr>
          <w:i/>
          <w:iCs/>
        </w:rPr>
        <w:t xml:space="preserve"> religiosa </w:t>
      </w:r>
      <w:proofErr w:type="spellStart"/>
      <w:r w:rsidRPr="00771E6E">
        <w:rPr>
          <w:i/>
          <w:iCs/>
        </w:rPr>
        <w:t>tra</w:t>
      </w:r>
      <w:proofErr w:type="spellEnd"/>
      <w:r w:rsidRPr="00771E6E">
        <w:rPr>
          <w:i/>
          <w:iCs/>
        </w:rPr>
        <w:t xml:space="preserve"> </w:t>
      </w:r>
      <w:proofErr w:type="spellStart"/>
      <w:r w:rsidRPr="00771E6E">
        <w:rPr>
          <w:i/>
          <w:iCs/>
        </w:rPr>
        <w:t>Medioevo</w:t>
      </w:r>
      <w:proofErr w:type="spellEnd"/>
      <w:r w:rsidRPr="00771E6E">
        <w:rPr>
          <w:i/>
          <w:iCs/>
        </w:rPr>
        <w:t xml:space="preserve"> e </w:t>
      </w:r>
      <w:proofErr w:type="spellStart"/>
      <w:r w:rsidRPr="00771E6E">
        <w:rPr>
          <w:i/>
          <w:iCs/>
        </w:rPr>
        <w:t>Rinascimento</w:t>
      </w:r>
      <w:proofErr w:type="spellEnd"/>
      <w:r w:rsidRPr="00771E6E">
        <w:t xml:space="preserve">, edited by Giovanna </w:t>
      </w:r>
      <w:proofErr w:type="spellStart"/>
      <w:r w:rsidRPr="00771E6E">
        <w:t>Baldissin</w:t>
      </w:r>
      <w:proofErr w:type="spellEnd"/>
      <w:r w:rsidRPr="00771E6E">
        <w:t xml:space="preserve"> </w:t>
      </w:r>
      <w:proofErr w:type="spellStart"/>
      <w:r w:rsidRPr="00771E6E">
        <w:t>Molli</w:t>
      </w:r>
      <w:proofErr w:type="spellEnd"/>
      <w:r w:rsidRPr="00771E6E">
        <w:t xml:space="preserve">, Cristina </w:t>
      </w:r>
      <w:proofErr w:type="spellStart"/>
      <w:r w:rsidRPr="00771E6E">
        <w:t>Guarnieri</w:t>
      </w:r>
      <w:proofErr w:type="spellEnd"/>
      <w:r w:rsidRPr="00771E6E">
        <w:t xml:space="preserve">, and Zuleika Murat. Rome: </w:t>
      </w:r>
      <w:proofErr w:type="spellStart"/>
      <w:r w:rsidRPr="00771E6E">
        <w:t>Viella</w:t>
      </w:r>
      <w:proofErr w:type="spellEnd"/>
      <w:r w:rsidRPr="00771E6E">
        <w:t xml:space="preserve">, 2018, </w:t>
      </w:r>
      <w:r w:rsidRPr="00771E6E">
        <w:rPr>
          <w:lang w:val="en-US"/>
        </w:rPr>
        <w:t>295-314.</w:t>
      </w:r>
      <w:r w:rsidRPr="00771E6E">
        <w:t xml:space="preserve"> </w:t>
      </w:r>
    </w:p>
    <w:p w14:paraId="18D925FC" w14:textId="47E45303" w:rsidR="00F33779" w:rsidRPr="00771E6E" w:rsidRDefault="00F33779" w:rsidP="00F33779">
      <w:pPr>
        <w:pStyle w:val="Bibliography"/>
      </w:pPr>
      <w:proofErr w:type="spellStart"/>
      <w:r w:rsidRPr="00771E6E">
        <w:t>Franzoni</w:t>
      </w:r>
      <w:proofErr w:type="spellEnd"/>
      <w:r w:rsidRPr="00771E6E">
        <w:t xml:space="preserve">, Andrea. </w:t>
      </w:r>
      <w:proofErr w:type="spellStart"/>
      <w:r w:rsidRPr="00771E6E">
        <w:rPr>
          <w:i/>
          <w:iCs/>
        </w:rPr>
        <w:t>L’opera</w:t>
      </w:r>
      <w:proofErr w:type="spellEnd"/>
      <w:r w:rsidRPr="00771E6E">
        <w:rPr>
          <w:i/>
          <w:iCs/>
        </w:rPr>
        <w:t xml:space="preserve"> </w:t>
      </w:r>
      <w:proofErr w:type="spellStart"/>
      <w:r w:rsidRPr="00771E6E">
        <w:rPr>
          <w:i/>
          <w:iCs/>
        </w:rPr>
        <w:t>pedagogica</w:t>
      </w:r>
      <w:proofErr w:type="spellEnd"/>
      <w:r w:rsidRPr="00771E6E">
        <w:rPr>
          <w:i/>
          <w:iCs/>
        </w:rPr>
        <w:t xml:space="preserve"> de </w:t>
      </w:r>
      <w:proofErr w:type="spellStart"/>
      <w:r w:rsidRPr="00771E6E">
        <w:rPr>
          <w:i/>
          <w:iCs/>
        </w:rPr>
        <w:t>Maffeo</w:t>
      </w:r>
      <w:proofErr w:type="spellEnd"/>
      <w:r w:rsidRPr="00771E6E">
        <w:rPr>
          <w:i/>
          <w:iCs/>
        </w:rPr>
        <w:t xml:space="preserve"> </w:t>
      </w:r>
      <w:proofErr w:type="spellStart"/>
      <w:r w:rsidRPr="00771E6E">
        <w:rPr>
          <w:i/>
          <w:iCs/>
        </w:rPr>
        <w:t>Vegio</w:t>
      </w:r>
      <w:proofErr w:type="spellEnd"/>
      <w:r w:rsidRPr="00771E6E">
        <w:t xml:space="preserve">. Lodi: </w:t>
      </w:r>
      <w:proofErr w:type="spellStart"/>
      <w:r w:rsidRPr="00771E6E">
        <w:t>Scoietà</w:t>
      </w:r>
      <w:proofErr w:type="spellEnd"/>
      <w:r w:rsidRPr="00771E6E">
        <w:t xml:space="preserve"> Tip. </w:t>
      </w:r>
      <w:proofErr w:type="spellStart"/>
      <w:r w:rsidRPr="00771E6E">
        <w:t>Succ</w:t>
      </w:r>
      <w:proofErr w:type="spellEnd"/>
      <w:r w:rsidRPr="00771E6E">
        <w:t xml:space="preserve">. </w:t>
      </w:r>
      <w:proofErr w:type="spellStart"/>
      <w:r w:rsidRPr="00771E6E">
        <w:t>Wilmant</w:t>
      </w:r>
      <w:proofErr w:type="spellEnd"/>
      <w:r w:rsidRPr="00771E6E">
        <w:t>, 1907.</w:t>
      </w:r>
    </w:p>
    <w:p w14:paraId="38F24276" w14:textId="14BEBEBE" w:rsidR="003F64D4" w:rsidRPr="00771E6E" w:rsidRDefault="003F64D4" w:rsidP="00F33779">
      <w:pPr>
        <w:pStyle w:val="Bibliography"/>
      </w:pPr>
      <w:proofErr w:type="spellStart"/>
      <w:r w:rsidRPr="00771E6E">
        <w:t>Freedberg</w:t>
      </w:r>
      <w:proofErr w:type="spellEnd"/>
      <w:r w:rsidRPr="00771E6E">
        <w:t xml:space="preserve">, Sydney Joseph. </w:t>
      </w:r>
      <w:r w:rsidRPr="00771E6E">
        <w:rPr>
          <w:i/>
          <w:iCs/>
        </w:rPr>
        <w:t>Painting in Italy, 1500 to 1600</w:t>
      </w:r>
      <w:r w:rsidRPr="00771E6E">
        <w:t>. New Haven, Conn. and London: Yale University Press, 1993.</w:t>
      </w:r>
    </w:p>
    <w:p w14:paraId="5D92FA74" w14:textId="40C0A121" w:rsidR="00F33779" w:rsidRPr="00771E6E" w:rsidRDefault="00F33779" w:rsidP="00F33779">
      <w:pPr>
        <w:pStyle w:val="Bibliography"/>
      </w:pPr>
      <w:r w:rsidRPr="00771E6E">
        <w:t xml:space="preserve">Freedman, Richard. </w:t>
      </w:r>
      <w:r w:rsidRPr="00771E6E">
        <w:rPr>
          <w:i/>
          <w:iCs/>
        </w:rPr>
        <w:t>Music in the Renaissance: Western Music in Context</w:t>
      </w:r>
      <w:r w:rsidRPr="00771E6E">
        <w:t>. New York and London: W. W. Norton &amp; Company, 2013.</w:t>
      </w:r>
    </w:p>
    <w:p w14:paraId="6A9F2009" w14:textId="77777777" w:rsidR="00F33779" w:rsidRPr="00771E6E" w:rsidRDefault="00F33779" w:rsidP="00F33779">
      <w:pPr>
        <w:pStyle w:val="Bibliography"/>
      </w:pPr>
      <w:proofErr w:type="spellStart"/>
      <w:r w:rsidRPr="00771E6E">
        <w:t>Frelick</w:t>
      </w:r>
      <w:proofErr w:type="spellEnd"/>
      <w:r w:rsidRPr="00771E6E">
        <w:t xml:space="preserve">, Nancy M. </w:t>
      </w:r>
      <w:r w:rsidRPr="00771E6E">
        <w:rPr>
          <w:i/>
          <w:iCs/>
        </w:rPr>
        <w:t>The Mirror in Medieval and Early Modern Culture: Specular Reflections</w:t>
      </w:r>
      <w:r w:rsidRPr="00771E6E">
        <w:t>, 2016.</w:t>
      </w:r>
    </w:p>
    <w:p w14:paraId="759CE8AF" w14:textId="77777777" w:rsidR="00F33779" w:rsidRPr="00771E6E" w:rsidRDefault="00F33779" w:rsidP="00F33779">
      <w:pPr>
        <w:pStyle w:val="Bibliography"/>
      </w:pPr>
      <w:r w:rsidRPr="00771E6E">
        <w:t xml:space="preserve">Frick, Carole Collier. “The Downcast Eyes of the Women of the Upper Class in Francesco </w:t>
      </w:r>
      <w:proofErr w:type="spellStart"/>
      <w:r w:rsidRPr="00771E6E">
        <w:t>Barbaro’s</w:t>
      </w:r>
      <w:proofErr w:type="spellEnd"/>
      <w:r w:rsidRPr="00771E6E">
        <w:t xml:space="preserve"> </w:t>
      </w:r>
      <w:r w:rsidRPr="00771E6E">
        <w:rPr>
          <w:i/>
          <w:iCs/>
        </w:rPr>
        <w:t xml:space="preserve">De Re </w:t>
      </w:r>
      <w:proofErr w:type="spellStart"/>
      <w:r w:rsidRPr="00771E6E">
        <w:rPr>
          <w:i/>
          <w:iCs/>
        </w:rPr>
        <w:t>Uxoria</w:t>
      </w:r>
      <w:proofErr w:type="spellEnd"/>
      <w:r w:rsidRPr="00771E6E">
        <w:t xml:space="preserve">.” </w:t>
      </w:r>
      <w:r w:rsidRPr="00771E6E">
        <w:rPr>
          <w:i/>
          <w:iCs/>
        </w:rPr>
        <w:t>UCLA Historical Journal</w:t>
      </w:r>
      <w:r w:rsidRPr="00771E6E">
        <w:t>, no. 9 (1989): 8–31.</w:t>
      </w:r>
    </w:p>
    <w:p w14:paraId="1F97859A" w14:textId="77777777" w:rsidR="00F33779" w:rsidRPr="00771E6E" w:rsidRDefault="00F33779" w:rsidP="00F33779">
      <w:pPr>
        <w:pStyle w:val="Bibliography"/>
      </w:pPr>
      <w:proofErr w:type="spellStart"/>
      <w:r w:rsidRPr="00771E6E">
        <w:t>Gallico</w:t>
      </w:r>
      <w:proofErr w:type="spellEnd"/>
      <w:r w:rsidRPr="00771E6E">
        <w:t>, Claudio. “</w:t>
      </w:r>
      <w:proofErr w:type="spellStart"/>
      <w:r w:rsidRPr="00771E6E">
        <w:t>Musica</w:t>
      </w:r>
      <w:proofErr w:type="spellEnd"/>
      <w:r w:rsidRPr="00771E6E">
        <w:t xml:space="preserve"> </w:t>
      </w:r>
      <w:proofErr w:type="spellStart"/>
      <w:r w:rsidRPr="00771E6E">
        <w:t>nella</w:t>
      </w:r>
      <w:proofErr w:type="spellEnd"/>
      <w:r w:rsidRPr="00771E6E">
        <w:t xml:space="preserve"> Ca’ </w:t>
      </w:r>
      <w:proofErr w:type="spellStart"/>
      <w:r w:rsidRPr="00771E6E">
        <w:t>Giocosa</w:t>
      </w:r>
      <w:proofErr w:type="spellEnd"/>
      <w:r w:rsidRPr="00771E6E">
        <w:t xml:space="preserve">.” In </w:t>
      </w:r>
      <w:proofErr w:type="spellStart"/>
      <w:r w:rsidRPr="00771E6E">
        <w:rPr>
          <w:i/>
          <w:iCs/>
        </w:rPr>
        <w:t>Vittorino</w:t>
      </w:r>
      <w:proofErr w:type="spellEnd"/>
      <w:r w:rsidRPr="00771E6E">
        <w:rPr>
          <w:i/>
          <w:iCs/>
        </w:rPr>
        <w:t xml:space="preserve"> da Feltre e la </w:t>
      </w:r>
      <w:proofErr w:type="spellStart"/>
      <w:r w:rsidRPr="00771E6E">
        <w:rPr>
          <w:i/>
          <w:iCs/>
        </w:rPr>
        <w:t>sua</w:t>
      </w:r>
      <w:proofErr w:type="spellEnd"/>
      <w:r w:rsidRPr="00771E6E">
        <w:rPr>
          <w:i/>
          <w:iCs/>
        </w:rPr>
        <w:t xml:space="preserve"> </w:t>
      </w:r>
      <w:proofErr w:type="spellStart"/>
      <w:r w:rsidRPr="00771E6E">
        <w:rPr>
          <w:i/>
          <w:iCs/>
        </w:rPr>
        <w:t>scuola</w:t>
      </w:r>
      <w:proofErr w:type="spellEnd"/>
      <w:r w:rsidRPr="00771E6E">
        <w:rPr>
          <w:i/>
          <w:iCs/>
        </w:rPr>
        <w:t xml:space="preserve">: </w:t>
      </w:r>
      <w:proofErr w:type="spellStart"/>
      <w:r w:rsidRPr="00771E6E">
        <w:rPr>
          <w:i/>
          <w:iCs/>
        </w:rPr>
        <w:t>Umanesimo</w:t>
      </w:r>
      <w:proofErr w:type="spellEnd"/>
      <w:r w:rsidRPr="00771E6E">
        <w:rPr>
          <w:i/>
          <w:iCs/>
        </w:rPr>
        <w:t xml:space="preserve">, </w:t>
      </w:r>
      <w:proofErr w:type="spellStart"/>
      <w:r w:rsidRPr="00771E6E">
        <w:rPr>
          <w:i/>
          <w:iCs/>
        </w:rPr>
        <w:t>Pedagogia</w:t>
      </w:r>
      <w:proofErr w:type="spellEnd"/>
      <w:r w:rsidRPr="00771E6E">
        <w:rPr>
          <w:i/>
          <w:iCs/>
        </w:rPr>
        <w:t>, Arti</w:t>
      </w:r>
      <w:r w:rsidRPr="00771E6E">
        <w:t xml:space="preserve">, edited by Nella </w:t>
      </w:r>
      <w:proofErr w:type="spellStart"/>
      <w:r w:rsidRPr="00771E6E">
        <w:t>Giannetto</w:t>
      </w:r>
      <w:proofErr w:type="spellEnd"/>
      <w:r w:rsidRPr="00771E6E">
        <w:t xml:space="preserve">, 189–98. Florence: Leo S. </w:t>
      </w:r>
      <w:proofErr w:type="spellStart"/>
      <w:r w:rsidRPr="00771E6E">
        <w:t>Olschki</w:t>
      </w:r>
      <w:proofErr w:type="spellEnd"/>
      <w:r w:rsidRPr="00771E6E">
        <w:t xml:space="preserve"> </w:t>
      </w:r>
      <w:proofErr w:type="spellStart"/>
      <w:r w:rsidRPr="00771E6E">
        <w:t>Editore</w:t>
      </w:r>
      <w:proofErr w:type="spellEnd"/>
      <w:r w:rsidRPr="00771E6E">
        <w:t>, 1981.</w:t>
      </w:r>
    </w:p>
    <w:p w14:paraId="12ED1A86" w14:textId="77777777" w:rsidR="00F33779" w:rsidRPr="00771E6E" w:rsidRDefault="00F33779" w:rsidP="00F33779">
      <w:pPr>
        <w:pStyle w:val="Bibliography"/>
      </w:pPr>
      <w:proofErr w:type="spellStart"/>
      <w:r w:rsidRPr="00771E6E">
        <w:t>Garin</w:t>
      </w:r>
      <w:proofErr w:type="spellEnd"/>
      <w:r w:rsidRPr="00771E6E">
        <w:t xml:space="preserve">, Eugenio. </w:t>
      </w:r>
      <w:r w:rsidRPr="00771E6E">
        <w:rPr>
          <w:i/>
          <w:iCs/>
        </w:rPr>
        <w:t xml:space="preserve">Il </w:t>
      </w:r>
      <w:proofErr w:type="spellStart"/>
      <w:r w:rsidRPr="00771E6E">
        <w:rPr>
          <w:i/>
          <w:iCs/>
        </w:rPr>
        <w:t>pensiero</w:t>
      </w:r>
      <w:proofErr w:type="spellEnd"/>
      <w:r w:rsidRPr="00771E6E">
        <w:rPr>
          <w:i/>
          <w:iCs/>
        </w:rPr>
        <w:t xml:space="preserve"> </w:t>
      </w:r>
      <w:proofErr w:type="spellStart"/>
      <w:r w:rsidRPr="00771E6E">
        <w:rPr>
          <w:i/>
          <w:iCs/>
        </w:rPr>
        <w:t>pedagogico</w:t>
      </w:r>
      <w:proofErr w:type="spellEnd"/>
      <w:r w:rsidRPr="00771E6E">
        <w:rPr>
          <w:i/>
          <w:iCs/>
        </w:rPr>
        <w:t xml:space="preserve"> </w:t>
      </w:r>
      <w:proofErr w:type="spellStart"/>
      <w:r w:rsidRPr="00771E6E">
        <w:rPr>
          <w:i/>
          <w:iCs/>
        </w:rPr>
        <w:t>dello</w:t>
      </w:r>
      <w:proofErr w:type="spellEnd"/>
      <w:r w:rsidRPr="00771E6E">
        <w:rPr>
          <w:i/>
          <w:iCs/>
        </w:rPr>
        <w:t xml:space="preserve"> </w:t>
      </w:r>
      <w:proofErr w:type="spellStart"/>
      <w:r w:rsidRPr="00771E6E">
        <w:rPr>
          <w:i/>
          <w:iCs/>
        </w:rPr>
        <w:t>umanesimo</w:t>
      </w:r>
      <w:proofErr w:type="spellEnd"/>
      <w:r w:rsidRPr="00771E6E">
        <w:rPr>
          <w:i/>
          <w:iCs/>
        </w:rPr>
        <w:t xml:space="preserve">. A </w:t>
      </w:r>
      <w:proofErr w:type="spellStart"/>
      <w:r w:rsidRPr="00771E6E">
        <w:rPr>
          <w:i/>
          <w:iCs/>
        </w:rPr>
        <w:t>cura</w:t>
      </w:r>
      <w:proofErr w:type="spellEnd"/>
      <w:r w:rsidRPr="00771E6E">
        <w:rPr>
          <w:i/>
          <w:iCs/>
        </w:rPr>
        <w:t xml:space="preserve"> di Eugenio </w:t>
      </w:r>
      <w:proofErr w:type="spellStart"/>
      <w:r w:rsidRPr="00771E6E">
        <w:rPr>
          <w:i/>
          <w:iCs/>
        </w:rPr>
        <w:t>Garin</w:t>
      </w:r>
      <w:proofErr w:type="spellEnd"/>
      <w:r w:rsidRPr="00771E6E">
        <w:t xml:space="preserve">. Florence: </w:t>
      </w:r>
      <w:proofErr w:type="spellStart"/>
      <w:r w:rsidRPr="00771E6E">
        <w:t>Coedizioni</w:t>
      </w:r>
      <w:proofErr w:type="spellEnd"/>
      <w:r w:rsidRPr="00771E6E">
        <w:t xml:space="preserve"> </w:t>
      </w:r>
      <w:proofErr w:type="spellStart"/>
      <w:r w:rsidRPr="00771E6E">
        <w:t>Giuntine</w:t>
      </w:r>
      <w:proofErr w:type="spellEnd"/>
      <w:r w:rsidRPr="00771E6E">
        <w:t xml:space="preserve"> </w:t>
      </w:r>
      <w:proofErr w:type="spellStart"/>
      <w:r w:rsidRPr="00771E6E">
        <w:t>Sansoni</w:t>
      </w:r>
      <w:proofErr w:type="spellEnd"/>
      <w:r w:rsidRPr="00771E6E">
        <w:t>, 1958.</w:t>
      </w:r>
    </w:p>
    <w:p w14:paraId="2D1F3549" w14:textId="77777777" w:rsidR="00F33779" w:rsidRPr="00771E6E" w:rsidRDefault="00F33779" w:rsidP="00F33779">
      <w:pPr>
        <w:pStyle w:val="Bibliography"/>
      </w:pPr>
      <w:r w:rsidRPr="00771E6E">
        <w:t xml:space="preserve">———. </w:t>
      </w:r>
      <w:proofErr w:type="spellStart"/>
      <w:r w:rsidRPr="00771E6E">
        <w:rPr>
          <w:i/>
          <w:iCs/>
        </w:rPr>
        <w:t>L’educazione</w:t>
      </w:r>
      <w:proofErr w:type="spellEnd"/>
      <w:r w:rsidRPr="00771E6E">
        <w:rPr>
          <w:i/>
          <w:iCs/>
        </w:rPr>
        <w:t xml:space="preserve"> </w:t>
      </w:r>
      <w:proofErr w:type="spellStart"/>
      <w:r w:rsidRPr="00771E6E">
        <w:rPr>
          <w:i/>
          <w:iCs/>
        </w:rPr>
        <w:t>umanistica</w:t>
      </w:r>
      <w:proofErr w:type="spellEnd"/>
      <w:r w:rsidRPr="00771E6E">
        <w:rPr>
          <w:i/>
          <w:iCs/>
        </w:rPr>
        <w:t xml:space="preserve"> in Italia: </w:t>
      </w:r>
      <w:proofErr w:type="spellStart"/>
      <w:r w:rsidRPr="00771E6E">
        <w:rPr>
          <w:i/>
          <w:iCs/>
        </w:rPr>
        <w:t>testi</w:t>
      </w:r>
      <w:proofErr w:type="spellEnd"/>
      <w:r w:rsidRPr="00771E6E">
        <w:rPr>
          <w:i/>
          <w:iCs/>
        </w:rPr>
        <w:t xml:space="preserve"> </w:t>
      </w:r>
      <w:proofErr w:type="spellStart"/>
      <w:r w:rsidRPr="00771E6E">
        <w:rPr>
          <w:i/>
          <w:iCs/>
        </w:rPr>
        <w:t>scelti</w:t>
      </w:r>
      <w:proofErr w:type="spellEnd"/>
      <w:r w:rsidRPr="00771E6E">
        <w:rPr>
          <w:i/>
          <w:iCs/>
        </w:rPr>
        <w:t xml:space="preserve"> e </w:t>
      </w:r>
      <w:proofErr w:type="spellStart"/>
      <w:r w:rsidRPr="00771E6E">
        <w:rPr>
          <w:i/>
          <w:iCs/>
        </w:rPr>
        <w:t>illustrati</w:t>
      </w:r>
      <w:proofErr w:type="spellEnd"/>
      <w:r w:rsidRPr="00771E6E">
        <w:t xml:space="preserve">. Bari: Giuseppe </w:t>
      </w:r>
      <w:proofErr w:type="spellStart"/>
      <w:r w:rsidRPr="00771E6E">
        <w:t>Laterza</w:t>
      </w:r>
      <w:proofErr w:type="spellEnd"/>
      <w:r w:rsidRPr="00771E6E">
        <w:t>, 1949.</w:t>
      </w:r>
    </w:p>
    <w:p w14:paraId="214C0A9D" w14:textId="77777777" w:rsidR="00F33779" w:rsidRPr="00771E6E" w:rsidRDefault="00F33779" w:rsidP="00F33779">
      <w:pPr>
        <w:pStyle w:val="Bibliography"/>
      </w:pPr>
      <w:r w:rsidRPr="00771E6E">
        <w:t xml:space="preserve">———. </w:t>
      </w:r>
      <w:proofErr w:type="spellStart"/>
      <w:r w:rsidRPr="00771E6E">
        <w:rPr>
          <w:i/>
          <w:iCs/>
        </w:rPr>
        <w:t>Ritratti</w:t>
      </w:r>
      <w:proofErr w:type="spellEnd"/>
      <w:r w:rsidRPr="00771E6E">
        <w:rPr>
          <w:i/>
          <w:iCs/>
        </w:rPr>
        <w:t xml:space="preserve"> di </w:t>
      </w:r>
      <w:proofErr w:type="spellStart"/>
      <w:r w:rsidRPr="00771E6E">
        <w:rPr>
          <w:i/>
          <w:iCs/>
        </w:rPr>
        <w:t>umanisti</w:t>
      </w:r>
      <w:proofErr w:type="spellEnd"/>
      <w:r w:rsidRPr="00771E6E">
        <w:t xml:space="preserve">. Florence: </w:t>
      </w:r>
      <w:proofErr w:type="spellStart"/>
      <w:r w:rsidRPr="00771E6E">
        <w:t>Sansoni</w:t>
      </w:r>
      <w:proofErr w:type="spellEnd"/>
      <w:r w:rsidRPr="00771E6E">
        <w:t>, 1967.</w:t>
      </w:r>
    </w:p>
    <w:p w14:paraId="7D3FDB62" w14:textId="77777777" w:rsidR="00F33779" w:rsidRPr="00771E6E" w:rsidRDefault="00F33779" w:rsidP="00F33779">
      <w:pPr>
        <w:pStyle w:val="Bibliography"/>
      </w:pPr>
      <w:r w:rsidRPr="00771E6E">
        <w:t xml:space="preserve">Gasparini, Giuseppina de </w:t>
      </w:r>
      <w:proofErr w:type="spellStart"/>
      <w:r w:rsidRPr="00771E6E">
        <w:t>Sandre</w:t>
      </w:r>
      <w:proofErr w:type="spellEnd"/>
      <w:r w:rsidRPr="00771E6E">
        <w:t>. “</w:t>
      </w:r>
      <w:proofErr w:type="spellStart"/>
      <w:r w:rsidRPr="00771E6E">
        <w:t>Proiezione</w:t>
      </w:r>
      <w:proofErr w:type="spellEnd"/>
      <w:r w:rsidRPr="00771E6E">
        <w:t xml:space="preserve"> </w:t>
      </w:r>
      <w:proofErr w:type="spellStart"/>
      <w:r w:rsidRPr="00771E6E">
        <w:t>civica</w:t>
      </w:r>
      <w:proofErr w:type="spellEnd"/>
      <w:r w:rsidRPr="00771E6E">
        <w:t xml:space="preserve"> del </w:t>
      </w:r>
      <w:proofErr w:type="spellStart"/>
      <w:r w:rsidRPr="00771E6E">
        <w:t>culto</w:t>
      </w:r>
      <w:proofErr w:type="spellEnd"/>
      <w:r w:rsidRPr="00771E6E">
        <w:t xml:space="preserve"> </w:t>
      </w:r>
      <w:proofErr w:type="spellStart"/>
      <w:r w:rsidRPr="00771E6E">
        <w:t>antoniano</w:t>
      </w:r>
      <w:proofErr w:type="spellEnd"/>
      <w:r w:rsidRPr="00771E6E">
        <w:t xml:space="preserve"> e </w:t>
      </w:r>
      <w:proofErr w:type="spellStart"/>
      <w:r w:rsidRPr="00771E6E">
        <w:t>processioni</w:t>
      </w:r>
      <w:proofErr w:type="spellEnd"/>
      <w:r w:rsidRPr="00771E6E">
        <w:t xml:space="preserve"> </w:t>
      </w:r>
      <w:proofErr w:type="spellStart"/>
      <w:r w:rsidRPr="00771E6E">
        <w:t>cittadine</w:t>
      </w:r>
      <w:proofErr w:type="spellEnd"/>
      <w:r w:rsidRPr="00771E6E">
        <w:t xml:space="preserve"> </w:t>
      </w:r>
      <w:proofErr w:type="spellStart"/>
      <w:r w:rsidRPr="00771E6E">
        <w:t>nel</w:t>
      </w:r>
      <w:proofErr w:type="spellEnd"/>
      <w:r w:rsidRPr="00771E6E">
        <w:t xml:space="preserve"> Quattrocento.” In </w:t>
      </w:r>
      <w:r w:rsidRPr="00771E6E">
        <w:rPr>
          <w:i/>
          <w:iCs/>
        </w:rPr>
        <w:t>“</w:t>
      </w:r>
      <w:proofErr w:type="spellStart"/>
      <w:r w:rsidRPr="00771E6E">
        <w:rPr>
          <w:i/>
          <w:iCs/>
        </w:rPr>
        <w:t>Vite</w:t>
      </w:r>
      <w:proofErr w:type="spellEnd"/>
      <w:r w:rsidRPr="00771E6E">
        <w:rPr>
          <w:i/>
          <w:iCs/>
        </w:rPr>
        <w:t>” e Vita di Antonio di Padova</w:t>
      </w:r>
      <w:r w:rsidRPr="00771E6E">
        <w:t xml:space="preserve">, edited by Luciano </w:t>
      </w:r>
      <w:proofErr w:type="spellStart"/>
      <w:r w:rsidRPr="00771E6E">
        <w:t>Bertazzo</w:t>
      </w:r>
      <w:proofErr w:type="spellEnd"/>
      <w:r w:rsidRPr="00771E6E">
        <w:t xml:space="preserve">, 259–83. Padova: Centro </w:t>
      </w:r>
      <w:proofErr w:type="spellStart"/>
      <w:r w:rsidRPr="00771E6E">
        <w:t>Studi</w:t>
      </w:r>
      <w:proofErr w:type="spellEnd"/>
      <w:r w:rsidRPr="00771E6E">
        <w:t xml:space="preserve"> </w:t>
      </w:r>
      <w:proofErr w:type="spellStart"/>
      <w:r w:rsidRPr="00771E6E">
        <w:t>Antoniani</w:t>
      </w:r>
      <w:proofErr w:type="spellEnd"/>
      <w:r w:rsidRPr="00771E6E">
        <w:t>, 1997.</w:t>
      </w:r>
    </w:p>
    <w:p w14:paraId="15D04134" w14:textId="77777777" w:rsidR="00F33779" w:rsidRPr="00771E6E" w:rsidRDefault="00F33779" w:rsidP="00F33779">
      <w:pPr>
        <w:pStyle w:val="Bibliography"/>
      </w:pPr>
      <w:proofErr w:type="spellStart"/>
      <w:r w:rsidRPr="00771E6E">
        <w:t>Gentilini</w:t>
      </w:r>
      <w:proofErr w:type="spellEnd"/>
      <w:r w:rsidRPr="00771E6E">
        <w:t xml:space="preserve">, Giancarlo, ed. </w:t>
      </w:r>
      <w:r w:rsidRPr="00771E6E">
        <w:rPr>
          <w:i/>
          <w:iCs/>
        </w:rPr>
        <w:t xml:space="preserve">I Della Robbia: La </w:t>
      </w:r>
      <w:proofErr w:type="spellStart"/>
      <w:r w:rsidRPr="00771E6E">
        <w:rPr>
          <w:i/>
          <w:iCs/>
        </w:rPr>
        <w:t>Scultura</w:t>
      </w:r>
      <w:proofErr w:type="spellEnd"/>
      <w:r w:rsidRPr="00771E6E">
        <w:rPr>
          <w:i/>
          <w:iCs/>
        </w:rPr>
        <w:t xml:space="preserve"> </w:t>
      </w:r>
      <w:proofErr w:type="spellStart"/>
      <w:r w:rsidRPr="00771E6E">
        <w:rPr>
          <w:i/>
          <w:iCs/>
        </w:rPr>
        <w:t>Invetriata</w:t>
      </w:r>
      <w:proofErr w:type="spellEnd"/>
      <w:r w:rsidRPr="00771E6E">
        <w:rPr>
          <w:i/>
          <w:iCs/>
        </w:rPr>
        <w:t xml:space="preserve"> </w:t>
      </w:r>
      <w:proofErr w:type="spellStart"/>
      <w:r w:rsidRPr="00771E6E">
        <w:rPr>
          <w:i/>
          <w:iCs/>
        </w:rPr>
        <w:t>nel</w:t>
      </w:r>
      <w:proofErr w:type="spellEnd"/>
      <w:r w:rsidRPr="00771E6E">
        <w:rPr>
          <w:i/>
          <w:iCs/>
        </w:rPr>
        <w:t xml:space="preserve"> </w:t>
      </w:r>
      <w:proofErr w:type="spellStart"/>
      <w:r w:rsidRPr="00771E6E">
        <w:rPr>
          <w:i/>
          <w:iCs/>
        </w:rPr>
        <w:t>Rinascimento</w:t>
      </w:r>
      <w:proofErr w:type="spellEnd"/>
      <w:r w:rsidRPr="00771E6E">
        <w:t>. Florence: Cantini, 1992.</w:t>
      </w:r>
    </w:p>
    <w:p w14:paraId="71623271" w14:textId="77777777" w:rsidR="00F33779" w:rsidRPr="00771E6E" w:rsidRDefault="00F33779" w:rsidP="00F33779">
      <w:pPr>
        <w:pStyle w:val="Bibliography"/>
      </w:pPr>
      <w:proofErr w:type="spellStart"/>
      <w:r w:rsidRPr="00771E6E">
        <w:t>Geretti</w:t>
      </w:r>
      <w:proofErr w:type="spellEnd"/>
      <w:r w:rsidRPr="00771E6E">
        <w:t xml:space="preserve">, Alessio. “Missus </w:t>
      </w:r>
      <w:proofErr w:type="spellStart"/>
      <w:r w:rsidRPr="00771E6E">
        <w:t>est</w:t>
      </w:r>
      <w:proofErr w:type="spellEnd"/>
      <w:r w:rsidRPr="00771E6E">
        <w:t xml:space="preserve"> Angelus.” In </w:t>
      </w:r>
      <w:proofErr w:type="spellStart"/>
      <w:r w:rsidRPr="00771E6E">
        <w:rPr>
          <w:i/>
          <w:iCs/>
        </w:rPr>
        <w:t>Angeli</w:t>
      </w:r>
      <w:proofErr w:type="spellEnd"/>
      <w:r w:rsidRPr="00771E6E">
        <w:rPr>
          <w:i/>
          <w:iCs/>
        </w:rPr>
        <w:t xml:space="preserve">: </w:t>
      </w:r>
      <w:proofErr w:type="spellStart"/>
      <w:r w:rsidRPr="00771E6E">
        <w:rPr>
          <w:i/>
          <w:iCs/>
        </w:rPr>
        <w:t>volti</w:t>
      </w:r>
      <w:proofErr w:type="spellEnd"/>
      <w:r w:rsidRPr="00771E6E">
        <w:rPr>
          <w:i/>
          <w:iCs/>
        </w:rPr>
        <w:t xml:space="preserve"> </w:t>
      </w:r>
      <w:proofErr w:type="spellStart"/>
      <w:r w:rsidRPr="00771E6E">
        <w:rPr>
          <w:i/>
          <w:iCs/>
        </w:rPr>
        <w:t>dell’invisibile</w:t>
      </w:r>
      <w:proofErr w:type="spellEnd"/>
      <w:r w:rsidRPr="00771E6E">
        <w:rPr>
          <w:i/>
          <w:iCs/>
        </w:rPr>
        <w:t xml:space="preserve">, </w:t>
      </w:r>
      <w:r w:rsidRPr="00771E6E">
        <w:t xml:space="preserve">exh.cat., edited by Serenella </w:t>
      </w:r>
      <w:proofErr w:type="spellStart"/>
      <w:r w:rsidRPr="00771E6E">
        <w:t>Castri</w:t>
      </w:r>
      <w:proofErr w:type="spellEnd"/>
      <w:r w:rsidRPr="00771E6E">
        <w:t xml:space="preserve">, 11–25. Turin: Umberto </w:t>
      </w:r>
      <w:proofErr w:type="spellStart"/>
      <w:r w:rsidRPr="00771E6E">
        <w:t>Allemandi</w:t>
      </w:r>
      <w:proofErr w:type="spellEnd"/>
      <w:r w:rsidRPr="00771E6E">
        <w:t>, 2010.</w:t>
      </w:r>
    </w:p>
    <w:p w14:paraId="5F360EFD" w14:textId="77777777" w:rsidR="00F33779" w:rsidRPr="00771E6E" w:rsidRDefault="00F33779" w:rsidP="00F33779">
      <w:pPr>
        <w:pStyle w:val="Bibliography"/>
      </w:pPr>
      <w:proofErr w:type="spellStart"/>
      <w:r w:rsidRPr="00771E6E">
        <w:t>Geronimus</w:t>
      </w:r>
      <w:proofErr w:type="spellEnd"/>
      <w:r w:rsidRPr="00771E6E">
        <w:t xml:space="preserve">, Dennis. “Entry 24.” In </w:t>
      </w:r>
      <w:r w:rsidRPr="00771E6E">
        <w:rPr>
          <w:i/>
          <w:iCs/>
        </w:rPr>
        <w:t>Piero Di Cosimo: The Poetry of Painting in Renaissance Florence</w:t>
      </w:r>
      <w:r w:rsidRPr="00771E6E">
        <w:t xml:space="preserve">, edited by Dennis </w:t>
      </w:r>
      <w:proofErr w:type="spellStart"/>
      <w:r w:rsidRPr="00771E6E">
        <w:t>Geronimus</w:t>
      </w:r>
      <w:proofErr w:type="spellEnd"/>
      <w:r w:rsidRPr="00771E6E">
        <w:t>, 175–77. London: Lund Humphries Pub., 2015.</w:t>
      </w:r>
    </w:p>
    <w:p w14:paraId="37E9D627" w14:textId="77777777" w:rsidR="00F33779" w:rsidRPr="00771E6E" w:rsidRDefault="00F33779" w:rsidP="00F33779">
      <w:pPr>
        <w:pStyle w:val="Bibliography"/>
      </w:pPr>
      <w:r w:rsidRPr="00771E6E">
        <w:t xml:space="preserve">———. “Entry 44.” In </w:t>
      </w:r>
      <w:r w:rsidRPr="00771E6E">
        <w:rPr>
          <w:i/>
          <w:iCs/>
        </w:rPr>
        <w:t>Piero Di Cosimo: The Poetry of Painting in Renaissance Florence</w:t>
      </w:r>
      <w:r w:rsidRPr="00771E6E">
        <w:t xml:space="preserve">, edited by Dennis </w:t>
      </w:r>
      <w:proofErr w:type="spellStart"/>
      <w:r w:rsidRPr="00771E6E">
        <w:t>Geronimus</w:t>
      </w:r>
      <w:proofErr w:type="spellEnd"/>
      <w:r w:rsidRPr="00771E6E">
        <w:t>, 300–301. London: Lund Humphries Pub., 2015.</w:t>
      </w:r>
    </w:p>
    <w:p w14:paraId="20C972A2" w14:textId="77777777" w:rsidR="00F33779" w:rsidRPr="00771E6E" w:rsidRDefault="00F33779" w:rsidP="00F33779">
      <w:pPr>
        <w:pStyle w:val="Bibliography"/>
      </w:pPr>
      <w:r w:rsidRPr="00771E6E">
        <w:t xml:space="preserve">———. </w:t>
      </w:r>
      <w:r w:rsidRPr="00771E6E">
        <w:rPr>
          <w:i/>
          <w:iCs/>
        </w:rPr>
        <w:t>Piero Di Cosimo: Visions, Beautiful and Strange</w:t>
      </w:r>
      <w:r w:rsidRPr="00771E6E">
        <w:t>. New Haven; London: Yale University Press, 2006.</w:t>
      </w:r>
    </w:p>
    <w:p w14:paraId="6B3F69DF" w14:textId="77777777" w:rsidR="00F33779" w:rsidRPr="00771E6E" w:rsidRDefault="00F33779" w:rsidP="00F33779">
      <w:pPr>
        <w:pStyle w:val="Bibliography"/>
      </w:pPr>
      <w:r w:rsidRPr="00771E6E">
        <w:t xml:space="preserve">Gill, Meredith J. </w:t>
      </w:r>
      <w:r w:rsidRPr="00771E6E">
        <w:rPr>
          <w:i/>
          <w:iCs/>
        </w:rPr>
        <w:t>Angels and the Order of Heaven in Medieval and Renaissance Italy</w:t>
      </w:r>
      <w:r w:rsidRPr="00771E6E">
        <w:t>. Cambridge: Cambridge University Press, 2014.</w:t>
      </w:r>
    </w:p>
    <w:p w14:paraId="7ACD729D" w14:textId="77777777" w:rsidR="00F33779" w:rsidRPr="00771E6E" w:rsidRDefault="00F33779" w:rsidP="00F33779">
      <w:pPr>
        <w:pStyle w:val="Bibliography"/>
      </w:pPr>
      <w:r w:rsidRPr="00771E6E">
        <w:t>Gillette, Amy. “Depicting the Sound of Silence: Angels’ Music and ‘</w:t>
      </w:r>
      <w:proofErr w:type="spellStart"/>
      <w:r w:rsidRPr="00771E6E">
        <w:t>Angelization</w:t>
      </w:r>
      <w:proofErr w:type="spellEnd"/>
      <w:r w:rsidRPr="00771E6E">
        <w:t xml:space="preserve">’ in Medieval Sacred Art.” </w:t>
      </w:r>
      <w:r w:rsidRPr="00771E6E">
        <w:rPr>
          <w:i/>
          <w:iCs/>
        </w:rPr>
        <w:t xml:space="preserve">Imago </w:t>
      </w:r>
      <w:proofErr w:type="spellStart"/>
      <w:r w:rsidRPr="00771E6E">
        <w:rPr>
          <w:i/>
          <w:iCs/>
        </w:rPr>
        <w:t>Musicae</w:t>
      </w:r>
      <w:proofErr w:type="spellEnd"/>
      <w:r w:rsidRPr="00771E6E">
        <w:t xml:space="preserve"> XXVII (2015): 95–125.</w:t>
      </w:r>
    </w:p>
    <w:p w14:paraId="36B2F2BD" w14:textId="77777777" w:rsidR="00F33779" w:rsidRPr="00771E6E" w:rsidRDefault="00F33779" w:rsidP="00F33779">
      <w:pPr>
        <w:pStyle w:val="Bibliography"/>
      </w:pPr>
      <w:proofErr w:type="spellStart"/>
      <w:r w:rsidRPr="00771E6E">
        <w:lastRenderedPageBreak/>
        <w:t>Giosi</w:t>
      </w:r>
      <w:proofErr w:type="spellEnd"/>
      <w:r w:rsidRPr="00771E6E">
        <w:t xml:space="preserve">, Marco. “La </w:t>
      </w:r>
      <w:proofErr w:type="spellStart"/>
      <w:r w:rsidRPr="00771E6E">
        <w:t>Tradizione</w:t>
      </w:r>
      <w:proofErr w:type="spellEnd"/>
      <w:r w:rsidRPr="00771E6E">
        <w:t xml:space="preserve"> </w:t>
      </w:r>
      <w:proofErr w:type="spellStart"/>
      <w:r w:rsidRPr="00771E6E">
        <w:t>degli</w:t>
      </w:r>
      <w:proofErr w:type="spellEnd"/>
      <w:r w:rsidRPr="00771E6E">
        <w:t xml:space="preserve"> Specula </w:t>
      </w:r>
      <w:proofErr w:type="spellStart"/>
      <w:r w:rsidRPr="00771E6E">
        <w:t>Principum</w:t>
      </w:r>
      <w:proofErr w:type="spellEnd"/>
      <w:r w:rsidRPr="00771E6E">
        <w:t xml:space="preserve"> e la </w:t>
      </w:r>
      <w:proofErr w:type="spellStart"/>
      <w:r w:rsidRPr="00771E6E">
        <w:t>Institutio</w:t>
      </w:r>
      <w:proofErr w:type="spellEnd"/>
      <w:r w:rsidRPr="00771E6E">
        <w:t xml:space="preserve"> </w:t>
      </w:r>
      <w:proofErr w:type="spellStart"/>
      <w:r w:rsidRPr="00771E6E">
        <w:t>Principis</w:t>
      </w:r>
      <w:proofErr w:type="spellEnd"/>
      <w:r w:rsidRPr="00771E6E">
        <w:t xml:space="preserve"> </w:t>
      </w:r>
      <w:proofErr w:type="spellStart"/>
      <w:r w:rsidRPr="00771E6E">
        <w:t>Christiani</w:t>
      </w:r>
      <w:proofErr w:type="spellEnd"/>
      <w:r w:rsidRPr="00771E6E">
        <w:t xml:space="preserve"> di Erasmo da Rotterdam.” </w:t>
      </w:r>
      <w:proofErr w:type="spellStart"/>
      <w:r w:rsidRPr="00771E6E">
        <w:rPr>
          <w:i/>
          <w:iCs/>
        </w:rPr>
        <w:t>Educazione</w:t>
      </w:r>
      <w:proofErr w:type="spellEnd"/>
      <w:r w:rsidRPr="00771E6E">
        <w:rPr>
          <w:i/>
          <w:iCs/>
        </w:rPr>
        <w:t xml:space="preserve">. </w:t>
      </w:r>
      <w:proofErr w:type="spellStart"/>
      <w:r w:rsidRPr="00771E6E">
        <w:rPr>
          <w:i/>
          <w:iCs/>
        </w:rPr>
        <w:t>Giornale</w:t>
      </w:r>
      <w:proofErr w:type="spellEnd"/>
      <w:r w:rsidRPr="00771E6E">
        <w:rPr>
          <w:i/>
          <w:iCs/>
        </w:rPr>
        <w:t xml:space="preserve"> di </w:t>
      </w:r>
      <w:proofErr w:type="spellStart"/>
      <w:r w:rsidRPr="00771E6E">
        <w:rPr>
          <w:i/>
          <w:iCs/>
        </w:rPr>
        <w:t>pedagogia</w:t>
      </w:r>
      <w:proofErr w:type="spellEnd"/>
      <w:r w:rsidRPr="00771E6E">
        <w:rPr>
          <w:i/>
          <w:iCs/>
        </w:rPr>
        <w:t xml:space="preserve"> </w:t>
      </w:r>
      <w:proofErr w:type="spellStart"/>
      <w:r w:rsidRPr="00771E6E">
        <w:rPr>
          <w:i/>
          <w:iCs/>
        </w:rPr>
        <w:t>critica</w:t>
      </w:r>
      <w:proofErr w:type="spellEnd"/>
      <w:r w:rsidRPr="00771E6E">
        <w:t xml:space="preserve"> V, no. 2 (2016): 43–66.</w:t>
      </w:r>
    </w:p>
    <w:p w14:paraId="0A170053" w14:textId="77777777" w:rsidR="00F33779" w:rsidRPr="00771E6E" w:rsidRDefault="00F33779" w:rsidP="00F33779">
      <w:pPr>
        <w:pStyle w:val="Bibliography"/>
      </w:pPr>
      <w:proofErr w:type="spellStart"/>
      <w:r w:rsidRPr="00771E6E">
        <w:t>Gombrich</w:t>
      </w:r>
      <w:proofErr w:type="spellEnd"/>
      <w:r w:rsidRPr="00771E6E">
        <w:t xml:space="preserve">, E. H. “Apollonio Di Giovanni: A Florentine Cassone Workshop Seen through the Eyes of a Humanist Poet.” </w:t>
      </w:r>
      <w:r w:rsidRPr="00771E6E">
        <w:rPr>
          <w:i/>
          <w:iCs/>
        </w:rPr>
        <w:t xml:space="preserve">Journal of the Warburg and </w:t>
      </w:r>
      <w:proofErr w:type="spellStart"/>
      <w:r w:rsidRPr="00771E6E">
        <w:rPr>
          <w:i/>
          <w:iCs/>
        </w:rPr>
        <w:t>Courtauld</w:t>
      </w:r>
      <w:proofErr w:type="spellEnd"/>
      <w:r w:rsidRPr="00771E6E">
        <w:rPr>
          <w:i/>
          <w:iCs/>
        </w:rPr>
        <w:t xml:space="preserve"> Institutes</w:t>
      </w:r>
      <w:r w:rsidRPr="00771E6E">
        <w:t xml:space="preserve"> 18, no. 1/2 (1955): 16–34.</w:t>
      </w:r>
    </w:p>
    <w:p w14:paraId="2F742474" w14:textId="77777777" w:rsidR="00F33779" w:rsidRPr="00771E6E" w:rsidRDefault="00F33779" w:rsidP="00F33779">
      <w:pPr>
        <w:pStyle w:val="Bibliography"/>
      </w:pPr>
      <w:r w:rsidRPr="00771E6E">
        <w:t xml:space="preserve">———. </w:t>
      </w:r>
      <w:r w:rsidRPr="00771E6E">
        <w:rPr>
          <w:i/>
          <w:iCs/>
        </w:rPr>
        <w:t>Symbolic Images: Studies in the Art of the Renaissance</w:t>
      </w:r>
      <w:r w:rsidRPr="00771E6E">
        <w:t xml:space="preserve">. 2nd ed. Oxford: </w:t>
      </w:r>
      <w:proofErr w:type="spellStart"/>
      <w:r w:rsidRPr="00771E6E">
        <w:t>Phaidon</w:t>
      </w:r>
      <w:proofErr w:type="spellEnd"/>
      <w:r w:rsidRPr="00771E6E">
        <w:t>, 1972.</w:t>
      </w:r>
    </w:p>
    <w:p w14:paraId="15A747BE" w14:textId="77777777" w:rsidR="00F33779" w:rsidRPr="00771E6E" w:rsidRDefault="00F33779" w:rsidP="00F33779">
      <w:pPr>
        <w:pStyle w:val="Bibliography"/>
      </w:pPr>
      <w:r w:rsidRPr="00771E6E">
        <w:t xml:space="preserve">Gordon, Bruce. “The Renaissance Angel.” In </w:t>
      </w:r>
      <w:r w:rsidRPr="00771E6E">
        <w:rPr>
          <w:i/>
          <w:iCs/>
        </w:rPr>
        <w:t>Angels in the Early Modern World</w:t>
      </w:r>
      <w:r w:rsidRPr="00771E6E">
        <w:t>, edited by Peter Marshall and Alexandra Walsham, 41–63. Cambridge: Cambridge University Press, 2006.</w:t>
      </w:r>
    </w:p>
    <w:p w14:paraId="4D77F015" w14:textId="77777777" w:rsidR="00F33779" w:rsidRPr="00771E6E" w:rsidRDefault="00F33779" w:rsidP="00F33779">
      <w:pPr>
        <w:pStyle w:val="Bibliography"/>
      </w:pPr>
      <w:r w:rsidRPr="00771E6E">
        <w:t xml:space="preserve">Gordon, </w:t>
      </w:r>
      <w:proofErr w:type="spellStart"/>
      <w:r w:rsidRPr="00771E6E">
        <w:t>Dillian</w:t>
      </w:r>
      <w:proofErr w:type="spellEnd"/>
      <w:r w:rsidRPr="00771E6E">
        <w:t xml:space="preserve">. </w:t>
      </w:r>
      <w:r w:rsidRPr="00771E6E">
        <w:rPr>
          <w:i/>
          <w:iCs/>
        </w:rPr>
        <w:t>The Fifteenth Century Italian Paintings</w:t>
      </w:r>
      <w:r w:rsidRPr="00771E6E">
        <w:t>. London: National Gallery Company, 2003.</w:t>
      </w:r>
    </w:p>
    <w:p w14:paraId="0D4227FB" w14:textId="77777777" w:rsidR="00F33779" w:rsidRPr="00771E6E" w:rsidRDefault="00F33779" w:rsidP="00F33779">
      <w:pPr>
        <w:pStyle w:val="Bibliography"/>
      </w:pPr>
      <w:proofErr w:type="spellStart"/>
      <w:r w:rsidRPr="00771E6E">
        <w:t>Gouillard</w:t>
      </w:r>
      <w:proofErr w:type="spellEnd"/>
      <w:r w:rsidRPr="00771E6E">
        <w:t xml:space="preserve">, Jean. “Aux </w:t>
      </w:r>
      <w:proofErr w:type="spellStart"/>
      <w:r w:rsidRPr="00771E6E">
        <w:t>origines</w:t>
      </w:r>
      <w:proofErr w:type="spellEnd"/>
      <w:r w:rsidRPr="00771E6E">
        <w:t xml:space="preserve"> de </w:t>
      </w:r>
      <w:proofErr w:type="spellStart"/>
      <w:r w:rsidRPr="00771E6E">
        <w:t>l’iconoclasme</w:t>
      </w:r>
      <w:proofErr w:type="spellEnd"/>
      <w:r w:rsidRPr="00771E6E">
        <w:t xml:space="preserve">: le </w:t>
      </w:r>
      <w:proofErr w:type="spellStart"/>
      <w:r w:rsidRPr="00771E6E">
        <w:t>témoignage</w:t>
      </w:r>
      <w:proofErr w:type="spellEnd"/>
      <w:r w:rsidRPr="00771E6E">
        <w:t xml:space="preserve"> de Gregoire II?” </w:t>
      </w:r>
      <w:r w:rsidRPr="00771E6E">
        <w:rPr>
          <w:i/>
          <w:iCs/>
        </w:rPr>
        <w:t xml:space="preserve">Travaux et </w:t>
      </w:r>
      <w:proofErr w:type="spellStart"/>
      <w:r w:rsidRPr="00771E6E">
        <w:rPr>
          <w:i/>
          <w:iCs/>
        </w:rPr>
        <w:t>mémoires</w:t>
      </w:r>
      <w:proofErr w:type="spellEnd"/>
      <w:r w:rsidRPr="00771E6E">
        <w:t xml:space="preserve"> 3 (1968): 243–307.</w:t>
      </w:r>
    </w:p>
    <w:p w14:paraId="3E046D33" w14:textId="77777777" w:rsidR="00F33779" w:rsidRPr="00771E6E" w:rsidRDefault="00F33779" w:rsidP="00F33779">
      <w:pPr>
        <w:pStyle w:val="Bibliography"/>
      </w:pPr>
      <w:r w:rsidRPr="00771E6E">
        <w:t xml:space="preserve">Grange, Susan. </w:t>
      </w:r>
      <w:r w:rsidRPr="00771E6E">
        <w:rPr>
          <w:i/>
          <w:iCs/>
        </w:rPr>
        <w:t>Giovanni Bellini: Music, Art and Venice</w:t>
      </w:r>
      <w:r w:rsidRPr="00771E6E">
        <w:t xml:space="preserve">. Bloomington, IN: </w:t>
      </w:r>
      <w:proofErr w:type="spellStart"/>
      <w:r w:rsidRPr="00771E6E">
        <w:t>Authorhouse</w:t>
      </w:r>
      <w:proofErr w:type="spellEnd"/>
      <w:r w:rsidRPr="00771E6E">
        <w:t>, 2014.</w:t>
      </w:r>
    </w:p>
    <w:p w14:paraId="4ADE0D07" w14:textId="77777777" w:rsidR="00F33779" w:rsidRPr="00771E6E" w:rsidRDefault="00F33779" w:rsidP="00F33779">
      <w:pPr>
        <w:pStyle w:val="Bibliography"/>
      </w:pPr>
      <w:r w:rsidRPr="00771E6E">
        <w:t xml:space="preserve">Grant, Roger Mathew. </w:t>
      </w:r>
      <w:r w:rsidRPr="00771E6E">
        <w:rPr>
          <w:i/>
          <w:iCs/>
        </w:rPr>
        <w:t>Beating Time and Measuring Music in Early Modern Era</w:t>
      </w:r>
      <w:r w:rsidRPr="00771E6E">
        <w:t>. New York: Oxford University Press, 2014.</w:t>
      </w:r>
    </w:p>
    <w:p w14:paraId="43A694AB" w14:textId="77777777" w:rsidR="00F33779" w:rsidRPr="00771E6E" w:rsidRDefault="00F33779" w:rsidP="00F33779">
      <w:pPr>
        <w:pStyle w:val="Bibliography"/>
      </w:pPr>
      <w:r w:rsidRPr="00771E6E">
        <w:t xml:space="preserve">Grayson, Cecil. “Notes on the Texts of Some Vernacular Works of Leon Battista Alberti.” In </w:t>
      </w:r>
      <w:proofErr w:type="spellStart"/>
      <w:r w:rsidRPr="00771E6E">
        <w:rPr>
          <w:i/>
          <w:iCs/>
        </w:rPr>
        <w:t>Studi</w:t>
      </w:r>
      <w:proofErr w:type="spellEnd"/>
      <w:r w:rsidRPr="00771E6E">
        <w:rPr>
          <w:i/>
          <w:iCs/>
        </w:rPr>
        <w:t xml:space="preserve"> </w:t>
      </w:r>
      <w:proofErr w:type="spellStart"/>
      <w:r w:rsidRPr="00771E6E">
        <w:rPr>
          <w:i/>
          <w:iCs/>
        </w:rPr>
        <w:t>Su</w:t>
      </w:r>
      <w:proofErr w:type="spellEnd"/>
      <w:r w:rsidRPr="00771E6E">
        <w:rPr>
          <w:i/>
          <w:iCs/>
        </w:rPr>
        <w:t xml:space="preserve"> Leon Battista Alberti</w:t>
      </w:r>
      <w:r w:rsidRPr="00771E6E">
        <w:t xml:space="preserve">, edited by Paola </w:t>
      </w:r>
      <w:proofErr w:type="spellStart"/>
      <w:r w:rsidRPr="00771E6E">
        <w:t>Claut</w:t>
      </w:r>
      <w:proofErr w:type="spellEnd"/>
      <w:r w:rsidRPr="00771E6E">
        <w:t xml:space="preserve">, 7–43. Florence: </w:t>
      </w:r>
      <w:proofErr w:type="spellStart"/>
      <w:r w:rsidRPr="00771E6E">
        <w:t>Olschki</w:t>
      </w:r>
      <w:proofErr w:type="spellEnd"/>
      <w:r w:rsidRPr="00771E6E">
        <w:t>, 1998.</w:t>
      </w:r>
    </w:p>
    <w:p w14:paraId="68A236C4" w14:textId="77777777" w:rsidR="00F33779" w:rsidRPr="00771E6E" w:rsidRDefault="00F33779" w:rsidP="00F33779">
      <w:pPr>
        <w:pStyle w:val="Bibliography"/>
      </w:pPr>
      <w:proofErr w:type="spellStart"/>
      <w:r w:rsidRPr="00771E6E">
        <w:t>Grendler</w:t>
      </w:r>
      <w:proofErr w:type="spellEnd"/>
      <w:r w:rsidRPr="00771E6E">
        <w:t xml:space="preserve">, Paul F. </w:t>
      </w:r>
      <w:r w:rsidRPr="00771E6E">
        <w:rPr>
          <w:i/>
          <w:iCs/>
        </w:rPr>
        <w:t>Schooling in Renaissance Italy: Literacy and Learning, 1300-1600</w:t>
      </w:r>
      <w:r w:rsidRPr="00771E6E">
        <w:t>. Reprint edition. Baltimore and London: The Johns Hopkins University Press, 1989.</w:t>
      </w:r>
    </w:p>
    <w:p w14:paraId="321BE475" w14:textId="77777777" w:rsidR="00F33779" w:rsidRPr="00771E6E" w:rsidRDefault="00F33779" w:rsidP="00F33779">
      <w:pPr>
        <w:pStyle w:val="Bibliography"/>
      </w:pPr>
      <w:proofErr w:type="spellStart"/>
      <w:r w:rsidRPr="00771E6E">
        <w:t>Haar</w:t>
      </w:r>
      <w:proofErr w:type="spellEnd"/>
      <w:r w:rsidRPr="00771E6E">
        <w:t xml:space="preserve">, James. “Some Introductory Remarks on Musical Pedagogy.” In </w:t>
      </w:r>
      <w:r w:rsidRPr="00771E6E">
        <w:rPr>
          <w:i/>
          <w:iCs/>
        </w:rPr>
        <w:t>Music Education in the Middle Ages and the Renaissance</w:t>
      </w:r>
      <w:r w:rsidRPr="00771E6E">
        <w:t xml:space="preserve">, edited by Susan </w:t>
      </w:r>
      <w:proofErr w:type="spellStart"/>
      <w:r w:rsidRPr="00771E6E">
        <w:t>Forscher</w:t>
      </w:r>
      <w:proofErr w:type="spellEnd"/>
      <w:r w:rsidRPr="00771E6E">
        <w:t xml:space="preserve"> Weiss, Russell E. Murray Jr, and Cynthia J. Cyrus, 3–22. Bloomington and Indianapolis, IN: Indiana University Press, 2010.</w:t>
      </w:r>
    </w:p>
    <w:p w14:paraId="73181B84" w14:textId="77777777" w:rsidR="00F33779" w:rsidRPr="00771E6E" w:rsidRDefault="00F33779" w:rsidP="00F33779">
      <w:pPr>
        <w:pStyle w:val="Bibliography"/>
      </w:pPr>
      <w:proofErr w:type="spellStart"/>
      <w:r w:rsidRPr="00771E6E">
        <w:t>Haar</w:t>
      </w:r>
      <w:proofErr w:type="spellEnd"/>
      <w:r w:rsidRPr="00771E6E">
        <w:t xml:space="preserve">, James, and John </w:t>
      </w:r>
      <w:proofErr w:type="spellStart"/>
      <w:r w:rsidRPr="00771E6E">
        <w:t>Nádas</w:t>
      </w:r>
      <w:proofErr w:type="spellEnd"/>
      <w:r w:rsidRPr="00771E6E">
        <w:t xml:space="preserve">. “The Medici, the </w:t>
      </w:r>
      <w:proofErr w:type="spellStart"/>
      <w:r w:rsidRPr="00771E6E">
        <w:t>Signoria</w:t>
      </w:r>
      <w:proofErr w:type="spellEnd"/>
      <w:r w:rsidRPr="00771E6E">
        <w:t xml:space="preserve">, the Pope: Sacred Polyphony in Florence, 1432-1448.” </w:t>
      </w:r>
      <w:proofErr w:type="spellStart"/>
      <w:r w:rsidRPr="00771E6E">
        <w:rPr>
          <w:i/>
          <w:iCs/>
        </w:rPr>
        <w:t>Recercare</w:t>
      </w:r>
      <w:proofErr w:type="spellEnd"/>
      <w:r w:rsidRPr="00771E6E">
        <w:t xml:space="preserve"> 20, no. 1/2 (2008): 25–93.</w:t>
      </w:r>
    </w:p>
    <w:p w14:paraId="7EE48DF0" w14:textId="77777777" w:rsidR="00F33779" w:rsidRPr="00771E6E" w:rsidRDefault="00F33779" w:rsidP="00F33779">
      <w:pPr>
        <w:pStyle w:val="Bibliography"/>
      </w:pPr>
      <w:r w:rsidRPr="00771E6E">
        <w:t xml:space="preserve">Haas, Louis. </w:t>
      </w:r>
      <w:r w:rsidRPr="00771E6E">
        <w:rPr>
          <w:i/>
          <w:iCs/>
        </w:rPr>
        <w:t>The Renaissance Man and His Children: Childbirth and Early Childhood in Florence, 1300-1600</w:t>
      </w:r>
      <w:r w:rsidRPr="00771E6E">
        <w:t>. Macmillan, 1998.</w:t>
      </w:r>
    </w:p>
    <w:p w14:paraId="21261B1D" w14:textId="77777777" w:rsidR="00F33779" w:rsidRPr="00771E6E" w:rsidRDefault="00F33779" w:rsidP="00F33779">
      <w:pPr>
        <w:pStyle w:val="Bibliography"/>
      </w:pPr>
      <w:r w:rsidRPr="00771E6E">
        <w:t xml:space="preserve">Habsburg, Maximilian von. </w:t>
      </w:r>
      <w:r w:rsidRPr="00771E6E">
        <w:rPr>
          <w:i/>
          <w:iCs/>
        </w:rPr>
        <w:t xml:space="preserve">Catholic and Protestant Translations of the </w:t>
      </w:r>
      <w:proofErr w:type="spellStart"/>
      <w:r w:rsidRPr="00771E6E">
        <w:rPr>
          <w:i/>
          <w:iCs/>
        </w:rPr>
        <w:t>Imitatio</w:t>
      </w:r>
      <w:proofErr w:type="spellEnd"/>
      <w:r w:rsidRPr="00771E6E">
        <w:rPr>
          <w:i/>
          <w:iCs/>
        </w:rPr>
        <w:t xml:space="preserve"> Christi, 1425-1650: From Late Medieval Classic to Early Modern Bestseller</w:t>
      </w:r>
      <w:r w:rsidRPr="00771E6E">
        <w:t>. Farnham and Burlington, VT: Ashgate, 2011.</w:t>
      </w:r>
    </w:p>
    <w:p w14:paraId="4DEAE2CE" w14:textId="77777777" w:rsidR="00F33779" w:rsidRPr="00771E6E" w:rsidRDefault="00F33779" w:rsidP="00F33779">
      <w:pPr>
        <w:pStyle w:val="Bibliography"/>
      </w:pPr>
      <w:r w:rsidRPr="00771E6E">
        <w:t xml:space="preserve">Hahn, Cynthia. “The Cult of Female Saints: Images of Devotion and Exempla.” In </w:t>
      </w:r>
      <w:r w:rsidRPr="00771E6E">
        <w:rPr>
          <w:i/>
          <w:iCs/>
        </w:rPr>
        <w:t>Visuality before and beyond the Renaissance: Seeing as Others Saw</w:t>
      </w:r>
      <w:r w:rsidRPr="00771E6E">
        <w:t>, edited by Robert S Nelson, 169–96. Cambridge: Cambridge University Press, 2000.</w:t>
      </w:r>
    </w:p>
    <w:p w14:paraId="470BC650" w14:textId="77777777" w:rsidR="00F33779" w:rsidRPr="00771E6E" w:rsidRDefault="00F33779" w:rsidP="00F33779">
      <w:pPr>
        <w:pStyle w:val="Bibliography"/>
      </w:pPr>
      <w:r w:rsidRPr="00771E6E">
        <w:t xml:space="preserve">Hairston, Julia L. “The Economics of Milk and Blood in Alberti’s Libri Della </w:t>
      </w:r>
      <w:proofErr w:type="spellStart"/>
      <w:r w:rsidRPr="00771E6E">
        <w:t>Famiglia</w:t>
      </w:r>
      <w:proofErr w:type="spellEnd"/>
      <w:r w:rsidRPr="00771E6E">
        <w:t xml:space="preserve">: Maternal versus Wet-Nursing.” In </w:t>
      </w:r>
      <w:r w:rsidRPr="00771E6E">
        <w:rPr>
          <w:i/>
          <w:iCs/>
        </w:rPr>
        <w:t xml:space="preserve">Medieval and Renaissance Lactations. Images, </w:t>
      </w:r>
      <w:proofErr w:type="spellStart"/>
      <w:r w:rsidRPr="00771E6E">
        <w:rPr>
          <w:i/>
          <w:iCs/>
        </w:rPr>
        <w:t>Rhetorics</w:t>
      </w:r>
      <w:proofErr w:type="spellEnd"/>
      <w:r w:rsidRPr="00771E6E">
        <w:rPr>
          <w:i/>
          <w:iCs/>
        </w:rPr>
        <w:t>, Practices</w:t>
      </w:r>
      <w:r w:rsidRPr="00771E6E">
        <w:t>, edited by Jutta Gisela Sperling, 187–212. Farnham and Burlington, VT: Ashgate, 2013.</w:t>
      </w:r>
    </w:p>
    <w:p w14:paraId="29C3BDDC" w14:textId="77777777" w:rsidR="00F33779" w:rsidRPr="00771E6E" w:rsidRDefault="00F33779" w:rsidP="00F33779">
      <w:pPr>
        <w:pStyle w:val="Bibliography"/>
      </w:pPr>
      <w:r w:rsidRPr="00771E6E">
        <w:t xml:space="preserve">Hamburger, Jeffrey. “The Visual and the Visionary: The Image in Late Medieval Monastic Devotions.” </w:t>
      </w:r>
      <w:r w:rsidRPr="00771E6E">
        <w:rPr>
          <w:i/>
          <w:iCs/>
        </w:rPr>
        <w:t>Viator</w:t>
      </w:r>
      <w:r w:rsidRPr="00771E6E">
        <w:t xml:space="preserve"> 20 (January 1, 1989): 161–82.</w:t>
      </w:r>
    </w:p>
    <w:p w14:paraId="55576FBF" w14:textId="77777777" w:rsidR="00F33779" w:rsidRPr="00771E6E" w:rsidRDefault="00F33779" w:rsidP="00F33779">
      <w:pPr>
        <w:pStyle w:val="Bibliography"/>
      </w:pPr>
      <w:r w:rsidRPr="00771E6E">
        <w:t xml:space="preserve">Hamm, Charles, and Ann Besser Scott. “A Study and Inventory of the Manuscript Modena, </w:t>
      </w:r>
      <w:proofErr w:type="spellStart"/>
      <w:r w:rsidRPr="00771E6E">
        <w:t>Biblioteca</w:t>
      </w:r>
      <w:proofErr w:type="spellEnd"/>
      <w:r w:rsidRPr="00771E6E">
        <w:t xml:space="preserve"> </w:t>
      </w:r>
      <w:proofErr w:type="spellStart"/>
      <w:r w:rsidRPr="00771E6E">
        <w:t>Estense</w:t>
      </w:r>
      <w:proofErr w:type="spellEnd"/>
      <w:r w:rsidRPr="00771E6E">
        <w:t>, α.X.1.11 (</w:t>
      </w:r>
      <w:proofErr w:type="spellStart"/>
      <w:r w:rsidRPr="00771E6E">
        <w:t>ModB</w:t>
      </w:r>
      <w:proofErr w:type="spellEnd"/>
      <w:r w:rsidRPr="00771E6E">
        <w:t xml:space="preserve">).” </w:t>
      </w:r>
      <w:proofErr w:type="spellStart"/>
      <w:r w:rsidRPr="00771E6E">
        <w:rPr>
          <w:i/>
          <w:iCs/>
        </w:rPr>
        <w:t>Musica</w:t>
      </w:r>
      <w:proofErr w:type="spellEnd"/>
      <w:r w:rsidRPr="00771E6E">
        <w:rPr>
          <w:i/>
          <w:iCs/>
        </w:rPr>
        <w:t xml:space="preserve"> </w:t>
      </w:r>
      <w:proofErr w:type="spellStart"/>
      <w:r w:rsidRPr="00771E6E">
        <w:rPr>
          <w:i/>
          <w:iCs/>
        </w:rPr>
        <w:t>Disciplina</w:t>
      </w:r>
      <w:proofErr w:type="spellEnd"/>
      <w:r w:rsidRPr="00771E6E">
        <w:t xml:space="preserve"> 26 (1972): 101–20, 122–43.</w:t>
      </w:r>
    </w:p>
    <w:p w14:paraId="1666CF87" w14:textId="77777777" w:rsidR="00F33779" w:rsidRPr="00771E6E" w:rsidRDefault="00F33779" w:rsidP="00F33779">
      <w:pPr>
        <w:pStyle w:val="Bibliography"/>
      </w:pPr>
      <w:proofErr w:type="spellStart"/>
      <w:r w:rsidRPr="00771E6E">
        <w:t>Hammerschmidt</w:t>
      </w:r>
      <w:proofErr w:type="spellEnd"/>
      <w:r w:rsidRPr="00771E6E">
        <w:t xml:space="preserve">, Jennifer R. “Beyond Vision: The Impact of </w:t>
      </w:r>
      <w:proofErr w:type="spellStart"/>
      <w:r w:rsidRPr="00771E6E">
        <w:t>Rogier</w:t>
      </w:r>
      <w:proofErr w:type="spellEnd"/>
      <w:r w:rsidRPr="00771E6E">
        <w:t xml:space="preserve"> van Der Weyden’s Descent from the Cross.” In </w:t>
      </w:r>
      <w:r w:rsidRPr="00771E6E">
        <w:rPr>
          <w:i/>
          <w:iCs/>
        </w:rPr>
        <w:t>Religion and the Senses in Early Modern Europe</w:t>
      </w:r>
      <w:r w:rsidRPr="00771E6E">
        <w:t xml:space="preserve">, </w:t>
      </w:r>
      <w:r w:rsidRPr="00771E6E">
        <w:lastRenderedPageBreak/>
        <w:t xml:space="preserve">edited by </w:t>
      </w:r>
      <w:proofErr w:type="spellStart"/>
      <w:r w:rsidRPr="00771E6E">
        <w:t>Wietse</w:t>
      </w:r>
      <w:proofErr w:type="spellEnd"/>
      <w:r w:rsidRPr="00771E6E">
        <w:t xml:space="preserve"> de Boer and Christine </w:t>
      </w:r>
      <w:proofErr w:type="spellStart"/>
      <w:r w:rsidRPr="00771E6E">
        <w:t>Göttler</w:t>
      </w:r>
      <w:proofErr w:type="spellEnd"/>
      <w:r w:rsidRPr="00771E6E">
        <w:t>, 201–17. Leiden and Boston: Brill, 2013.</w:t>
      </w:r>
    </w:p>
    <w:p w14:paraId="0134190E" w14:textId="77777777" w:rsidR="00F33779" w:rsidRPr="00771E6E" w:rsidRDefault="00F33779" w:rsidP="00F33779">
      <w:pPr>
        <w:pStyle w:val="Bibliography"/>
      </w:pPr>
      <w:r w:rsidRPr="00771E6E">
        <w:t xml:space="preserve">Hammerstein, Reinhold. </w:t>
      </w:r>
      <w:r w:rsidRPr="00771E6E">
        <w:rPr>
          <w:i/>
          <w:iCs/>
        </w:rPr>
        <w:t xml:space="preserve">Die </w:t>
      </w:r>
      <w:proofErr w:type="spellStart"/>
      <w:r w:rsidRPr="00771E6E">
        <w:rPr>
          <w:i/>
          <w:iCs/>
        </w:rPr>
        <w:t>Musik</w:t>
      </w:r>
      <w:proofErr w:type="spellEnd"/>
      <w:r w:rsidRPr="00771E6E">
        <w:rPr>
          <w:i/>
          <w:iCs/>
        </w:rPr>
        <w:t xml:space="preserve"> der Engel: </w:t>
      </w:r>
      <w:proofErr w:type="spellStart"/>
      <w:r w:rsidRPr="00771E6E">
        <w:rPr>
          <w:i/>
          <w:iCs/>
        </w:rPr>
        <w:t>Untersuchungen</w:t>
      </w:r>
      <w:proofErr w:type="spellEnd"/>
      <w:r w:rsidRPr="00771E6E">
        <w:rPr>
          <w:i/>
          <w:iCs/>
        </w:rPr>
        <w:t xml:space="preserve"> </w:t>
      </w:r>
      <w:proofErr w:type="spellStart"/>
      <w:r w:rsidRPr="00771E6E">
        <w:rPr>
          <w:i/>
          <w:iCs/>
        </w:rPr>
        <w:t>zur</w:t>
      </w:r>
      <w:proofErr w:type="spellEnd"/>
      <w:r w:rsidRPr="00771E6E">
        <w:rPr>
          <w:i/>
          <w:iCs/>
        </w:rPr>
        <w:t xml:space="preserve"> </w:t>
      </w:r>
      <w:proofErr w:type="spellStart"/>
      <w:r w:rsidRPr="00771E6E">
        <w:rPr>
          <w:i/>
          <w:iCs/>
        </w:rPr>
        <w:t>Musikanschauung</w:t>
      </w:r>
      <w:proofErr w:type="spellEnd"/>
      <w:r w:rsidRPr="00771E6E">
        <w:rPr>
          <w:i/>
          <w:iCs/>
        </w:rPr>
        <w:t xml:space="preserve"> des </w:t>
      </w:r>
      <w:proofErr w:type="spellStart"/>
      <w:r w:rsidRPr="00771E6E">
        <w:rPr>
          <w:i/>
          <w:iCs/>
        </w:rPr>
        <w:t>Mittelalters</w:t>
      </w:r>
      <w:proofErr w:type="spellEnd"/>
      <w:r w:rsidRPr="00771E6E">
        <w:t xml:space="preserve">. Bern: </w:t>
      </w:r>
      <w:proofErr w:type="spellStart"/>
      <w:r w:rsidRPr="00771E6E">
        <w:t>Francke</w:t>
      </w:r>
      <w:proofErr w:type="spellEnd"/>
      <w:r w:rsidRPr="00771E6E">
        <w:t>, 1990.</w:t>
      </w:r>
    </w:p>
    <w:p w14:paraId="46B1EB9A" w14:textId="77777777" w:rsidR="00F33779" w:rsidRPr="00771E6E" w:rsidRDefault="00F33779" w:rsidP="00F33779">
      <w:pPr>
        <w:pStyle w:val="Bibliography"/>
      </w:pPr>
      <w:r w:rsidRPr="00771E6E">
        <w:t xml:space="preserve">Hampton, Timothy. </w:t>
      </w:r>
      <w:r w:rsidRPr="00771E6E">
        <w:rPr>
          <w:i/>
          <w:iCs/>
        </w:rPr>
        <w:t>Writing from History: The Rhetoric of Exemplarity in Renaissance Literature</w:t>
      </w:r>
      <w:r w:rsidRPr="00771E6E">
        <w:t>. Ithaca and London: Cornell University Press, 1990.</w:t>
      </w:r>
    </w:p>
    <w:p w14:paraId="32A851A8" w14:textId="77777777" w:rsidR="00F33779" w:rsidRPr="00771E6E" w:rsidRDefault="00F33779" w:rsidP="00F33779">
      <w:pPr>
        <w:pStyle w:val="Bibliography"/>
      </w:pPr>
      <w:r w:rsidRPr="00771E6E">
        <w:t>Hancock, Paula M. “Transformations in the Iconography of the Mirror in Medieval Art.” PhD Diss., Emory University, 1988.</w:t>
      </w:r>
    </w:p>
    <w:p w14:paraId="7E516FBF" w14:textId="77777777" w:rsidR="00F33779" w:rsidRPr="00771E6E" w:rsidRDefault="00F33779" w:rsidP="00F33779">
      <w:pPr>
        <w:pStyle w:val="Bibliography"/>
      </w:pPr>
      <w:r w:rsidRPr="00771E6E">
        <w:t xml:space="preserve">Hankins, James. </w:t>
      </w:r>
      <w:r w:rsidRPr="00771E6E">
        <w:rPr>
          <w:i/>
          <w:iCs/>
        </w:rPr>
        <w:t>Plato in the Italian Renaissance</w:t>
      </w:r>
      <w:r w:rsidRPr="00771E6E">
        <w:t>. Leiden: Brill, 1989.</w:t>
      </w:r>
    </w:p>
    <w:p w14:paraId="1538EACD" w14:textId="77777777" w:rsidR="00F33779" w:rsidRPr="00771E6E" w:rsidRDefault="00F33779" w:rsidP="00F33779">
      <w:pPr>
        <w:pStyle w:val="Bibliography"/>
      </w:pPr>
      <w:r w:rsidRPr="00771E6E">
        <w:t xml:space="preserve">———. </w:t>
      </w:r>
      <w:r w:rsidRPr="00771E6E">
        <w:rPr>
          <w:i/>
          <w:iCs/>
        </w:rPr>
        <w:t>Renaissance Civic Humanism: Reappraisals and Reflections</w:t>
      </w:r>
      <w:r w:rsidRPr="00771E6E">
        <w:t>. Cambridge: Cambridge University Press, 2000.</w:t>
      </w:r>
    </w:p>
    <w:p w14:paraId="43946A0D" w14:textId="77777777" w:rsidR="00F33779" w:rsidRPr="00771E6E" w:rsidRDefault="00F33779" w:rsidP="00F33779">
      <w:pPr>
        <w:pStyle w:val="Bibliography"/>
      </w:pPr>
      <w:r w:rsidRPr="00771E6E">
        <w:t xml:space="preserve">Hatfield, </w:t>
      </w:r>
      <w:proofErr w:type="spellStart"/>
      <w:r w:rsidRPr="00771E6E">
        <w:t>Rab</w:t>
      </w:r>
      <w:proofErr w:type="spellEnd"/>
      <w:r w:rsidRPr="00771E6E">
        <w:t xml:space="preserve">. “The </w:t>
      </w:r>
      <w:proofErr w:type="spellStart"/>
      <w:r w:rsidRPr="00771E6E">
        <w:t>Compagnia</w:t>
      </w:r>
      <w:proofErr w:type="spellEnd"/>
      <w:r w:rsidRPr="00771E6E">
        <w:t xml:space="preserve"> de’ Magi.” </w:t>
      </w:r>
      <w:r w:rsidRPr="00771E6E">
        <w:rPr>
          <w:i/>
          <w:iCs/>
        </w:rPr>
        <w:t xml:space="preserve">Journal of the Warburg and </w:t>
      </w:r>
      <w:proofErr w:type="spellStart"/>
      <w:r w:rsidRPr="00771E6E">
        <w:rPr>
          <w:i/>
          <w:iCs/>
        </w:rPr>
        <w:t>Courtauld</w:t>
      </w:r>
      <w:proofErr w:type="spellEnd"/>
      <w:r w:rsidRPr="00771E6E">
        <w:rPr>
          <w:i/>
          <w:iCs/>
        </w:rPr>
        <w:t xml:space="preserve"> Institutes</w:t>
      </w:r>
      <w:r w:rsidRPr="00771E6E">
        <w:t xml:space="preserve"> 33 (1970): 107–61.</w:t>
      </w:r>
    </w:p>
    <w:p w14:paraId="2FB55BAD" w14:textId="77777777" w:rsidR="00F33779" w:rsidRPr="00771E6E" w:rsidRDefault="00F33779" w:rsidP="00F33779">
      <w:pPr>
        <w:pStyle w:val="Bibliography"/>
      </w:pPr>
      <w:r w:rsidRPr="00771E6E">
        <w:t xml:space="preserve">Hatter, Jane. “Col Tempo: Musical Time, Aging and Sexuality in 16th-Century Venetian Paintings.” </w:t>
      </w:r>
      <w:r w:rsidRPr="00771E6E">
        <w:rPr>
          <w:i/>
          <w:iCs/>
        </w:rPr>
        <w:t>Early Music</w:t>
      </w:r>
      <w:r w:rsidRPr="00771E6E">
        <w:t xml:space="preserve"> 39, no. 1 (2011): 3–14.</w:t>
      </w:r>
    </w:p>
    <w:p w14:paraId="5B8AC55A" w14:textId="77777777" w:rsidR="00F33779" w:rsidRPr="00771E6E" w:rsidRDefault="00F33779" w:rsidP="00F33779">
      <w:pPr>
        <w:pStyle w:val="Bibliography"/>
      </w:pPr>
      <w:proofErr w:type="spellStart"/>
      <w:r w:rsidRPr="00771E6E">
        <w:t>Heikamp</w:t>
      </w:r>
      <w:proofErr w:type="spellEnd"/>
      <w:r w:rsidRPr="00771E6E">
        <w:t>, Detlef. “</w:t>
      </w:r>
      <w:proofErr w:type="spellStart"/>
      <w:r w:rsidRPr="00771E6E">
        <w:t>Agnolo</w:t>
      </w:r>
      <w:proofErr w:type="spellEnd"/>
      <w:r w:rsidRPr="00771E6E">
        <w:t xml:space="preserve"> </w:t>
      </w:r>
      <w:proofErr w:type="spellStart"/>
      <w:r w:rsidRPr="00771E6E">
        <w:t>Bronzinos</w:t>
      </w:r>
      <w:proofErr w:type="spellEnd"/>
      <w:r w:rsidRPr="00771E6E">
        <w:t xml:space="preserve"> </w:t>
      </w:r>
      <w:proofErr w:type="spellStart"/>
      <w:r w:rsidRPr="00771E6E">
        <w:t>Kinderbiltnisse</w:t>
      </w:r>
      <w:proofErr w:type="spellEnd"/>
      <w:r w:rsidRPr="00771E6E">
        <w:t xml:space="preserve"> </w:t>
      </w:r>
      <w:proofErr w:type="spellStart"/>
      <w:r w:rsidRPr="00771E6E">
        <w:t>Aus</w:t>
      </w:r>
      <w:proofErr w:type="spellEnd"/>
      <w:r w:rsidRPr="00771E6E">
        <w:t xml:space="preserve"> Dem Jahre 1551.” </w:t>
      </w:r>
      <w:proofErr w:type="spellStart"/>
      <w:r w:rsidRPr="00771E6E">
        <w:rPr>
          <w:i/>
          <w:iCs/>
        </w:rPr>
        <w:t>Mittelungen</w:t>
      </w:r>
      <w:proofErr w:type="spellEnd"/>
      <w:r w:rsidRPr="00771E6E">
        <w:rPr>
          <w:i/>
          <w:iCs/>
        </w:rPr>
        <w:t xml:space="preserve"> Des </w:t>
      </w:r>
      <w:proofErr w:type="spellStart"/>
      <w:r w:rsidRPr="00771E6E">
        <w:rPr>
          <w:i/>
          <w:iCs/>
        </w:rPr>
        <w:t>Kunsthistorischen</w:t>
      </w:r>
      <w:proofErr w:type="spellEnd"/>
      <w:r w:rsidRPr="00771E6E">
        <w:rPr>
          <w:i/>
          <w:iCs/>
        </w:rPr>
        <w:t xml:space="preserve"> Institutes in </w:t>
      </w:r>
      <w:proofErr w:type="spellStart"/>
      <w:r w:rsidRPr="00771E6E">
        <w:rPr>
          <w:i/>
          <w:iCs/>
        </w:rPr>
        <w:t>Florenz</w:t>
      </w:r>
      <w:proofErr w:type="spellEnd"/>
      <w:r w:rsidRPr="00771E6E">
        <w:t xml:space="preserve"> 7, no. 2 (August 1955): 133–38.</w:t>
      </w:r>
    </w:p>
    <w:p w14:paraId="75C1EECD" w14:textId="77777777" w:rsidR="00F33779" w:rsidRPr="00771E6E" w:rsidRDefault="00F33779" w:rsidP="00F33779">
      <w:pPr>
        <w:pStyle w:val="Bibliography"/>
      </w:pPr>
      <w:r w:rsidRPr="00771E6E">
        <w:t xml:space="preserve">Herlihy, David. </w:t>
      </w:r>
      <w:r w:rsidRPr="00771E6E">
        <w:rPr>
          <w:i/>
          <w:iCs/>
        </w:rPr>
        <w:t>Medieval Households</w:t>
      </w:r>
      <w:r w:rsidRPr="00771E6E">
        <w:t>. Harvard University Press, 1985.</w:t>
      </w:r>
    </w:p>
    <w:p w14:paraId="2BF317E6" w14:textId="77777777" w:rsidR="00F33779" w:rsidRPr="00771E6E" w:rsidRDefault="00F33779" w:rsidP="00F33779">
      <w:pPr>
        <w:pStyle w:val="Bibliography"/>
      </w:pPr>
      <w:proofErr w:type="spellStart"/>
      <w:r w:rsidRPr="00771E6E">
        <w:t>Hildburgh</w:t>
      </w:r>
      <w:proofErr w:type="spellEnd"/>
      <w:r w:rsidRPr="00771E6E">
        <w:t xml:space="preserve">, W. L. “A Marble Relief Attributable to Donatello and Some Associable Stuccos.” </w:t>
      </w:r>
      <w:r w:rsidRPr="00771E6E">
        <w:rPr>
          <w:i/>
          <w:iCs/>
        </w:rPr>
        <w:t>The Art Bulletin</w:t>
      </w:r>
      <w:r w:rsidRPr="00771E6E">
        <w:t xml:space="preserve"> 30, no. 1 (1948): 11–19. </w:t>
      </w:r>
    </w:p>
    <w:p w14:paraId="27E89BE9" w14:textId="77777777" w:rsidR="00F33779" w:rsidRPr="00771E6E" w:rsidRDefault="00F33779" w:rsidP="00F33779">
      <w:pPr>
        <w:pStyle w:val="Bibliography"/>
      </w:pPr>
      <w:r w:rsidRPr="00771E6E">
        <w:t xml:space="preserve">Hill, G. F. “The Whitcombe Greene Plaquettes.” </w:t>
      </w:r>
      <w:r w:rsidRPr="00771E6E">
        <w:rPr>
          <w:i/>
          <w:iCs/>
        </w:rPr>
        <w:t>The Burlington Magazine for Connoisseurs</w:t>
      </w:r>
      <w:r w:rsidRPr="00771E6E">
        <w:t xml:space="preserve"> 30, no. 168 (1917): 103–10.</w:t>
      </w:r>
    </w:p>
    <w:p w14:paraId="21B20CD1" w14:textId="77777777" w:rsidR="00F33779" w:rsidRPr="00771E6E" w:rsidRDefault="00F33779" w:rsidP="00F33779">
      <w:pPr>
        <w:pStyle w:val="Bibliography"/>
      </w:pPr>
      <w:proofErr w:type="spellStart"/>
      <w:r w:rsidRPr="00771E6E">
        <w:t>Hirschauer</w:t>
      </w:r>
      <w:proofErr w:type="spellEnd"/>
      <w:r w:rsidRPr="00771E6E">
        <w:t xml:space="preserve">, Gretchen. “Entry 41.” In </w:t>
      </w:r>
      <w:r w:rsidRPr="00771E6E">
        <w:rPr>
          <w:i/>
          <w:iCs/>
        </w:rPr>
        <w:t xml:space="preserve">Piero di Cosimo 1462-1522: </w:t>
      </w:r>
      <w:proofErr w:type="spellStart"/>
      <w:r w:rsidRPr="00771E6E">
        <w:rPr>
          <w:i/>
          <w:iCs/>
        </w:rPr>
        <w:t>pittore</w:t>
      </w:r>
      <w:proofErr w:type="spellEnd"/>
      <w:r w:rsidRPr="00771E6E">
        <w:rPr>
          <w:i/>
          <w:iCs/>
        </w:rPr>
        <w:t xml:space="preserve"> </w:t>
      </w:r>
      <w:proofErr w:type="spellStart"/>
      <w:r w:rsidRPr="00771E6E">
        <w:rPr>
          <w:i/>
          <w:iCs/>
        </w:rPr>
        <w:t>eccentrico</w:t>
      </w:r>
      <w:proofErr w:type="spellEnd"/>
      <w:r w:rsidRPr="00771E6E">
        <w:rPr>
          <w:i/>
          <w:iCs/>
        </w:rPr>
        <w:t xml:space="preserve"> </w:t>
      </w:r>
      <w:proofErr w:type="spellStart"/>
      <w:r w:rsidRPr="00771E6E">
        <w:rPr>
          <w:i/>
          <w:iCs/>
        </w:rPr>
        <w:t>fra</w:t>
      </w:r>
      <w:proofErr w:type="spellEnd"/>
      <w:r w:rsidRPr="00771E6E">
        <w:rPr>
          <w:i/>
          <w:iCs/>
        </w:rPr>
        <w:t xml:space="preserve"> </w:t>
      </w:r>
      <w:proofErr w:type="spellStart"/>
      <w:r w:rsidRPr="00771E6E">
        <w:rPr>
          <w:i/>
          <w:iCs/>
        </w:rPr>
        <w:t>Rinascimento</w:t>
      </w:r>
      <w:proofErr w:type="spellEnd"/>
      <w:r w:rsidRPr="00771E6E">
        <w:rPr>
          <w:i/>
          <w:iCs/>
        </w:rPr>
        <w:t xml:space="preserve"> e </w:t>
      </w:r>
      <w:proofErr w:type="spellStart"/>
      <w:r w:rsidRPr="00771E6E">
        <w:rPr>
          <w:i/>
          <w:iCs/>
        </w:rPr>
        <w:t>Maniera</w:t>
      </w:r>
      <w:proofErr w:type="spellEnd"/>
      <w:r w:rsidRPr="00771E6E">
        <w:t xml:space="preserve">, edited by Elena </w:t>
      </w:r>
      <w:proofErr w:type="spellStart"/>
      <w:r w:rsidRPr="00771E6E">
        <w:t>Capretti</w:t>
      </w:r>
      <w:proofErr w:type="spellEnd"/>
      <w:r w:rsidRPr="00771E6E">
        <w:t xml:space="preserve">, Anna </w:t>
      </w:r>
      <w:proofErr w:type="spellStart"/>
      <w:r w:rsidRPr="00771E6E">
        <w:t>Forlani</w:t>
      </w:r>
      <w:proofErr w:type="spellEnd"/>
      <w:r w:rsidRPr="00771E6E">
        <w:t xml:space="preserve"> </w:t>
      </w:r>
      <w:proofErr w:type="spellStart"/>
      <w:r w:rsidRPr="00771E6E">
        <w:t>Tempesti</w:t>
      </w:r>
      <w:proofErr w:type="spellEnd"/>
      <w:r w:rsidRPr="00771E6E">
        <w:t xml:space="preserve">, Serena </w:t>
      </w:r>
      <w:proofErr w:type="spellStart"/>
      <w:r w:rsidRPr="00771E6E">
        <w:t>Padovani</w:t>
      </w:r>
      <w:proofErr w:type="spellEnd"/>
      <w:r w:rsidRPr="00771E6E">
        <w:t>, and Daniela Parenti, 294–95, 2015.</w:t>
      </w:r>
    </w:p>
    <w:p w14:paraId="46A2793B" w14:textId="77777777" w:rsidR="00F33779" w:rsidRPr="00771E6E" w:rsidRDefault="00F33779" w:rsidP="00F33779">
      <w:pPr>
        <w:pStyle w:val="Bibliography"/>
      </w:pPr>
      <w:r w:rsidRPr="00771E6E">
        <w:t xml:space="preserve">Hoffmann, Sabine. “Entries 115, 116.” In </w:t>
      </w:r>
      <w:r w:rsidRPr="00771E6E">
        <w:rPr>
          <w:i/>
          <w:iCs/>
        </w:rPr>
        <w:t>Botticelli Reimagined</w:t>
      </w:r>
      <w:r w:rsidRPr="00771E6E">
        <w:t xml:space="preserve">, edited by Mark Evans, Stefan </w:t>
      </w:r>
      <w:proofErr w:type="spellStart"/>
      <w:r w:rsidRPr="00771E6E">
        <w:t>Weppelmann</w:t>
      </w:r>
      <w:proofErr w:type="spellEnd"/>
      <w:r w:rsidRPr="00771E6E">
        <w:t xml:space="preserve">, and Ana </w:t>
      </w:r>
      <w:proofErr w:type="spellStart"/>
      <w:r w:rsidRPr="00771E6E">
        <w:t>Debenedetti</w:t>
      </w:r>
      <w:proofErr w:type="spellEnd"/>
      <w:r w:rsidRPr="00771E6E">
        <w:t>, 266. London: V&amp;A Publishing, 2016.</w:t>
      </w:r>
    </w:p>
    <w:p w14:paraId="621194F6" w14:textId="77777777" w:rsidR="00F33779" w:rsidRPr="00771E6E" w:rsidRDefault="00F33779" w:rsidP="00F33779">
      <w:pPr>
        <w:pStyle w:val="Bibliography"/>
      </w:pPr>
      <w:r w:rsidRPr="00771E6E">
        <w:t xml:space="preserve">Holmes, Megan. “Disrobing the Virgin: The Madonna </w:t>
      </w:r>
      <w:proofErr w:type="spellStart"/>
      <w:r w:rsidRPr="00771E6E">
        <w:t>Lactans</w:t>
      </w:r>
      <w:proofErr w:type="spellEnd"/>
      <w:r w:rsidRPr="00771E6E">
        <w:t xml:space="preserve"> in Fifteenth-Century Florentine Art.” In </w:t>
      </w:r>
      <w:r w:rsidRPr="00771E6E">
        <w:rPr>
          <w:i/>
          <w:iCs/>
        </w:rPr>
        <w:t>Picturing Women in Renaissance and Baroque Italy</w:t>
      </w:r>
      <w:r w:rsidRPr="00771E6E">
        <w:t xml:space="preserve">, edited by Geraldine A. Johnson and Sara F. Matthews </w:t>
      </w:r>
      <w:proofErr w:type="spellStart"/>
      <w:r w:rsidRPr="00771E6E">
        <w:t>Grieco</w:t>
      </w:r>
      <w:proofErr w:type="spellEnd"/>
      <w:r w:rsidRPr="00771E6E">
        <w:t>, 167–95. Cambridge and New York: Cambridge University Press, 1997.</w:t>
      </w:r>
    </w:p>
    <w:p w14:paraId="578C9AFA" w14:textId="77777777" w:rsidR="00F33779" w:rsidRPr="00771E6E" w:rsidRDefault="00F33779" w:rsidP="00F33779">
      <w:pPr>
        <w:pStyle w:val="Bibliography"/>
      </w:pPr>
      <w:r w:rsidRPr="00771E6E">
        <w:t xml:space="preserve">Hood, William. “The State of Research in Italian Renaissance Art.” </w:t>
      </w:r>
      <w:r w:rsidRPr="00771E6E">
        <w:rPr>
          <w:i/>
          <w:iCs/>
        </w:rPr>
        <w:t>The Art Bulletin</w:t>
      </w:r>
      <w:r w:rsidRPr="00771E6E">
        <w:t xml:space="preserve"> 69, no. 2 (June 1987): 174–86.</w:t>
      </w:r>
    </w:p>
    <w:p w14:paraId="48223B17" w14:textId="77777777" w:rsidR="00F33779" w:rsidRPr="00771E6E" w:rsidRDefault="00F33779" w:rsidP="00F33779">
      <w:pPr>
        <w:pStyle w:val="Bibliography"/>
      </w:pPr>
      <w:proofErr w:type="spellStart"/>
      <w:r w:rsidRPr="00771E6E">
        <w:t>Horkan</w:t>
      </w:r>
      <w:proofErr w:type="spellEnd"/>
      <w:r w:rsidRPr="00771E6E">
        <w:t xml:space="preserve">, Vincent Joseph. </w:t>
      </w:r>
      <w:r w:rsidRPr="00771E6E">
        <w:rPr>
          <w:i/>
          <w:iCs/>
        </w:rPr>
        <w:t xml:space="preserve">Educational Theories and Principles of </w:t>
      </w:r>
      <w:proofErr w:type="spellStart"/>
      <w:r w:rsidRPr="00771E6E">
        <w:rPr>
          <w:i/>
          <w:iCs/>
        </w:rPr>
        <w:t>Maffeo</w:t>
      </w:r>
      <w:proofErr w:type="spellEnd"/>
      <w:r w:rsidRPr="00771E6E">
        <w:rPr>
          <w:i/>
          <w:iCs/>
        </w:rPr>
        <w:t xml:space="preserve"> </w:t>
      </w:r>
      <w:proofErr w:type="spellStart"/>
      <w:r w:rsidRPr="00771E6E">
        <w:rPr>
          <w:i/>
          <w:iCs/>
        </w:rPr>
        <w:t>Vegio</w:t>
      </w:r>
      <w:proofErr w:type="spellEnd"/>
      <w:r w:rsidRPr="00771E6E">
        <w:t>. Washington D.C.: Catholic University of America Press, 1953.</w:t>
      </w:r>
    </w:p>
    <w:p w14:paraId="6441CC20" w14:textId="77777777" w:rsidR="00F33779" w:rsidRPr="00771E6E" w:rsidRDefault="00F33779" w:rsidP="00F33779">
      <w:pPr>
        <w:pStyle w:val="Bibliography"/>
      </w:pPr>
      <w:r w:rsidRPr="00771E6E">
        <w:t>Howard, Deborah. “</w:t>
      </w:r>
      <w:proofErr w:type="spellStart"/>
      <w:r w:rsidRPr="00771E6E">
        <w:t>Devozione</w:t>
      </w:r>
      <w:proofErr w:type="spellEnd"/>
      <w:r w:rsidRPr="00771E6E">
        <w:t xml:space="preserve"> in Villa: </w:t>
      </w:r>
      <w:proofErr w:type="spellStart"/>
      <w:r w:rsidRPr="00771E6E">
        <w:t>alcune</w:t>
      </w:r>
      <w:proofErr w:type="spellEnd"/>
      <w:r w:rsidRPr="00771E6E">
        <w:t xml:space="preserve"> </w:t>
      </w:r>
      <w:proofErr w:type="spellStart"/>
      <w:r w:rsidRPr="00771E6E">
        <w:t>osservazioni</w:t>
      </w:r>
      <w:proofErr w:type="spellEnd"/>
      <w:r w:rsidRPr="00771E6E">
        <w:t xml:space="preserve"> </w:t>
      </w:r>
      <w:proofErr w:type="spellStart"/>
      <w:r w:rsidRPr="00771E6E">
        <w:t>sulla</w:t>
      </w:r>
      <w:proofErr w:type="spellEnd"/>
      <w:r w:rsidRPr="00771E6E">
        <w:t xml:space="preserve"> vita spiritual </w:t>
      </w:r>
      <w:proofErr w:type="spellStart"/>
      <w:r w:rsidRPr="00771E6E">
        <w:t>dei</w:t>
      </w:r>
      <w:proofErr w:type="spellEnd"/>
      <w:r w:rsidRPr="00771E6E">
        <w:t xml:space="preserve"> </w:t>
      </w:r>
      <w:proofErr w:type="spellStart"/>
      <w:r w:rsidRPr="00771E6E">
        <w:t>veneziani</w:t>
      </w:r>
      <w:proofErr w:type="spellEnd"/>
      <w:r w:rsidRPr="00771E6E">
        <w:t xml:space="preserve"> in contest </w:t>
      </w:r>
      <w:proofErr w:type="spellStart"/>
      <w:r w:rsidRPr="00771E6E">
        <w:t>rurale</w:t>
      </w:r>
      <w:proofErr w:type="spellEnd"/>
      <w:r w:rsidRPr="00771E6E">
        <w:t xml:space="preserve"> </w:t>
      </w:r>
      <w:proofErr w:type="spellStart"/>
      <w:r w:rsidRPr="00771E6E">
        <w:t>nel</w:t>
      </w:r>
      <w:proofErr w:type="spellEnd"/>
      <w:r w:rsidRPr="00771E6E">
        <w:t xml:space="preserve"> Cinquecento.” In </w:t>
      </w:r>
      <w:proofErr w:type="spellStart"/>
      <w:r w:rsidRPr="00771E6E">
        <w:rPr>
          <w:i/>
          <w:iCs/>
        </w:rPr>
        <w:t>Pregare</w:t>
      </w:r>
      <w:proofErr w:type="spellEnd"/>
      <w:r w:rsidRPr="00771E6E">
        <w:rPr>
          <w:i/>
          <w:iCs/>
        </w:rPr>
        <w:t xml:space="preserve"> in casa: </w:t>
      </w:r>
      <w:proofErr w:type="spellStart"/>
      <w:r w:rsidRPr="00771E6E">
        <w:rPr>
          <w:i/>
          <w:iCs/>
        </w:rPr>
        <w:t>oggetti</w:t>
      </w:r>
      <w:proofErr w:type="spellEnd"/>
      <w:r w:rsidRPr="00771E6E">
        <w:rPr>
          <w:i/>
          <w:iCs/>
        </w:rPr>
        <w:t xml:space="preserve"> e </w:t>
      </w:r>
      <w:proofErr w:type="spellStart"/>
      <w:r w:rsidRPr="00771E6E">
        <w:rPr>
          <w:i/>
          <w:iCs/>
        </w:rPr>
        <w:t>documenti</w:t>
      </w:r>
      <w:proofErr w:type="spellEnd"/>
      <w:r w:rsidRPr="00771E6E">
        <w:rPr>
          <w:i/>
          <w:iCs/>
        </w:rPr>
        <w:t xml:space="preserve"> </w:t>
      </w:r>
      <w:proofErr w:type="spellStart"/>
      <w:r w:rsidRPr="00771E6E">
        <w:rPr>
          <w:i/>
          <w:iCs/>
        </w:rPr>
        <w:t>della</w:t>
      </w:r>
      <w:proofErr w:type="spellEnd"/>
      <w:r w:rsidRPr="00771E6E">
        <w:rPr>
          <w:i/>
          <w:iCs/>
        </w:rPr>
        <w:t xml:space="preserve"> </w:t>
      </w:r>
      <w:proofErr w:type="spellStart"/>
      <w:r w:rsidRPr="00771E6E">
        <w:rPr>
          <w:i/>
          <w:iCs/>
        </w:rPr>
        <w:t>pratica</w:t>
      </w:r>
      <w:proofErr w:type="spellEnd"/>
      <w:r w:rsidRPr="00771E6E">
        <w:rPr>
          <w:i/>
          <w:iCs/>
        </w:rPr>
        <w:t xml:space="preserve"> religiosa </w:t>
      </w:r>
      <w:proofErr w:type="spellStart"/>
      <w:r w:rsidRPr="00771E6E">
        <w:rPr>
          <w:i/>
          <w:iCs/>
        </w:rPr>
        <w:t>tra</w:t>
      </w:r>
      <w:proofErr w:type="spellEnd"/>
      <w:r w:rsidRPr="00771E6E">
        <w:rPr>
          <w:i/>
          <w:iCs/>
        </w:rPr>
        <w:t xml:space="preserve"> </w:t>
      </w:r>
      <w:proofErr w:type="spellStart"/>
      <w:r w:rsidRPr="00771E6E">
        <w:rPr>
          <w:i/>
          <w:iCs/>
        </w:rPr>
        <w:t>Medioevo</w:t>
      </w:r>
      <w:proofErr w:type="spellEnd"/>
      <w:r w:rsidRPr="00771E6E">
        <w:rPr>
          <w:i/>
          <w:iCs/>
        </w:rPr>
        <w:t xml:space="preserve"> e </w:t>
      </w:r>
      <w:proofErr w:type="spellStart"/>
      <w:r w:rsidRPr="00771E6E">
        <w:rPr>
          <w:i/>
          <w:iCs/>
        </w:rPr>
        <w:t>Rinascimento</w:t>
      </w:r>
      <w:proofErr w:type="spellEnd"/>
      <w:r w:rsidRPr="00771E6E">
        <w:t xml:space="preserve">, edited by Giovanna </w:t>
      </w:r>
      <w:proofErr w:type="spellStart"/>
      <w:r w:rsidRPr="00771E6E">
        <w:t>Baldissin</w:t>
      </w:r>
      <w:proofErr w:type="spellEnd"/>
      <w:r w:rsidRPr="00771E6E">
        <w:t xml:space="preserve"> </w:t>
      </w:r>
      <w:proofErr w:type="spellStart"/>
      <w:r w:rsidRPr="00771E6E">
        <w:t>Molli</w:t>
      </w:r>
      <w:proofErr w:type="spellEnd"/>
      <w:r w:rsidRPr="00771E6E">
        <w:t xml:space="preserve">, Cristina </w:t>
      </w:r>
      <w:proofErr w:type="spellStart"/>
      <w:r w:rsidRPr="00771E6E">
        <w:t>Guarnieri</w:t>
      </w:r>
      <w:proofErr w:type="spellEnd"/>
      <w:r w:rsidRPr="00771E6E">
        <w:t xml:space="preserve">, and Zuleika Murat, 249–64. Rome: </w:t>
      </w:r>
      <w:proofErr w:type="spellStart"/>
      <w:r w:rsidRPr="00771E6E">
        <w:t>Viella</w:t>
      </w:r>
      <w:proofErr w:type="spellEnd"/>
      <w:r w:rsidRPr="00771E6E">
        <w:t>, 2018.</w:t>
      </w:r>
    </w:p>
    <w:p w14:paraId="4B40E19C" w14:textId="77777777" w:rsidR="00F33779" w:rsidRPr="00771E6E" w:rsidRDefault="00F33779" w:rsidP="00F33779">
      <w:pPr>
        <w:pStyle w:val="Bibliography"/>
      </w:pPr>
      <w:r w:rsidRPr="00771E6E">
        <w:t xml:space="preserve">Howe, Elizabeth Teresa. </w:t>
      </w:r>
      <w:r w:rsidRPr="00771E6E">
        <w:rPr>
          <w:i/>
          <w:iCs/>
        </w:rPr>
        <w:t>Education and Women in the Early Modern Hispanic World</w:t>
      </w:r>
      <w:r w:rsidRPr="00771E6E">
        <w:t>. Aldershot and Burlington, VT: Ashgate, 2008.</w:t>
      </w:r>
    </w:p>
    <w:p w14:paraId="131BEC6D" w14:textId="77777777" w:rsidR="00F33779" w:rsidRPr="00771E6E" w:rsidRDefault="00F33779" w:rsidP="00F33779">
      <w:pPr>
        <w:pStyle w:val="Bibliography"/>
      </w:pPr>
      <w:r w:rsidRPr="00771E6E">
        <w:t xml:space="preserve">Huck, Oliver. “The Music of the Angels in Fourteenth- and Early Fifteenth-Century Music.” </w:t>
      </w:r>
      <w:proofErr w:type="spellStart"/>
      <w:r w:rsidRPr="00771E6E">
        <w:rPr>
          <w:i/>
          <w:iCs/>
        </w:rPr>
        <w:t>Musica</w:t>
      </w:r>
      <w:proofErr w:type="spellEnd"/>
      <w:r w:rsidRPr="00771E6E">
        <w:rPr>
          <w:i/>
          <w:iCs/>
        </w:rPr>
        <w:t xml:space="preserve"> </w:t>
      </w:r>
      <w:proofErr w:type="spellStart"/>
      <w:r w:rsidRPr="00771E6E">
        <w:rPr>
          <w:i/>
          <w:iCs/>
        </w:rPr>
        <w:t>Disciplina</w:t>
      </w:r>
      <w:proofErr w:type="spellEnd"/>
      <w:r w:rsidRPr="00771E6E">
        <w:t xml:space="preserve"> 53 (2003): 99–119.</w:t>
      </w:r>
    </w:p>
    <w:p w14:paraId="3149C167" w14:textId="77777777" w:rsidR="00F33779" w:rsidRPr="00771E6E" w:rsidRDefault="00F33779" w:rsidP="00F33779">
      <w:pPr>
        <w:pStyle w:val="Bibliography"/>
      </w:pPr>
      <w:r w:rsidRPr="00771E6E">
        <w:t xml:space="preserve">Hughes, Graham. </w:t>
      </w:r>
      <w:r w:rsidRPr="00771E6E">
        <w:rPr>
          <w:i/>
          <w:iCs/>
        </w:rPr>
        <w:t>Renaissance Cassoni: Masterpieces of Early Italian Art: Painted Marriage Chests 1400-1550</w:t>
      </w:r>
      <w:r w:rsidRPr="00771E6E">
        <w:t>. London: Art Books International, 1997.</w:t>
      </w:r>
    </w:p>
    <w:p w14:paraId="758D61E9" w14:textId="77777777" w:rsidR="00F33779" w:rsidRPr="00771E6E" w:rsidRDefault="00F33779" w:rsidP="00F33779">
      <w:pPr>
        <w:pStyle w:val="Bibliography"/>
      </w:pPr>
      <w:proofErr w:type="spellStart"/>
      <w:r w:rsidRPr="00771E6E">
        <w:t>Humfrey</w:t>
      </w:r>
      <w:proofErr w:type="spellEnd"/>
      <w:r w:rsidRPr="00771E6E">
        <w:t xml:space="preserve">, Peter. </w:t>
      </w:r>
      <w:r w:rsidRPr="00771E6E">
        <w:rPr>
          <w:i/>
          <w:iCs/>
        </w:rPr>
        <w:t>Glasgow Museums: The Italian Paintings</w:t>
      </w:r>
      <w:r w:rsidRPr="00771E6E">
        <w:t>. London: Unicorn, 2012.</w:t>
      </w:r>
    </w:p>
    <w:p w14:paraId="4BF20B26" w14:textId="77777777" w:rsidR="00F33779" w:rsidRPr="00771E6E" w:rsidRDefault="00F33779" w:rsidP="00F33779">
      <w:pPr>
        <w:pStyle w:val="Bibliography"/>
      </w:pPr>
      <w:r w:rsidRPr="00771E6E">
        <w:t xml:space="preserve">Jacobs, </w:t>
      </w:r>
      <w:proofErr w:type="spellStart"/>
      <w:r w:rsidRPr="00771E6E">
        <w:t>Fredrika</w:t>
      </w:r>
      <w:proofErr w:type="spellEnd"/>
      <w:r w:rsidRPr="00771E6E">
        <w:t xml:space="preserve"> H. </w:t>
      </w:r>
      <w:r w:rsidRPr="00771E6E">
        <w:rPr>
          <w:i/>
          <w:iCs/>
        </w:rPr>
        <w:t>Votive Panels and Popular Piety in Early Modern Italy</w:t>
      </w:r>
      <w:r w:rsidRPr="00771E6E">
        <w:t>. Cambridge: Cambridge University Press, 2013.</w:t>
      </w:r>
    </w:p>
    <w:p w14:paraId="1FA2930A" w14:textId="77777777" w:rsidR="00F33779" w:rsidRPr="00771E6E" w:rsidRDefault="00F33779" w:rsidP="00F33779">
      <w:pPr>
        <w:pStyle w:val="Bibliography"/>
      </w:pPr>
      <w:r w:rsidRPr="00771E6E">
        <w:lastRenderedPageBreak/>
        <w:t xml:space="preserve">Jaffe, Michael. “Pesaro Family Portraits: Pordenone, Lotto and Titian.” </w:t>
      </w:r>
      <w:r w:rsidRPr="00771E6E">
        <w:rPr>
          <w:i/>
          <w:iCs/>
        </w:rPr>
        <w:t>The Burlington Magazine</w:t>
      </w:r>
      <w:r w:rsidRPr="00771E6E">
        <w:t xml:space="preserve"> 113, no. 825 (1971): 696–702.</w:t>
      </w:r>
    </w:p>
    <w:p w14:paraId="3AEF9F21" w14:textId="77777777" w:rsidR="00F33779" w:rsidRPr="00771E6E" w:rsidRDefault="00F33779" w:rsidP="00F33779">
      <w:pPr>
        <w:pStyle w:val="Bibliography"/>
      </w:pPr>
      <w:r w:rsidRPr="00771E6E">
        <w:t xml:space="preserve">Jayne, Sears Reynolds, ed. </w:t>
      </w:r>
      <w:proofErr w:type="spellStart"/>
      <w:r w:rsidRPr="00771E6E">
        <w:rPr>
          <w:i/>
          <w:iCs/>
        </w:rPr>
        <w:t>Marsilio</w:t>
      </w:r>
      <w:proofErr w:type="spellEnd"/>
      <w:r w:rsidRPr="00771E6E">
        <w:rPr>
          <w:i/>
          <w:iCs/>
        </w:rPr>
        <w:t xml:space="preserve"> Ficino’s Commentary on Plato’s Symposium</w:t>
      </w:r>
      <w:r w:rsidRPr="00771E6E">
        <w:t>. Translated by Sears Reynolds Jayne. Columbia: University of Missouri, 1944.</w:t>
      </w:r>
    </w:p>
    <w:p w14:paraId="15B88D2F" w14:textId="77777777" w:rsidR="00F33779" w:rsidRPr="00771E6E" w:rsidRDefault="00F33779" w:rsidP="00F33779">
      <w:pPr>
        <w:pStyle w:val="Bibliography"/>
      </w:pPr>
      <w:r w:rsidRPr="00771E6E">
        <w:t xml:space="preserve">Jenson, Nicolas. </w:t>
      </w:r>
      <w:r w:rsidRPr="00771E6E">
        <w:rPr>
          <w:i/>
          <w:iCs/>
        </w:rPr>
        <w:t xml:space="preserve">Decor </w:t>
      </w:r>
      <w:proofErr w:type="spellStart"/>
      <w:r w:rsidRPr="00771E6E">
        <w:rPr>
          <w:i/>
          <w:iCs/>
        </w:rPr>
        <w:t>Puellarum</w:t>
      </w:r>
      <w:proofErr w:type="spellEnd"/>
      <w:r w:rsidRPr="00771E6E">
        <w:t xml:space="preserve">. </w:t>
      </w:r>
      <w:proofErr w:type="spellStart"/>
      <w:r w:rsidRPr="00771E6E">
        <w:t>ms</w:t>
      </w:r>
      <w:proofErr w:type="spellEnd"/>
      <w:r w:rsidRPr="00771E6E">
        <w:t xml:space="preserve"> in </w:t>
      </w:r>
      <w:proofErr w:type="spellStart"/>
      <w:r w:rsidRPr="00771E6E">
        <w:t>Biblioteca</w:t>
      </w:r>
      <w:proofErr w:type="spellEnd"/>
      <w:r w:rsidRPr="00771E6E">
        <w:t xml:space="preserve"> Nazionale Centrale di Firenze, 1471. https://archive.org/details/ita-bnc-in2-00002284-001.</w:t>
      </w:r>
    </w:p>
    <w:p w14:paraId="640CEF88" w14:textId="77777777" w:rsidR="00F33779" w:rsidRPr="00771E6E" w:rsidRDefault="00F33779" w:rsidP="00F33779">
      <w:pPr>
        <w:pStyle w:val="Bibliography"/>
      </w:pPr>
      <w:r w:rsidRPr="00771E6E">
        <w:t xml:space="preserve">Johnson, Geraldine A. “Art or Artefact? Madonna and Child Reliefs in the Early Renaissance.” In </w:t>
      </w:r>
      <w:proofErr w:type="gramStart"/>
      <w:r w:rsidRPr="00771E6E">
        <w:rPr>
          <w:i/>
          <w:iCs/>
        </w:rPr>
        <w:t>The</w:t>
      </w:r>
      <w:proofErr w:type="gramEnd"/>
      <w:r w:rsidRPr="00771E6E">
        <w:rPr>
          <w:i/>
          <w:iCs/>
        </w:rPr>
        <w:t xml:space="preserve"> Sculpted Object, 1400-1700</w:t>
      </w:r>
      <w:r w:rsidRPr="00771E6E">
        <w:t xml:space="preserve">, edited by Stuart Currie and Peta </w:t>
      </w:r>
      <w:proofErr w:type="spellStart"/>
      <w:r w:rsidRPr="00771E6E">
        <w:t>Motture</w:t>
      </w:r>
      <w:proofErr w:type="spellEnd"/>
      <w:r w:rsidRPr="00771E6E">
        <w:t xml:space="preserve">. Aldershot; Brookfield, VT: </w:t>
      </w:r>
      <w:proofErr w:type="spellStart"/>
      <w:r w:rsidRPr="00771E6E">
        <w:t>Scolar</w:t>
      </w:r>
      <w:proofErr w:type="spellEnd"/>
      <w:r w:rsidRPr="00771E6E">
        <w:t xml:space="preserve"> Press; Ashgate, 1997.</w:t>
      </w:r>
    </w:p>
    <w:p w14:paraId="5F4E1BBB" w14:textId="77777777" w:rsidR="00F33779" w:rsidRPr="00771E6E" w:rsidRDefault="00F33779" w:rsidP="00F33779">
      <w:pPr>
        <w:pStyle w:val="Bibliography"/>
      </w:pPr>
      <w:r w:rsidRPr="00771E6E">
        <w:t xml:space="preserve">Jolly, Anna. </w:t>
      </w:r>
      <w:proofErr w:type="spellStart"/>
      <w:r w:rsidRPr="00771E6E">
        <w:rPr>
          <w:i/>
          <w:iCs/>
        </w:rPr>
        <w:t>Madonnas</w:t>
      </w:r>
      <w:proofErr w:type="spellEnd"/>
      <w:r w:rsidRPr="00771E6E">
        <w:rPr>
          <w:i/>
          <w:iCs/>
        </w:rPr>
        <w:t xml:space="preserve"> by Donatello and His Circle</w:t>
      </w:r>
      <w:r w:rsidRPr="00771E6E">
        <w:t>. Frankfurt am Main: Lang, 1998.</w:t>
      </w:r>
    </w:p>
    <w:p w14:paraId="528AC147" w14:textId="77777777" w:rsidR="00F33779" w:rsidRPr="00771E6E" w:rsidRDefault="00F33779" w:rsidP="00F33779">
      <w:pPr>
        <w:pStyle w:val="Bibliography"/>
      </w:pPr>
      <w:proofErr w:type="spellStart"/>
      <w:r w:rsidRPr="00771E6E">
        <w:t>Kallendorf</w:t>
      </w:r>
      <w:proofErr w:type="spellEnd"/>
      <w:r w:rsidRPr="00771E6E">
        <w:t xml:space="preserve">, Craig W. “Introduction.” In </w:t>
      </w:r>
      <w:r w:rsidRPr="00771E6E">
        <w:rPr>
          <w:i/>
          <w:iCs/>
        </w:rPr>
        <w:t>Humanist Educational Treatises</w:t>
      </w:r>
      <w:r w:rsidRPr="00771E6E">
        <w:t xml:space="preserve">, edited by Craig W </w:t>
      </w:r>
      <w:proofErr w:type="spellStart"/>
      <w:r w:rsidRPr="00771E6E">
        <w:t>Kallendorf</w:t>
      </w:r>
      <w:proofErr w:type="spellEnd"/>
      <w:r w:rsidRPr="00771E6E">
        <w:t>, vii–xvi. Harvard University Press, 2002.</w:t>
      </w:r>
    </w:p>
    <w:p w14:paraId="3025B3A9" w14:textId="77777777" w:rsidR="00F33779" w:rsidRPr="00771E6E" w:rsidRDefault="00F33779" w:rsidP="00F33779">
      <w:pPr>
        <w:pStyle w:val="Bibliography"/>
      </w:pPr>
      <w:r w:rsidRPr="00771E6E">
        <w:t xml:space="preserve">Keck, David. </w:t>
      </w:r>
      <w:r w:rsidRPr="00771E6E">
        <w:rPr>
          <w:i/>
          <w:iCs/>
        </w:rPr>
        <w:t>Angels and Angelology in the Middle Ages</w:t>
      </w:r>
      <w:r w:rsidRPr="00771E6E">
        <w:t>. New York; Oxford: Oxford University Press, 1998.</w:t>
      </w:r>
    </w:p>
    <w:p w14:paraId="316A1F54" w14:textId="77777777" w:rsidR="00F33779" w:rsidRPr="00771E6E" w:rsidRDefault="00F33779" w:rsidP="00F33779">
      <w:pPr>
        <w:pStyle w:val="Bibliography"/>
      </w:pPr>
      <w:r w:rsidRPr="00771E6E">
        <w:t xml:space="preserve">Kecks, Ronald G. </w:t>
      </w:r>
      <w:r w:rsidRPr="00771E6E">
        <w:rPr>
          <w:i/>
          <w:iCs/>
        </w:rPr>
        <w:t xml:space="preserve">Madonna Und Kind: Das </w:t>
      </w:r>
      <w:proofErr w:type="spellStart"/>
      <w:r w:rsidRPr="00771E6E">
        <w:rPr>
          <w:i/>
          <w:iCs/>
        </w:rPr>
        <w:t>Häusliche</w:t>
      </w:r>
      <w:proofErr w:type="spellEnd"/>
      <w:r w:rsidRPr="00771E6E">
        <w:rPr>
          <w:i/>
          <w:iCs/>
        </w:rPr>
        <w:t xml:space="preserve"> </w:t>
      </w:r>
      <w:proofErr w:type="spellStart"/>
      <w:r w:rsidRPr="00771E6E">
        <w:rPr>
          <w:i/>
          <w:iCs/>
        </w:rPr>
        <w:t>Andachtsbild</w:t>
      </w:r>
      <w:proofErr w:type="spellEnd"/>
      <w:r w:rsidRPr="00771E6E">
        <w:rPr>
          <w:i/>
          <w:iCs/>
        </w:rPr>
        <w:t xml:space="preserve"> </w:t>
      </w:r>
      <w:proofErr w:type="spellStart"/>
      <w:r w:rsidRPr="00771E6E">
        <w:rPr>
          <w:i/>
          <w:iCs/>
        </w:rPr>
        <w:t>Im</w:t>
      </w:r>
      <w:proofErr w:type="spellEnd"/>
      <w:r w:rsidRPr="00771E6E">
        <w:rPr>
          <w:i/>
          <w:iCs/>
        </w:rPr>
        <w:t xml:space="preserve"> </w:t>
      </w:r>
      <w:proofErr w:type="spellStart"/>
      <w:r w:rsidRPr="00771E6E">
        <w:rPr>
          <w:i/>
          <w:iCs/>
        </w:rPr>
        <w:t>Florenz</w:t>
      </w:r>
      <w:proofErr w:type="spellEnd"/>
      <w:r w:rsidRPr="00771E6E">
        <w:rPr>
          <w:i/>
          <w:iCs/>
        </w:rPr>
        <w:t xml:space="preserve"> Des 15. </w:t>
      </w:r>
      <w:proofErr w:type="spellStart"/>
      <w:r w:rsidRPr="00771E6E">
        <w:rPr>
          <w:i/>
          <w:iCs/>
        </w:rPr>
        <w:t>Jahrhunderts</w:t>
      </w:r>
      <w:proofErr w:type="spellEnd"/>
      <w:r w:rsidRPr="00771E6E">
        <w:t xml:space="preserve">. Berlin: </w:t>
      </w:r>
      <w:proofErr w:type="spellStart"/>
      <w:r w:rsidRPr="00771E6E">
        <w:t>Gebr</w:t>
      </w:r>
      <w:proofErr w:type="spellEnd"/>
      <w:r w:rsidRPr="00771E6E">
        <w:t>. Mann, 1988.</w:t>
      </w:r>
    </w:p>
    <w:p w14:paraId="4F40B78D" w14:textId="77777777" w:rsidR="00F33779" w:rsidRPr="00771E6E" w:rsidRDefault="00F33779" w:rsidP="00F33779">
      <w:pPr>
        <w:pStyle w:val="Bibliography"/>
      </w:pPr>
      <w:r w:rsidRPr="00771E6E">
        <w:t xml:space="preserve">Kelley, Donald R. </w:t>
      </w:r>
      <w:r w:rsidRPr="00771E6E">
        <w:rPr>
          <w:i/>
          <w:iCs/>
        </w:rPr>
        <w:t>Faces of History: Historical Inquiry from Herodotus to Herder</w:t>
      </w:r>
      <w:r w:rsidRPr="00771E6E">
        <w:t>. New Haven and London: Yale University Press, 1998.</w:t>
      </w:r>
    </w:p>
    <w:p w14:paraId="00CE747E" w14:textId="77777777" w:rsidR="00F33779" w:rsidRPr="00771E6E" w:rsidRDefault="00F33779" w:rsidP="00F33779">
      <w:pPr>
        <w:pStyle w:val="Bibliography"/>
      </w:pPr>
      <w:r w:rsidRPr="00771E6E">
        <w:t xml:space="preserve">———. “The Renaissance.” In </w:t>
      </w:r>
      <w:r w:rsidRPr="00771E6E">
        <w:rPr>
          <w:i/>
          <w:iCs/>
        </w:rPr>
        <w:t>Versions of History from Antiquity to the Enlightenment</w:t>
      </w:r>
      <w:r w:rsidRPr="00771E6E">
        <w:t>, edited by Donald R. Kelley. New Haven and London: Yale University Press, 1991.</w:t>
      </w:r>
    </w:p>
    <w:p w14:paraId="0B57B834" w14:textId="77777777" w:rsidR="00F33779" w:rsidRPr="00771E6E" w:rsidRDefault="00F33779" w:rsidP="00F33779">
      <w:pPr>
        <w:pStyle w:val="Bibliography"/>
      </w:pPr>
      <w:r w:rsidRPr="00771E6E">
        <w:t xml:space="preserve">———. “The Theory of History.” In </w:t>
      </w:r>
      <w:proofErr w:type="gramStart"/>
      <w:r w:rsidRPr="00771E6E">
        <w:rPr>
          <w:i/>
          <w:iCs/>
        </w:rPr>
        <w:t>The</w:t>
      </w:r>
      <w:proofErr w:type="gramEnd"/>
      <w:r w:rsidRPr="00771E6E">
        <w:rPr>
          <w:i/>
          <w:iCs/>
        </w:rPr>
        <w:t xml:space="preserve"> Cambridge History of Renaissance Philosophy</w:t>
      </w:r>
      <w:r w:rsidRPr="00771E6E">
        <w:t xml:space="preserve">, edited by Charles B. Schmitt, Quentin Skinner, </w:t>
      </w:r>
      <w:proofErr w:type="spellStart"/>
      <w:r w:rsidRPr="00771E6E">
        <w:t>Eckhard</w:t>
      </w:r>
      <w:proofErr w:type="spellEnd"/>
      <w:r w:rsidRPr="00771E6E">
        <w:t xml:space="preserve"> Kessler, and Jill </w:t>
      </w:r>
      <w:proofErr w:type="spellStart"/>
      <w:r w:rsidRPr="00771E6E">
        <w:t>Kraye</w:t>
      </w:r>
      <w:proofErr w:type="spellEnd"/>
      <w:r w:rsidRPr="00771E6E">
        <w:t>, 746–62. Cambridge: Cambridge University Press, 1988.</w:t>
      </w:r>
    </w:p>
    <w:p w14:paraId="3F425FBC" w14:textId="77777777" w:rsidR="00F33779" w:rsidRPr="00771E6E" w:rsidRDefault="00F33779" w:rsidP="00F33779">
      <w:pPr>
        <w:pStyle w:val="Bibliography"/>
      </w:pPr>
      <w:r w:rsidRPr="00771E6E">
        <w:t xml:space="preserve">Kent, Dale. </w:t>
      </w:r>
      <w:r w:rsidRPr="00771E6E">
        <w:rPr>
          <w:i/>
          <w:iCs/>
        </w:rPr>
        <w:t>Cosimo De’ Medici and the Florentine Renaissance: The Patron’s Oeuvre</w:t>
      </w:r>
      <w:r w:rsidRPr="00771E6E">
        <w:t>. New Haven and London: Yale University Press, 2000.</w:t>
      </w:r>
    </w:p>
    <w:p w14:paraId="705F8127" w14:textId="77777777" w:rsidR="00F33779" w:rsidRPr="00771E6E" w:rsidRDefault="00F33779" w:rsidP="00F33779">
      <w:pPr>
        <w:pStyle w:val="Bibliography"/>
      </w:pPr>
      <w:r w:rsidRPr="00771E6E">
        <w:t xml:space="preserve">Kent, Francis W. “Art Historical Gleanings from the Florentine Archives.” </w:t>
      </w:r>
      <w:r w:rsidRPr="00771E6E">
        <w:rPr>
          <w:i/>
          <w:iCs/>
        </w:rPr>
        <w:t>Australian Journal of Art</w:t>
      </w:r>
      <w:r w:rsidRPr="00771E6E">
        <w:t>, 1980, 47–49.</w:t>
      </w:r>
    </w:p>
    <w:p w14:paraId="1AEAB333" w14:textId="77777777" w:rsidR="00F33779" w:rsidRPr="00771E6E" w:rsidRDefault="00F33779" w:rsidP="00F33779">
      <w:pPr>
        <w:pStyle w:val="Bibliography"/>
      </w:pPr>
      <w:r w:rsidRPr="00771E6E">
        <w:t xml:space="preserve">Kessler, Herbert L. </w:t>
      </w:r>
      <w:r w:rsidRPr="00771E6E">
        <w:rPr>
          <w:i/>
          <w:iCs/>
        </w:rPr>
        <w:t>Spiritual Seeing: Picturing God’s Invisibility in Medieval Art</w:t>
      </w:r>
      <w:r w:rsidRPr="00771E6E">
        <w:t>. Philadelphia, PA: University of Pennsylvania Press, 2000.</w:t>
      </w:r>
    </w:p>
    <w:p w14:paraId="38E97316" w14:textId="77777777" w:rsidR="00F33779" w:rsidRPr="00771E6E" w:rsidRDefault="00F33779" w:rsidP="00F33779">
      <w:pPr>
        <w:pStyle w:val="Bibliography"/>
      </w:pPr>
      <w:r w:rsidRPr="00771E6E">
        <w:t xml:space="preserve">Kim, Hyun-Ah. </w:t>
      </w:r>
      <w:r w:rsidRPr="00771E6E">
        <w:rPr>
          <w:i/>
          <w:iCs/>
        </w:rPr>
        <w:t xml:space="preserve">The Renaissance Ethics of Music: Singing, Contemplation and </w:t>
      </w:r>
      <w:proofErr w:type="spellStart"/>
      <w:r w:rsidRPr="00771E6E">
        <w:rPr>
          <w:i/>
          <w:iCs/>
        </w:rPr>
        <w:t>Musica</w:t>
      </w:r>
      <w:proofErr w:type="spellEnd"/>
      <w:r w:rsidRPr="00771E6E">
        <w:rPr>
          <w:i/>
          <w:iCs/>
        </w:rPr>
        <w:t xml:space="preserve"> Humana</w:t>
      </w:r>
      <w:r w:rsidRPr="00771E6E">
        <w:t xml:space="preserve">. London: Pickering &amp; </w:t>
      </w:r>
      <w:proofErr w:type="spellStart"/>
      <w:r w:rsidRPr="00771E6E">
        <w:t>Chatto</w:t>
      </w:r>
      <w:proofErr w:type="spellEnd"/>
      <w:r w:rsidRPr="00771E6E">
        <w:t>, 2015.</w:t>
      </w:r>
    </w:p>
    <w:p w14:paraId="6EF0D860" w14:textId="77777777" w:rsidR="00F33779" w:rsidRPr="00771E6E" w:rsidRDefault="00F33779" w:rsidP="00F33779">
      <w:pPr>
        <w:pStyle w:val="Bibliography"/>
      </w:pPr>
      <w:r w:rsidRPr="00771E6E">
        <w:t>King, Margaret L. “</w:t>
      </w:r>
      <w:proofErr w:type="spellStart"/>
      <w:r w:rsidRPr="00771E6E">
        <w:t>Caldiera</w:t>
      </w:r>
      <w:proofErr w:type="spellEnd"/>
      <w:r w:rsidRPr="00771E6E">
        <w:t xml:space="preserve"> and the </w:t>
      </w:r>
      <w:proofErr w:type="spellStart"/>
      <w:r w:rsidRPr="00771E6E">
        <w:t>Barbaros</w:t>
      </w:r>
      <w:proofErr w:type="spellEnd"/>
      <w:r w:rsidRPr="00771E6E">
        <w:t xml:space="preserve"> on Marriage and the Family: Humanist Reflections of Venetian Realities.” </w:t>
      </w:r>
      <w:r w:rsidRPr="00771E6E">
        <w:rPr>
          <w:i/>
          <w:iCs/>
        </w:rPr>
        <w:t>The Journal of Medieval and Renaissance Studies</w:t>
      </w:r>
      <w:r w:rsidRPr="00771E6E">
        <w:t xml:space="preserve"> 6 (1976): 19–50.</w:t>
      </w:r>
    </w:p>
    <w:p w14:paraId="28A9BC5C" w14:textId="77777777" w:rsidR="00F33779" w:rsidRPr="00771E6E" w:rsidRDefault="00F33779" w:rsidP="00F33779">
      <w:pPr>
        <w:pStyle w:val="Bibliography"/>
      </w:pPr>
      <w:r w:rsidRPr="00771E6E">
        <w:t xml:space="preserve">———. </w:t>
      </w:r>
      <w:r w:rsidRPr="00771E6E">
        <w:rPr>
          <w:i/>
          <w:iCs/>
        </w:rPr>
        <w:t>The Death of the Child Valerio Marcello</w:t>
      </w:r>
      <w:r w:rsidRPr="00771E6E">
        <w:t>. Chicago and London: University of Chicago Press, 1994.</w:t>
      </w:r>
    </w:p>
    <w:p w14:paraId="12ABD50A" w14:textId="77777777" w:rsidR="00F33779" w:rsidRPr="00771E6E" w:rsidRDefault="00F33779" w:rsidP="00F33779">
      <w:pPr>
        <w:pStyle w:val="Bibliography"/>
      </w:pPr>
      <w:r w:rsidRPr="00771E6E">
        <w:t xml:space="preserve">———. “The School of Infancy: The Emergence of Mother as Teacher in Early Modern Times.” In </w:t>
      </w:r>
      <w:proofErr w:type="gramStart"/>
      <w:r w:rsidRPr="00771E6E">
        <w:rPr>
          <w:i/>
          <w:iCs/>
        </w:rPr>
        <w:t>The</w:t>
      </w:r>
      <w:proofErr w:type="gramEnd"/>
      <w:r w:rsidRPr="00771E6E">
        <w:rPr>
          <w:i/>
          <w:iCs/>
        </w:rPr>
        <w:t xml:space="preserve"> Renaissance in the Streets, Schools, and Studies: Essays in Honour of Paul F. </w:t>
      </w:r>
      <w:proofErr w:type="spellStart"/>
      <w:r w:rsidRPr="00771E6E">
        <w:rPr>
          <w:i/>
          <w:iCs/>
        </w:rPr>
        <w:t>Grendler</w:t>
      </w:r>
      <w:proofErr w:type="spellEnd"/>
      <w:r w:rsidRPr="00771E6E">
        <w:t xml:space="preserve">, edited by Konrad </w:t>
      </w:r>
      <w:proofErr w:type="spellStart"/>
      <w:r w:rsidRPr="00771E6E">
        <w:t>Eisenbichler</w:t>
      </w:r>
      <w:proofErr w:type="spellEnd"/>
      <w:r w:rsidRPr="00771E6E">
        <w:t xml:space="preserve"> and Nicholas Terpstra, 41–85. Toronto: Centre for Reformation and Renaissance Studies, 2008.</w:t>
      </w:r>
    </w:p>
    <w:p w14:paraId="53A33425" w14:textId="15C6E792" w:rsidR="00940258" w:rsidRPr="00771E6E" w:rsidRDefault="00940258" w:rsidP="00940258">
      <w:pPr>
        <w:pStyle w:val="Bibliography"/>
        <w:ind w:left="0" w:firstLine="0"/>
      </w:pPr>
      <w:r w:rsidRPr="00771E6E">
        <w:t xml:space="preserve">King, Ross. </w:t>
      </w:r>
      <w:r w:rsidRPr="00771E6E">
        <w:rPr>
          <w:i/>
          <w:iCs/>
        </w:rPr>
        <w:t>Michelangelo and the Pope’s Ceiling</w:t>
      </w:r>
      <w:r w:rsidRPr="00771E6E">
        <w:t>. London: Pimlico, 2006.</w:t>
      </w:r>
    </w:p>
    <w:p w14:paraId="65189C46" w14:textId="77777777" w:rsidR="00F33779" w:rsidRPr="00771E6E" w:rsidRDefault="00F33779" w:rsidP="00F33779">
      <w:pPr>
        <w:pStyle w:val="Bibliography"/>
      </w:pPr>
      <w:proofErr w:type="spellStart"/>
      <w:r w:rsidRPr="00771E6E">
        <w:t>Klapisch</w:t>
      </w:r>
      <w:proofErr w:type="spellEnd"/>
      <w:r w:rsidRPr="00771E6E">
        <w:t xml:space="preserve">-Zuber, Christiane. “Le </w:t>
      </w:r>
      <w:proofErr w:type="spellStart"/>
      <w:r w:rsidRPr="00771E6E">
        <w:t>Chiavi</w:t>
      </w:r>
      <w:proofErr w:type="spellEnd"/>
      <w:r w:rsidRPr="00771E6E">
        <w:t xml:space="preserve"> </w:t>
      </w:r>
      <w:proofErr w:type="spellStart"/>
      <w:r w:rsidRPr="00771E6E">
        <w:t>Fiorentine</w:t>
      </w:r>
      <w:proofErr w:type="spellEnd"/>
      <w:r w:rsidRPr="00771E6E">
        <w:t xml:space="preserve"> di </w:t>
      </w:r>
      <w:proofErr w:type="spellStart"/>
      <w:r w:rsidRPr="00771E6E">
        <w:t>Barbablù</w:t>
      </w:r>
      <w:proofErr w:type="spellEnd"/>
      <w:r w:rsidRPr="00771E6E">
        <w:t xml:space="preserve">: </w:t>
      </w:r>
      <w:proofErr w:type="spellStart"/>
      <w:r w:rsidRPr="00771E6E">
        <w:t>L’apprendimento</w:t>
      </w:r>
      <w:proofErr w:type="spellEnd"/>
      <w:r w:rsidRPr="00771E6E">
        <w:t xml:space="preserve"> </w:t>
      </w:r>
      <w:proofErr w:type="spellStart"/>
      <w:r w:rsidRPr="00771E6E">
        <w:t>della</w:t>
      </w:r>
      <w:proofErr w:type="spellEnd"/>
      <w:r w:rsidRPr="00771E6E">
        <w:t xml:space="preserve"> </w:t>
      </w:r>
      <w:proofErr w:type="spellStart"/>
      <w:r w:rsidRPr="00771E6E">
        <w:t>Lettura</w:t>
      </w:r>
      <w:proofErr w:type="spellEnd"/>
      <w:r w:rsidRPr="00771E6E">
        <w:t xml:space="preserve"> a Firenze </w:t>
      </w:r>
      <w:proofErr w:type="spellStart"/>
      <w:r w:rsidRPr="00771E6E">
        <w:t>nel</w:t>
      </w:r>
      <w:proofErr w:type="spellEnd"/>
      <w:r w:rsidRPr="00771E6E">
        <w:t xml:space="preserve"> XV </w:t>
      </w:r>
      <w:proofErr w:type="spellStart"/>
      <w:r w:rsidRPr="00771E6E">
        <w:t>Secolo</w:t>
      </w:r>
      <w:proofErr w:type="spellEnd"/>
      <w:r w:rsidRPr="00771E6E">
        <w:t xml:space="preserve">.” Translated by Maddalena Santini. </w:t>
      </w:r>
      <w:proofErr w:type="spellStart"/>
      <w:r w:rsidRPr="00771E6E">
        <w:rPr>
          <w:i/>
          <w:iCs/>
        </w:rPr>
        <w:t>Quaderni</w:t>
      </w:r>
      <w:proofErr w:type="spellEnd"/>
      <w:r w:rsidRPr="00771E6E">
        <w:rPr>
          <w:i/>
          <w:iCs/>
        </w:rPr>
        <w:t xml:space="preserve"> </w:t>
      </w:r>
      <w:proofErr w:type="spellStart"/>
      <w:r w:rsidRPr="00771E6E">
        <w:rPr>
          <w:i/>
          <w:iCs/>
        </w:rPr>
        <w:t>storici</w:t>
      </w:r>
      <w:proofErr w:type="spellEnd"/>
      <w:r w:rsidRPr="00771E6E">
        <w:t xml:space="preserve"> Vol. 19, no. 57 (3) (December 1984): 765–92.</w:t>
      </w:r>
    </w:p>
    <w:p w14:paraId="7C3019BE" w14:textId="77777777" w:rsidR="00F33779" w:rsidRPr="00771E6E" w:rsidRDefault="00F33779" w:rsidP="00F33779">
      <w:pPr>
        <w:pStyle w:val="Bibliography"/>
      </w:pPr>
      <w:r w:rsidRPr="00771E6E">
        <w:t xml:space="preserve">———. “Le </w:t>
      </w:r>
      <w:proofErr w:type="spellStart"/>
      <w:r w:rsidRPr="00771E6E">
        <w:rPr>
          <w:i/>
          <w:iCs/>
        </w:rPr>
        <w:t>zane</w:t>
      </w:r>
      <w:proofErr w:type="spellEnd"/>
      <w:r w:rsidRPr="00771E6E">
        <w:t xml:space="preserve"> </w:t>
      </w:r>
      <w:proofErr w:type="spellStart"/>
      <w:r w:rsidRPr="00771E6E">
        <w:t>della</w:t>
      </w:r>
      <w:proofErr w:type="spellEnd"/>
      <w:r w:rsidRPr="00771E6E">
        <w:t xml:space="preserve"> </w:t>
      </w:r>
      <w:proofErr w:type="spellStart"/>
      <w:r w:rsidRPr="00771E6E">
        <w:t>sposa</w:t>
      </w:r>
      <w:proofErr w:type="spellEnd"/>
      <w:r w:rsidRPr="00771E6E">
        <w:t xml:space="preserve">. La </w:t>
      </w:r>
      <w:proofErr w:type="spellStart"/>
      <w:r w:rsidRPr="00771E6E">
        <w:t>fiorentina</w:t>
      </w:r>
      <w:proofErr w:type="spellEnd"/>
      <w:r w:rsidRPr="00771E6E">
        <w:t xml:space="preserve"> e </w:t>
      </w:r>
      <w:proofErr w:type="spellStart"/>
      <w:r w:rsidRPr="00771E6E">
        <w:t>il</w:t>
      </w:r>
      <w:proofErr w:type="spellEnd"/>
      <w:r w:rsidRPr="00771E6E">
        <w:t xml:space="preserve"> </w:t>
      </w:r>
      <w:proofErr w:type="spellStart"/>
      <w:r w:rsidRPr="00771E6E">
        <w:t>suo</w:t>
      </w:r>
      <w:proofErr w:type="spellEnd"/>
      <w:r w:rsidRPr="00771E6E">
        <w:t xml:space="preserve"> </w:t>
      </w:r>
      <w:proofErr w:type="spellStart"/>
      <w:r w:rsidRPr="00771E6E">
        <w:t>corredo</w:t>
      </w:r>
      <w:proofErr w:type="spellEnd"/>
      <w:r w:rsidRPr="00771E6E">
        <w:t xml:space="preserve"> </w:t>
      </w:r>
      <w:proofErr w:type="spellStart"/>
      <w:r w:rsidRPr="00771E6E">
        <w:t>nel</w:t>
      </w:r>
      <w:proofErr w:type="spellEnd"/>
      <w:r w:rsidRPr="00771E6E">
        <w:t xml:space="preserve"> </w:t>
      </w:r>
      <w:proofErr w:type="spellStart"/>
      <w:r w:rsidRPr="00771E6E">
        <w:t>Rinascimento</w:t>
      </w:r>
      <w:proofErr w:type="spellEnd"/>
      <w:r w:rsidRPr="00771E6E">
        <w:t xml:space="preserve">.” </w:t>
      </w:r>
      <w:r w:rsidRPr="00771E6E">
        <w:rPr>
          <w:i/>
          <w:iCs/>
        </w:rPr>
        <w:t>Memoria</w:t>
      </w:r>
      <w:r w:rsidRPr="00771E6E">
        <w:t xml:space="preserve"> 11–12 (1984): 12–23.</w:t>
      </w:r>
    </w:p>
    <w:p w14:paraId="5C5898F0" w14:textId="77777777" w:rsidR="00F33779" w:rsidRPr="00771E6E" w:rsidRDefault="00F33779" w:rsidP="00F33779">
      <w:pPr>
        <w:pStyle w:val="Bibliography"/>
      </w:pPr>
      <w:r w:rsidRPr="00771E6E">
        <w:t xml:space="preserve">———. </w:t>
      </w:r>
      <w:r w:rsidRPr="00771E6E">
        <w:rPr>
          <w:i/>
          <w:iCs/>
        </w:rPr>
        <w:t>Women, Family, and Ritual in Renaissance Italy</w:t>
      </w:r>
      <w:r w:rsidRPr="00771E6E">
        <w:t>. Translated by Lydia Cochrane. Chicago and London: University of Chicago Press, 1985.</w:t>
      </w:r>
    </w:p>
    <w:p w14:paraId="4DF02666" w14:textId="77777777" w:rsidR="00F33779" w:rsidRPr="00771E6E" w:rsidRDefault="00F33779" w:rsidP="00F33779">
      <w:pPr>
        <w:pStyle w:val="Bibliography"/>
      </w:pPr>
      <w:r w:rsidRPr="00771E6E">
        <w:t xml:space="preserve">Kohl, Benjamin G. </w:t>
      </w:r>
      <w:r w:rsidRPr="00771E6E">
        <w:rPr>
          <w:i/>
          <w:iCs/>
        </w:rPr>
        <w:t>The Earthly Republic: Italian Humanists on Government and Society</w:t>
      </w:r>
      <w:r w:rsidRPr="00771E6E">
        <w:t>. Manchester: Manchester University Press, 1978.</w:t>
      </w:r>
    </w:p>
    <w:p w14:paraId="4851744B" w14:textId="7628D723" w:rsidR="00882107" w:rsidRPr="00771E6E" w:rsidRDefault="00882107" w:rsidP="00882107">
      <w:pPr>
        <w:pStyle w:val="Bibliography"/>
      </w:pPr>
      <w:proofErr w:type="spellStart"/>
      <w:r w:rsidRPr="00771E6E">
        <w:lastRenderedPageBreak/>
        <w:t>Komanoff</w:t>
      </w:r>
      <w:proofErr w:type="spellEnd"/>
      <w:r w:rsidRPr="00771E6E">
        <w:t xml:space="preserve"> Bandy, </w:t>
      </w:r>
      <w:proofErr w:type="spellStart"/>
      <w:r w:rsidRPr="00771E6E">
        <w:t>Malachai</w:t>
      </w:r>
      <w:proofErr w:type="spellEnd"/>
      <w:r w:rsidRPr="00771E6E">
        <w:t xml:space="preserve">. “‘With </w:t>
      </w:r>
      <w:proofErr w:type="gramStart"/>
      <w:r w:rsidRPr="00771E6E">
        <w:t>The</w:t>
      </w:r>
      <w:proofErr w:type="gramEnd"/>
      <w:r w:rsidRPr="00771E6E">
        <w:t xml:space="preserve"> Base Viall Placed Between My </w:t>
      </w:r>
      <w:proofErr w:type="spellStart"/>
      <w:r w:rsidRPr="00771E6E">
        <w:t>Thighes</w:t>
      </w:r>
      <w:proofErr w:type="spellEnd"/>
      <w:r w:rsidRPr="00771E6E">
        <w:t xml:space="preserve">’: Musical Instruments and Sexual Subtext in Titian’s Venus with Musician Series.” Paper presented at the </w:t>
      </w:r>
      <w:r w:rsidRPr="00771E6E">
        <w:rPr>
          <w:i/>
          <w:iCs/>
        </w:rPr>
        <w:t>Music and Visual Culture in Renaissance Italy Conference</w:t>
      </w:r>
      <w:r w:rsidRPr="00771E6E">
        <w:t>, Sheffield, 13-15 June 2019.</w:t>
      </w:r>
    </w:p>
    <w:p w14:paraId="10FDF086" w14:textId="77777777" w:rsidR="00F33779" w:rsidRPr="00771E6E" w:rsidRDefault="00F33779" w:rsidP="00F33779">
      <w:pPr>
        <w:pStyle w:val="Bibliography"/>
      </w:pPr>
      <w:proofErr w:type="spellStart"/>
      <w:r w:rsidRPr="00771E6E">
        <w:t>Kraye</w:t>
      </w:r>
      <w:proofErr w:type="spellEnd"/>
      <w:r w:rsidRPr="00771E6E">
        <w:t xml:space="preserve">, Jill. “Moral Philosophy.” In </w:t>
      </w:r>
      <w:proofErr w:type="gramStart"/>
      <w:r w:rsidRPr="00771E6E">
        <w:rPr>
          <w:i/>
          <w:iCs/>
        </w:rPr>
        <w:t>The</w:t>
      </w:r>
      <w:proofErr w:type="gramEnd"/>
      <w:r w:rsidRPr="00771E6E">
        <w:rPr>
          <w:i/>
          <w:iCs/>
        </w:rPr>
        <w:t xml:space="preserve"> Cambridge History of Renaissance Philosophy</w:t>
      </w:r>
      <w:r w:rsidRPr="00771E6E">
        <w:t xml:space="preserve">, edited by Charles B. Schmitt, Quentin Skinner, </w:t>
      </w:r>
      <w:proofErr w:type="spellStart"/>
      <w:r w:rsidRPr="00771E6E">
        <w:t>Eckhard</w:t>
      </w:r>
      <w:proofErr w:type="spellEnd"/>
      <w:r w:rsidRPr="00771E6E">
        <w:t xml:space="preserve"> Kessler, and Jill </w:t>
      </w:r>
      <w:proofErr w:type="spellStart"/>
      <w:r w:rsidRPr="00771E6E">
        <w:t>Kraye</w:t>
      </w:r>
      <w:proofErr w:type="spellEnd"/>
      <w:r w:rsidRPr="00771E6E">
        <w:t>, 301–86. Cambridge: Cambridge University Press, 1988.</w:t>
      </w:r>
    </w:p>
    <w:p w14:paraId="7900F382" w14:textId="77777777" w:rsidR="00F33779" w:rsidRPr="00771E6E" w:rsidRDefault="00F33779" w:rsidP="00F33779">
      <w:pPr>
        <w:pStyle w:val="Bibliography"/>
      </w:pPr>
      <w:proofErr w:type="spellStart"/>
      <w:r w:rsidRPr="00771E6E">
        <w:t>Kristeller</w:t>
      </w:r>
      <w:proofErr w:type="spellEnd"/>
      <w:r w:rsidRPr="00771E6E">
        <w:t xml:space="preserve">, Paul Oskar. “Humanism.” In </w:t>
      </w:r>
      <w:proofErr w:type="gramStart"/>
      <w:r w:rsidRPr="00771E6E">
        <w:rPr>
          <w:i/>
          <w:iCs/>
        </w:rPr>
        <w:t>The</w:t>
      </w:r>
      <w:proofErr w:type="gramEnd"/>
      <w:r w:rsidRPr="00771E6E">
        <w:rPr>
          <w:i/>
          <w:iCs/>
        </w:rPr>
        <w:t xml:space="preserve"> Cambridge History of Renaissance Philosophy</w:t>
      </w:r>
      <w:r w:rsidRPr="00771E6E">
        <w:t xml:space="preserve">, edited by Charles B. Schmitt, Quentin Skinner, </w:t>
      </w:r>
      <w:proofErr w:type="spellStart"/>
      <w:r w:rsidRPr="00771E6E">
        <w:t>Eckhard</w:t>
      </w:r>
      <w:proofErr w:type="spellEnd"/>
      <w:r w:rsidRPr="00771E6E">
        <w:t xml:space="preserve"> Kessler, and Jill </w:t>
      </w:r>
      <w:proofErr w:type="spellStart"/>
      <w:r w:rsidRPr="00771E6E">
        <w:t>Kraye</w:t>
      </w:r>
      <w:proofErr w:type="spellEnd"/>
      <w:r w:rsidRPr="00771E6E">
        <w:t>, 113–37. Cambridge: Cambridge University Press, 1988.</w:t>
      </w:r>
    </w:p>
    <w:p w14:paraId="348AB039" w14:textId="77777777" w:rsidR="00F33779" w:rsidRPr="00771E6E" w:rsidRDefault="00F33779" w:rsidP="00F33779">
      <w:pPr>
        <w:pStyle w:val="Bibliography"/>
      </w:pPr>
      <w:r w:rsidRPr="00771E6E">
        <w:t xml:space="preserve">———. “Preface.” In </w:t>
      </w:r>
      <w:proofErr w:type="spellStart"/>
      <w:r w:rsidRPr="00771E6E">
        <w:rPr>
          <w:i/>
          <w:iCs/>
        </w:rPr>
        <w:t>Marsilio</w:t>
      </w:r>
      <w:proofErr w:type="spellEnd"/>
      <w:r w:rsidRPr="00771E6E">
        <w:rPr>
          <w:i/>
          <w:iCs/>
        </w:rPr>
        <w:t xml:space="preserve"> Ficino, The Letters of </w:t>
      </w:r>
      <w:proofErr w:type="spellStart"/>
      <w:r w:rsidRPr="00771E6E">
        <w:rPr>
          <w:i/>
          <w:iCs/>
        </w:rPr>
        <w:t>Marsilio</w:t>
      </w:r>
      <w:proofErr w:type="spellEnd"/>
      <w:r w:rsidRPr="00771E6E">
        <w:rPr>
          <w:i/>
          <w:iCs/>
        </w:rPr>
        <w:t xml:space="preserve"> Ficino</w:t>
      </w:r>
      <w:r w:rsidRPr="00771E6E">
        <w:t>. London: Shepheard-Walwyn, 1975.</w:t>
      </w:r>
    </w:p>
    <w:p w14:paraId="4797470F" w14:textId="77777777" w:rsidR="00F33779" w:rsidRPr="00771E6E" w:rsidRDefault="00F33779" w:rsidP="00F33779">
      <w:pPr>
        <w:pStyle w:val="Bibliography"/>
      </w:pPr>
      <w:proofErr w:type="spellStart"/>
      <w:r w:rsidRPr="00771E6E">
        <w:t>Krohn</w:t>
      </w:r>
      <w:proofErr w:type="spellEnd"/>
      <w:r w:rsidRPr="00771E6E">
        <w:t xml:space="preserve">, Deborah L. “58b. Inner Lid from a Cassone with Venus Reclining on Pillows.” In </w:t>
      </w:r>
      <w:r w:rsidRPr="00771E6E">
        <w:rPr>
          <w:i/>
          <w:iCs/>
        </w:rPr>
        <w:t>Art and Love in Renaissance Italy</w:t>
      </w:r>
      <w:r w:rsidRPr="00771E6E">
        <w:t>, edited by Andrea Bayer, 134–36. New York, New Haven, Conn.; London: Metropolitan Museum of Art; Yale University Press, 2008.</w:t>
      </w:r>
    </w:p>
    <w:p w14:paraId="118DE7D0" w14:textId="77777777" w:rsidR="00F33779" w:rsidRPr="00771E6E" w:rsidRDefault="00F33779" w:rsidP="00F33779">
      <w:pPr>
        <w:pStyle w:val="Bibliography"/>
      </w:pPr>
      <w:r w:rsidRPr="00771E6E">
        <w:t xml:space="preserve">———. “Entry 40.” In </w:t>
      </w:r>
      <w:r w:rsidRPr="00771E6E">
        <w:rPr>
          <w:i/>
          <w:iCs/>
        </w:rPr>
        <w:t>Art and Love in Renaissance Italy</w:t>
      </w:r>
      <w:r w:rsidRPr="00771E6E">
        <w:t>, edited by Andrea Bayer, 110–11. New York, New Haven, Conn.; London: Metropolitan Museum of Art; Yale University Press, 2008.</w:t>
      </w:r>
    </w:p>
    <w:p w14:paraId="0C02D67B" w14:textId="77777777" w:rsidR="00F33779" w:rsidRPr="00771E6E" w:rsidRDefault="00F33779" w:rsidP="00F33779">
      <w:pPr>
        <w:pStyle w:val="Bibliography"/>
      </w:pPr>
      <w:proofErr w:type="spellStart"/>
      <w:r w:rsidRPr="00771E6E">
        <w:t>Kupiec</w:t>
      </w:r>
      <w:proofErr w:type="spellEnd"/>
      <w:r w:rsidRPr="00771E6E">
        <w:t xml:space="preserve">, Catherine. “The Materiality of Luca Della </w:t>
      </w:r>
      <w:proofErr w:type="spellStart"/>
      <w:r w:rsidRPr="00771E6E">
        <w:t>Robbia’s</w:t>
      </w:r>
      <w:proofErr w:type="spellEnd"/>
      <w:r w:rsidRPr="00771E6E">
        <w:t xml:space="preserve"> Glazed Terracotta Sculptures.” PhD Diss., Graduate School-New Brunswick Rutgers, 2016.</w:t>
      </w:r>
    </w:p>
    <w:p w14:paraId="63EADDD6" w14:textId="77777777" w:rsidR="00F33779" w:rsidRPr="00771E6E" w:rsidRDefault="00F33779" w:rsidP="00F33779">
      <w:pPr>
        <w:pStyle w:val="Bibliography"/>
      </w:pPr>
      <w:r w:rsidRPr="00771E6E">
        <w:t xml:space="preserve">Lamberton, Robert. “Plutarch.” In </w:t>
      </w:r>
      <w:r w:rsidRPr="00771E6E">
        <w:rPr>
          <w:i/>
          <w:iCs/>
        </w:rPr>
        <w:t>Classical Tradition</w:t>
      </w:r>
      <w:r w:rsidRPr="00771E6E">
        <w:t xml:space="preserve">, edited by Anthony Grafton, Glen Most, and Salvatore </w:t>
      </w:r>
      <w:proofErr w:type="spellStart"/>
      <w:r w:rsidRPr="00771E6E">
        <w:t>Settis</w:t>
      </w:r>
      <w:proofErr w:type="spellEnd"/>
      <w:r w:rsidRPr="00771E6E">
        <w:t xml:space="preserve">. Cambridge, MA, and London: The </w:t>
      </w:r>
      <w:proofErr w:type="spellStart"/>
      <w:r w:rsidRPr="00771E6E">
        <w:t>Belknap</w:t>
      </w:r>
      <w:proofErr w:type="spellEnd"/>
      <w:r w:rsidRPr="00771E6E">
        <w:t xml:space="preserve"> Press of Harvard University Press, 2013.</w:t>
      </w:r>
    </w:p>
    <w:p w14:paraId="444D3A93" w14:textId="77777777" w:rsidR="00F33779" w:rsidRPr="00771E6E" w:rsidRDefault="00F33779" w:rsidP="00F33779">
      <w:pPr>
        <w:pStyle w:val="Bibliography"/>
      </w:pPr>
      <w:r w:rsidRPr="00771E6E">
        <w:t xml:space="preserve">Langer, Ulrich. “Virtue of the Prince, Virtue of the Subject.” In </w:t>
      </w:r>
      <w:r w:rsidRPr="00771E6E">
        <w:rPr>
          <w:i/>
          <w:iCs/>
        </w:rPr>
        <w:t>Rethinking Virtue, Reforming Society: New Directions in Renaissance Ethics, c.1350 - c.1650</w:t>
      </w:r>
      <w:r w:rsidRPr="00771E6E">
        <w:t xml:space="preserve">, edited by David A. Lines and Sabrina </w:t>
      </w:r>
      <w:proofErr w:type="spellStart"/>
      <w:r w:rsidRPr="00771E6E">
        <w:t>Ebbersmeyer</w:t>
      </w:r>
      <w:proofErr w:type="spellEnd"/>
      <w:r w:rsidRPr="00771E6E">
        <w:t xml:space="preserve">, 305–26. Turnhout: </w:t>
      </w:r>
      <w:proofErr w:type="spellStart"/>
      <w:r w:rsidRPr="00771E6E">
        <w:t>Brepols</w:t>
      </w:r>
      <w:proofErr w:type="spellEnd"/>
      <w:r w:rsidRPr="00771E6E">
        <w:t>, 2013.</w:t>
      </w:r>
    </w:p>
    <w:p w14:paraId="61CCFF74" w14:textId="77777777" w:rsidR="00F33779" w:rsidRPr="00771E6E" w:rsidRDefault="00F33779" w:rsidP="00F33779">
      <w:pPr>
        <w:pStyle w:val="Bibliography"/>
      </w:pPr>
      <w:r w:rsidRPr="00771E6E">
        <w:t xml:space="preserve">Lavin, Marilyn Aronberg. “Piero’s Meditation on the Nativity.” In </w:t>
      </w:r>
      <w:r w:rsidRPr="00771E6E">
        <w:rPr>
          <w:i/>
          <w:iCs/>
        </w:rPr>
        <w:t>Piero Della Francesca and His Legacy</w:t>
      </w:r>
      <w:r w:rsidRPr="00771E6E">
        <w:t>, edited by Marilyn Aronberg Lavin, 127–41. Washington, D.C.; London; Hanover, N.H.: National Gallery of Art; Distributed by the University Press of New England, 1995.</w:t>
      </w:r>
    </w:p>
    <w:p w14:paraId="1070EE1E" w14:textId="77777777" w:rsidR="00F33779" w:rsidRPr="00771E6E" w:rsidRDefault="00F33779" w:rsidP="00F33779">
      <w:pPr>
        <w:pStyle w:val="Bibliography"/>
      </w:pPr>
      <w:r w:rsidRPr="00771E6E">
        <w:t xml:space="preserve">Lerner, Edward R. “The Polyphonic Magnificat in 15th-Century Italy.” </w:t>
      </w:r>
      <w:r w:rsidRPr="00771E6E">
        <w:rPr>
          <w:i/>
          <w:iCs/>
        </w:rPr>
        <w:t>The Musical Quarterly</w:t>
      </w:r>
      <w:r w:rsidRPr="00771E6E">
        <w:t xml:space="preserve"> 50, no. 1 (1964): 44–58.</w:t>
      </w:r>
    </w:p>
    <w:p w14:paraId="576BBABB" w14:textId="77777777" w:rsidR="00F33779" w:rsidRPr="00771E6E" w:rsidRDefault="00F33779" w:rsidP="00F33779">
      <w:pPr>
        <w:pStyle w:val="Bibliography"/>
      </w:pPr>
      <w:r w:rsidRPr="00771E6E">
        <w:t xml:space="preserve">Levi </w:t>
      </w:r>
      <w:proofErr w:type="spellStart"/>
      <w:r w:rsidRPr="00771E6E">
        <w:t>D’Ancona</w:t>
      </w:r>
      <w:proofErr w:type="spellEnd"/>
      <w:r w:rsidRPr="00771E6E">
        <w:t xml:space="preserve">, Mirella. </w:t>
      </w:r>
      <w:r w:rsidRPr="00771E6E">
        <w:rPr>
          <w:i/>
          <w:iCs/>
        </w:rPr>
        <w:t>The Garden of the Renaissance: Botanical Symbolism in Italian Painting</w:t>
      </w:r>
      <w:r w:rsidRPr="00771E6E">
        <w:t xml:space="preserve">. Florence: Leo S. </w:t>
      </w:r>
      <w:proofErr w:type="spellStart"/>
      <w:r w:rsidRPr="00771E6E">
        <w:t>Olschki</w:t>
      </w:r>
      <w:proofErr w:type="spellEnd"/>
      <w:r w:rsidRPr="00771E6E">
        <w:t>, 1977.</w:t>
      </w:r>
    </w:p>
    <w:p w14:paraId="5AE77CDC" w14:textId="77777777" w:rsidR="00F33779" w:rsidRPr="00771E6E" w:rsidRDefault="00F33779" w:rsidP="00F33779">
      <w:pPr>
        <w:pStyle w:val="Bibliography"/>
      </w:pPr>
      <w:r w:rsidRPr="00771E6E">
        <w:t>Lewis, Douglas. “The Plaquettes of ‘</w:t>
      </w:r>
      <w:proofErr w:type="spellStart"/>
      <w:r w:rsidRPr="00771E6E">
        <w:t>Moderno</w:t>
      </w:r>
      <w:proofErr w:type="spellEnd"/>
      <w:r w:rsidRPr="00771E6E">
        <w:t xml:space="preserve">’ and His Followers.” </w:t>
      </w:r>
      <w:r w:rsidRPr="00771E6E">
        <w:rPr>
          <w:i/>
          <w:iCs/>
        </w:rPr>
        <w:t>Studies in the History of Art</w:t>
      </w:r>
      <w:r w:rsidRPr="00771E6E">
        <w:t xml:space="preserve"> 22 (1989): 105–41, 6–7.</w:t>
      </w:r>
    </w:p>
    <w:p w14:paraId="7DADF775" w14:textId="77777777" w:rsidR="00F33779" w:rsidRPr="00771E6E" w:rsidRDefault="00F33779" w:rsidP="00F33779">
      <w:pPr>
        <w:pStyle w:val="Bibliography"/>
      </w:pPr>
      <w:proofErr w:type="spellStart"/>
      <w:r w:rsidRPr="00771E6E">
        <w:t>Liefkes</w:t>
      </w:r>
      <w:proofErr w:type="spellEnd"/>
      <w:r w:rsidRPr="00771E6E">
        <w:t xml:space="preserve">, </w:t>
      </w:r>
      <w:proofErr w:type="spellStart"/>
      <w:r w:rsidRPr="00771E6E">
        <w:t>Reino</w:t>
      </w:r>
      <w:proofErr w:type="spellEnd"/>
      <w:r w:rsidRPr="00771E6E">
        <w:t xml:space="preserve">. </w:t>
      </w:r>
      <w:r w:rsidRPr="00771E6E">
        <w:rPr>
          <w:i/>
          <w:iCs/>
        </w:rPr>
        <w:t>Masterpieces of World Ceramics in the Victoria and Albert Museum</w:t>
      </w:r>
      <w:r w:rsidRPr="00771E6E">
        <w:t xml:space="preserve">. Edited by </w:t>
      </w:r>
      <w:proofErr w:type="spellStart"/>
      <w:r w:rsidRPr="00771E6E">
        <w:t>Reino</w:t>
      </w:r>
      <w:proofErr w:type="spellEnd"/>
      <w:r w:rsidRPr="00771E6E">
        <w:t xml:space="preserve"> </w:t>
      </w:r>
      <w:proofErr w:type="spellStart"/>
      <w:r w:rsidRPr="00771E6E">
        <w:t>Liefkes</w:t>
      </w:r>
      <w:proofErr w:type="spellEnd"/>
      <w:r w:rsidRPr="00771E6E">
        <w:t xml:space="preserve"> and Hilary Young. London: V&amp;A Publishing, 2008.</w:t>
      </w:r>
    </w:p>
    <w:p w14:paraId="15FB4728" w14:textId="77777777" w:rsidR="00F33779" w:rsidRPr="00771E6E" w:rsidRDefault="00F33779" w:rsidP="00F33779">
      <w:pPr>
        <w:pStyle w:val="Bibliography"/>
      </w:pPr>
      <w:r w:rsidRPr="00771E6E">
        <w:t xml:space="preserve">Lightbown, Ronald W. “Heaven Depicted in 15th Century: Italian Painting and Sculpture.” In </w:t>
      </w:r>
      <w:r w:rsidRPr="00771E6E">
        <w:rPr>
          <w:i/>
          <w:iCs/>
        </w:rPr>
        <w:t xml:space="preserve">Mosaics of Friendship: Studies in Art and History for Eve </w:t>
      </w:r>
      <w:proofErr w:type="spellStart"/>
      <w:r w:rsidRPr="00771E6E">
        <w:rPr>
          <w:i/>
          <w:iCs/>
        </w:rPr>
        <w:t>Borsook</w:t>
      </w:r>
      <w:proofErr w:type="spellEnd"/>
      <w:r w:rsidRPr="00771E6E">
        <w:t xml:space="preserve">, edited by Ornella </w:t>
      </w:r>
      <w:proofErr w:type="spellStart"/>
      <w:r w:rsidRPr="00771E6E">
        <w:t>Francisci</w:t>
      </w:r>
      <w:proofErr w:type="spellEnd"/>
      <w:r w:rsidRPr="00771E6E">
        <w:t xml:space="preserve"> </w:t>
      </w:r>
      <w:proofErr w:type="spellStart"/>
      <w:r w:rsidRPr="00771E6E">
        <w:t>Osti</w:t>
      </w:r>
      <w:proofErr w:type="spellEnd"/>
      <w:r w:rsidRPr="00771E6E">
        <w:t>, 81–95. Florence: Centro Di, 1999.</w:t>
      </w:r>
    </w:p>
    <w:p w14:paraId="63E5828D" w14:textId="77777777" w:rsidR="00F33779" w:rsidRPr="00771E6E" w:rsidRDefault="00F33779" w:rsidP="00F33779">
      <w:pPr>
        <w:pStyle w:val="Bibliography"/>
      </w:pPr>
      <w:r w:rsidRPr="00771E6E">
        <w:t xml:space="preserve">———. </w:t>
      </w:r>
      <w:r w:rsidRPr="00771E6E">
        <w:rPr>
          <w:i/>
          <w:iCs/>
        </w:rPr>
        <w:t>Sandro Botticelli: Life and Work</w:t>
      </w:r>
      <w:r w:rsidRPr="00771E6E">
        <w:t xml:space="preserve">. London: </w:t>
      </w:r>
      <w:proofErr w:type="spellStart"/>
      <w:r w:rsidRPr="00771E6E">
        <w:t>Elek</w:t>
      </w:r>
      <w:proofErr w:type="spellEnd"/>
      <w:r w:rsidRPr="00771E6E">
        <w:t>, 1978.</w:t>
      </w:r>
    </w:p>
    <w:p w14:paraId="76CE3DD3" w14:textId="77777777" w:rsidR="00F33779" w:rsidRPr="00771E6E" w:rsidRDefault="00F33779" w:rsidP="00F33779">
      <w:pPr>
        <w:pStyle w:val="Bibliography"/>
      </w:pPr>
      <w:proofErr w:type="spellStart"/>
      <w:r w:rsidRPr="00771E6E">
        <w:t>Lindow</w:t>
      </w:r>
      <w:proofErr w:type="spellEnd"/>
      <w:r w:rsidRPr="00771E6E">
        <w:t xml:space="preserve">, James R. “For Use and Display: Selected Furnishings and Domestic Goods in Fifteenth-Century Florentine Interiors.” </w:t>
      </w:r>
      <w:r w:rsidRPr="00771E6E">
        <w:rPr>
          <w:i/>
          <w:iCs/>
        </w:rPr>
        <w:t>Renaissance Studies</w:t>
      </w:r>
      <w:r w:rsidRPr="00771E6E">
        <w:t xml:space="preserve"> 19, no. 5 (2005): 634–46.</w:t>
      </w:r>
    </w:p>
    <w:p w14:paraId="6126C95A" w14:textId="77777777" w:rsidR="00F33779" w:rsidRPr="00771E6E" w:rsidRDefault="00F33779" w:rsidP="00F33779">
      <w:pPr>
        <w:pStyle w:val="Bibliography"/>
      </w:pPr>
      <w:r w:rsidRPr="00771E6E">
        <w:t xml:space="preserve">———. </w:t>
      </w:r>
      <w:r w:rsidRPr="00771E6E">
        <w:rPr>
          <w:i/>
          <w:iCs/>
        </w:rPr>
        <w:t>The Renaissance Palace in Florence: Magnificence and Splendour in Fifteenth-Century Italy</w:t>
      </w:r>
      <w:r w:rsidRPr="00771E6E">
        <w:t>. Aldershot and Burlington, VT: Ashgate, 2007.</w:t>
      </w:r>
    </w:p>
    <w:p w14:paraId="28076BB8" w14:textId="77777777" w:rsidR="00F33779" w:rsidRPr="00771E6E" w:rsidRDefault="00F33779" w:rsidP="00F33779">
      <w:pPr>
        <w:pStyle w:val="Bibliography"/>
      </w:pPr>
      <w:r w:rsidRPr="00771E6E">
        <w:t xml:space="preserve">Lines, David A. </w:t>
      </w:r>
      <w:r w:rsidRPr="00771E6E">
        <w:rPr>
          <w:i/>
          <w:iCs/>
        </w:rPr>
        <w:t>Aristotle’s Ethics in the Italian Renaissance (ca. 1300-1650). The Universities and the Problem of Moral Education</w:t>
      </w:r>
      <w:r w:rsidRPr="00771E6E">
        <w:t>. Leiden: Brill, 2002.</w:t>
      </w:r>
    </w:p>
    <w:p w14:paraId="3FBC4C82" w14:textId="77777777" w:rsidR="00F33779" w:rsidRPr="00771E6E" w:rsidRDefault="00F33779" w:rsidP="00F33779">
      <w:pPr>
        <w:pStyle w:val="Bibliography"/>
      </w:pPr>
      <w:r w:rsidRPr="00771E6E">
        <w:lastRenderedPageBreak/>
        <w:t xml:space="preserve">———. “Sources and Authorities for Moral Philosophy in the Italian Renaissance. Thomas Aquinas and Jean </w:t>
      </w:r>
      <w:proofErr w:type="spellStart"/>
      <w:r w:rsidRPr="00771E6E">
        <w:t>Buridan</w:t>
      </w:r>
      <w:proofErr w:type="spellEnd"/>
      <w:r w:rsidRPr="00771E6E">
        <w:t xml:space="preserve"> on Aristotle’s Ethics.” In </w:t>
      </w:r>
      <w:r w:rsidRPr="00771E6E">
        <w:rPr>
          <w:i/>
          <w:iCs/>
        </w:rPr>
        <w:t>Moral Philosophy on the Threshold of Modernity</w:t>
      </w:r>
      <w:r w:rsidRPr="00771E6E">
        <w:t xml:space="preserve">, edited by Jill </w:t>
      </w:r>
      <w:proofErr w:type="spellStart"/>
      <w:r w:rsidRPr="00771E6E">
        <w:t>Kraye</w:t>
      </w:r>
      <w:proofErr w:type="spellEnd"/>
      <w:r w:rsidRPr="00771E6E">
        <w:t xml:space="preserve"> and </w:t>
      </w:r>
      <w:proofErr w:type="spellStart"/>
      <w:r w:rsidRPr="00771E6E">
        <w:t>Risto</w:t>
      </w:r>
      <w:proofErr w:type="spellEnd"/>
      <w:r w:rsidRPr="00771E6E">
        <w:t xml:space="preserve"> Saarinen, 7–29. Springer Science &amp; Business Media, 2005.</w:t>
      </w:r>
    </w:p>
    <w:p w14:paraId="35CFE8D3" w14:textId="77777777" w:rsidR="00F33779" w:rsidRPr="00771E6E" w:rsidRDefault="00F33779" w:rsidP="00F33779">
      <w:pPr>
        <w:pStyle w:val="Bibliography"/>
      </w:pPr>
      <w:r w:rsidRPr="00771E6E">
        <w:t xml:space="preserve">———. “The Importance of Being Good. Moral Philosophy in the Italian Universities, 1300-1600.” </w:t>
      </w:r>
      <w:proofErr w:type="spellStart"/>
      <w:r w:rsidRPr="00771E6E">
        <w:rPr>
          <w:i/>
          <w:iCs/>
        </w:rPr>
        <w:t>Rinascimento</w:t>
      </w:r>
      <w:proofErr w:type="spellEnd"/>
      <w:r w:rsidRPr="00771E6E">
        <w:t xml:space="preserve"> II s., 36 (1996): 139–93.</w:t>
      </w:r>
    </w:p>
    <w:p w14:paraId="0423B914" w14:textId="77777777" w:rsidR="00F33779" w:rsidRPr="00771E6E" w:rsidRDefault="00F33779" w:rsidP="00F33779">
      <w:pPr>
        <w:pStyle w:val="Bibliography"/>
      </w:pPr>
      <w:r w:rsidRPr="00771E6E">
        <w:t xml:space="preserve">Lines, David A., and Jill </w:t>
      </w:r>
      <w:proofErr w:type="spellStart"/>
      <w:r w:rsidRPr="00771E6E">
        <w:t>Kraye</w:t>
      </w:r>
      <w:proofErr w:type="spellEnd"/>
      <w:r w:rsidRPr="00771E6E">
        <w:t xml:space="preserve">. “Sources for Ethics in the Renaissance: The Expanding Canon.” In </w:t>
      </w:r>
      <w:r w:rsidRPr="00771E6E">
        <w:rPr>
          <w:i/>
          <w:iCs/>
        </w:rPr>
        <w:t>Rethinking Virtue, Reforming Society: New Directions in Renaissance Ethics, c.1350-c.1650</w:t>
      </w:r>
      <w:r w:rsidRPr="00771E6E">
        <w:t xml:space="preserve">, edited by David A. Lines and Sabrina </w:t>
      </w:r>
      <w:proofErr w:type="spellStart"/>
      <w:r w:rsidRPr="00771E6E">
        <w:t>Ebbersmeyer</w:t>
      </w:r>
      <w:proofErr w:type="spellEnd"/>
      <w:r w:rsidRPr="00771E6E">
        <w:t xml:space="preserve">, 29–56. Turnhout: </w:t>
      </w:r>
      <w:proofErr w:type="spellStart"/>
      <w:r w:rsidRPr="00771E6E">
        <w:t>Brepols</w:t>
      </w:r>
      <w:proofErr w:type="spellEnd"/>
      <w:r w:rsidRPr="00771E6E">
        <w:t>, 2013.</w:t>
      </w:r>
    </w:p>
    <w:p w14:paraId="697FE03F" w14:textId="77777777" w:rsidR="00F33779" w:rsidRPr="00771E6E" w:rsidRDefault="00F33779" w:rsidP="00F33779">
      <w:pPr>
        <w:pStyle w:val="Bibliography"/>
      </w:pPr>
      <w:r w:rsidRPr="00771E6E">
        <w:t xml:space="preserve">Lipton, Sara. “Images and Their Use.” In </w:t>
      </w:r>
      <w:proofErr w:type="gramStart"/>
      <w:r w:rsidRPr="00771E6E">
        <w:rPr>
          <w:i/>
          <w:iCs/>
        </w:rPr>
        <w:t>The</w:t>
      </w:r>
      <w:proofErr w:type="gramEnd"/>
      <w:r w:rsidRPr="00771E6E">
        <w:rPr>
          <w:i/>
          <w:iCs/>
        </w:rPr>
        <w:t xml:space="preserve"> Cambridge History of Christianity: Volume 4, Christianity in Western Europe, c.1100–c.1500</w:t>
      </w:r>
      <w:r w:rsidRPr="00771E6E">
        <w:t>, edited by Miri Rubin and Walter Simons, 254–82. Cambridge and New York: Cambridge University Press, 2014.</w:t>
      </w:r>
    </w:p>
    <w:p w14:paraId="527DE221" w14:textId="6EE12E47" w:rsidR="00C77943" w:rsidRPr="00771E6E" w:rsidRDefault="00C77943" w:rsidP="00F33779">
      <w:pPr>
        <w:pStyle w:val="Bibliography"/>
      </w:pPr>
      <w:proofErr w:type="spellStart"/>
      <w:r w:rsidRPr="00771E6E">
        <w:t>Loh</w:t>
      </w:r>
      <w:proofErr w:type="spellEnd"/>
      <w:r w:rsidRPr="00771E6E">
        <w:t xml:space="preserve">, Maria H. </w:t>
      </w:r>
      <w:r w:rsidRPr="00771E6E">
        <w:rPr>
          <w:i/>
          <w:iCs/>
        </w:rPr>
        <w:t>Titian Remade: Repetition and the transformation of Early Modern Italian art</w:t>
      </w:r>
      <w:r w:rsidRPr="00771E6E">
        <w:t>. Los Angeles: Getty Research Institute, 2007.</w:t>
      </w:r>
    </w:p>
    <w:p w14:paraId="69CAC2A0" w14:textId="5EFAB1A5" w:rsidR="00F33779" w:rsidRPr="00771E6E" w:rsidRDefault="00F33779" w:rsidP="00F33779">
      <w:pPr>
        <w:pStyle w:val="Bibliography"/>
      </w:pPr>
      <w:r w:rsidRPr="00771E6E">
        <w:t xml:space="preserve">Lorenzetti, Stefano. </w:t>
      </w:r>
      <w:proofErr w:type="spellStart"/>
      <w:r w:rsidRPr="00771E6E">
        <w:rPr>
          <w:i/>
          <w:iCs/>
        </w:rPr>
        <w:t>Musica</w:t>
      </w:r>
      <w:proofErr w:type="spellEnd"/>
      <w:r w:rsidRPr="00771E6E">
        <w:rPr>
          <w:i/>
          <w:iCs/>
        </w:rPr>
        <w:t xml:space="preserve"> e </w:t>
      </w:r>
      <w:proofErr w:type="spellStart"/>
      <w:r w:rsidRPr="00771E6E">
        <w:rPr>
          <w:i/>
          <w:iCs/>
        </w:rPr>
        <w:t>identità</w:t>
      </w:r>
      <w:proofErr w:type="spellEnd"/>
      <w:r w:rsidRPr="00771E6E">
        <w:rPr>
          <w:i/>
          <w:iCs/>
        </w:rPr>
        <w:t xml:space="preserve"> </w:t>
      </w:r>
      <w:proofErr w:type="spellStart"/>
      <w:r w:rsidRPr="00771E6E">
        <w:rPr>
          <w:i/>
          <w:iCs/>
        </w:rPr>
        <w:t>nobiliare</w:t>
      </w:r>
      <w:proofErr w:type="spellEnd"/>
      <w:r w:rsidRPr="00771E6E">
        <w:rPr>
          <w:i/>
          <w:iCs/>
        </w:rPr>
        <w:t xml:space="preserve"> </w:t>
      </w:r>
      <w:proofErr w:type="spellStart"/>
      <w:r w:rsidRPr="00771E6E">
        <w:rPr>
          <w:i/>
          <w:iCs/>
        </w:rPr>
        <w:t>nell’Italia</w:t>
      </w:r>
      <w:proofErr w:type="spellEnd"/>
      <w:r w:rsidRPr="00771E6E">
        <w:rPr>
          <w:i/>
          <w:iCs/>
        </w:rPr>
        <w:t xml:space="preserve"> del </w:t>
      </w:r>
      <w:proofErr w:type="spellStart"/>
      <w:r w:rsidRPr="00771E6E">
        <w:rPr>
          <w:i/>
          <w:iCs/>
        </w:rPr>
        <w:t>Rinascimento</w:t>
      </w:r>
      <w:proofErr w:type="spellEnd"/>
      <w:r w:rsidRPr="00771E6E">
        <w:rPr>
          <w:i/>
          <w:iCs/>
        </w:rPr>
        <w:t xml:space="preserve">. </w:t>
      </w:r>
      <w:proofErr w:type="spellStart"/>
      <w:r w:rsidRPr="00771E6E">
        <w:rPr>
          <w:i/>
          <w:iCs/>
        </w:rPr>
        <w:t>Educazione</w:t>
      </w:r>
      <w:proofErr w:type="spellEnd"/>
      <w:r w:rsidRPr="00771E6E">
        <w:rPr>
          <w:i/>
          <w:iCs/>
        </w:rPr>
        <w:t xml:space="preserve">, </w:t>
      </w:r>
      <w:proofErr w:type="spellStart"/>
      <w:r w:rsidRPr="00771E6E">
        <w:rPr>
          <w:i/>
          <w:iCs/>
        </w:rPr>
        <w:t>mentalità</w:t>
      </w:r>
      <w:proofErr w:type="spellEnd"/>
      <w:r w:rsidRPr="00771E6E">
        <w:rPr>
          <w:i/>
          <w:iCs/>
        </w:rPr>
        <w:t xml:space="preserve">, </w:t>
      </w:r>
      <w:proofErr w:type="spellStart"/>
      <w:r w:rsidRPr="00771E6E">
        <w:rPr>
          <w:i/>
          <w:iCs/>
        </w:rPr>
        <w:t>immaginario</w:t>
      </w:r>
      <w:proofErr w:type="spellEnd"/>
      <w:r w:rsidRPr="00771E6E">
        <w:t xml:space="preserve">. Florence: Leo S. </w:t>
      </w:r>
      <w:proofErr w:type="spellStart"/>
      <w:r w:rsidRPr="00771E6E">
        <w:t>Olschki</w:t>
      </w:r>
      <w:proofErr w:type="spellEnd"/>
      <w:r w:rsidRPr="00771E6E">
        <w:t>, 2003.</w:t>
      </w:r>
    </w:p>
    <w:p w14:paraId="229969FD" w14:textId="77777777" w:rsidR="00F33779" w:rsidRPr="00771E6E" w:rsidRDefault="00F33779" w:rsidP="00F33779">
      <w:pPr>
        <w:pStyle w:val="Bibliography"/>
      </w:pPr>
      <w:proofErr w:type="spellStart"/>
      <w:r w:rsidRPr="00771E6E">
        <w:t>Lydecker</w:t>
      </w:r>
      <w:proofErr w:type="spellEnd"/>
      <w:r w:rsidRPr="00771E6E">
        <w:t>, John Kent. “The Domestic Setting of the Arts in Renaissance Florence.” PhD Diss, John Hopkins University, 1987.</w:t>
      </w:r>
    </w:p>
    <w:p w14:paraId="7283DE08" w14:textId="77777777" w:rsidR="00F33779" w:rsidRPr="00771E6E" w:rsidRDefault="00F33779" w:rsidP="00F33779">
      <w:pPr>
        <w:pStyle w:val="Bibliography"/>
      </w:pPr>
      <w:r w:rsidRPr="00771E6E">
        <w:t xml:space="preserve">Lyons, John D. </w:t>
      </w:r>
      <w:r w:rsidRPr="00771E6E">
        <w:rPr>
          <w:i/>
          <w:iCs/>
        </w:rPr>
        <w:t>Exemplum: The Rhetoric of Example in Early Modern France and Italy</w:t>
      </w:r>
      <w:r w:rsidRPr="00771E6E">
        <w:t>. Princeton, NJ: Princeton University Press, 1989.</w:t>
      </w:r>
    </w:p>
    <w:p w14:paraId="47E9D1EA" w14:textId="77777777" w:rsidR="00F33779" w:rsidRPr="00771E6E" w:rsidRDefault="00F33779" w:rsidP="00F33779">
      <w:pPr>
        <w:pStyle w:val="Bibliography"/>
      </w:pPr>
      <w:r w:rsidRPr="00771E6E">
        <w:t xml:space="preserve">Macey, Patrick Paul. </w:t>
      </w:r>
      <w:r w:rsidRPr="00771E6E">
        <w:rPr>
          <w:i/>
          <w:iCs/>
        </w:rPr>
        <w:t>Bonfire Songs: Savonarola’s Musical Legacy</w:t>
      </w:r>
      <w:r w:rsidRPr="00771E6E">
        <w:t>. Oxford: Clarendon Press, 1998.</w:t>
      </w:r>
    </w:p>
    <w:p w14:paraId="7026E555" w14:textId="77777777" w:rsidR="00F33779" w:rsidRPr="00771E6E" w:rsidRDefault="00F33779" w:rsidP="00F33779">
      <w:pPr>
        <w:pStyle w:val="Bibliography"/>
      </w:pPr>
      <w:r w:rsidRPr="00771E6E">
        <w:t xml:space="preserve">Mann, Horace K. </w:t>
      </w:r>
      <w:r w:rsidRPr="00771E6E">
        <w:rPr>
          <w:i/>
          <w:iCs/>
        </w:rPr>
        <w:t>The Lives of the Popes in the Early Middle Ages, Vol. I: The Popes Under the Lombard Rule, Part 2</w:t>
      </w:r>
      <w:r w:rsidRPr="00771E6E">
        <w:t xml:space="preserve">. </w:t>
      </w:r>
      <w:proofErr w:type="spellStart"/>
      <w:r w:rsidRPr="00771E6E">
        <w:t>Nendeln</w:t>
      </w:r>
      <w:proofErr w:type="spellEnd"/>
      <w:r w:rsidRPr="00771E6E">
        <w:t>, Liechtenstein: Kraus Reprint, 1976.</w:t>
      </w:r>
    </w:p>
    <w:p w14:paraId="1F38DA3A" w14:textId="77777777" w:rsidR="00F33779" w:rsidRPr="00771E6E" w:rsidRDefault="00F33779" w:rsidP="00F33779">
      <w:pPr>
        <w:pStyle w:val="Bibliography"/>
      </w:pPr>
      <w:r w:rsidRPr="00771E6E">
        <w:t xml:space="preserve">Markus, Robert Austin. </w:t>
      </w:r>
      <w:r w:rsidRPr="00771E6E">
        <w:rPr>
          <w:i/>
          <w:iCs/>
        </w:rPr>
        <w:t>Gregory the Great and His World</w:t>
      </w:r>
      <w:r w:rsidRPr="00771E6E">
        <w:t>. Cambridge: Cambridge University Press, 1997.</w:t>
      </w:r>
    </w:p>
    <w:p w14:paraId="6318AFB8" w14:textId="77777777" w:rsidR="00F33779" w:rsidRPr="00771E6E" w:rsidRDefault="00F33779" w:rsidP="00F33779">
      <w:pPr>
        <w:pStyle w:val="Bibliography"/>
      </w:pPr>
      <w:r w:rsidRPr="00771E6E">
        <w:t xml:space="preserve">Marsh, David. “Alberti, Leon Battista.” In </w:t>
      </w:r>
      <w:proofErr w:type="spellStart"/>
      <w:r w:rsidRPr="00771E6E">
        <w:rPr>
          <w:i/>
          <w:iCs/>
        </w:rPr>
        <w:t>Encyclopedia</w:t>
      </w:r>
      <w:proofErr w:type="spellEnd"/>
      <w:r w:rsidRPr="00771E6E">
        <w:rPr>
          <w:i/>
          <w:iCs/>
        </w:rPr>
        <w:t xml:space="preserve"> of the Renaissance</w:t>
      </w:r>
      <w:r w:rsidRPr="00771E6E">
        <w:t xml:space="preserve">, edited by Paul F. </w:t>
      </w:r>
      <w:proofErr w:type="spellStart"/>
      <w:r w:rsidRPr="00771E6E">
        <w:t>Grendler</w:t>
      </w:r>
      <w:proofErr w:type="spellEnd"/>
      <w:r w:rsidRPr="00771E6E">
        <w:t>, 1:27–32. New York: Charles Scribner’s Sons, 1999.</w:t>
      </w:r>
    </w:p>
    <w:p w14:paraId="451A1F14" w14:textId="77777777" w:rsidR="00F33779" w:rsidRPr="00771E6E" w:rsidRDefault="00F33779" w:rsidP="00F33779">
      <w:pPr>
        <w:pStyle w:val="Bibliography"/>
      </w:pPr>
      <w:r w:rsidRPr="00771E6E">
        <w:t xml:space="preserve">Marshall, George J. </w:t>
      </w:r>
      <w:r w:rsidRPr="00771E6E">
        <w:rPr>
          <w:i/>
          <w:iCs/>
        </w:rPr>
        <w:t>Angels: An Indexed and Partially Annotated Bibliography of Over 4300 Scholarly Books and Articles Since the 7th Century B.C.</w:t>
      </w:r>
      <w:r w:rsidRPr="00771E6E">
        <w:t xml:space="preserve"> Jefferson, North Carolina, and London: McFarland &amp; Company, Inc., 1999.</w:t>
      </w:r>
    </w:p>
    <w:p w14:paraId="16271810" w14:textId="77777777" w:rsidR="00F33779" w:rsidRPr="00771E6E" w:rsidRDefault="00F33779" w:rsidP="00F33779">
      <w:pPr>
        <w:pStyle w:val="Bibliography"/>
      </w:pPr>
      <w:r w:rsidRPr="00771E6E">
        <w:t xml:space="preserve">Marshall, Peter, and Alexandra Walsham. </w:t>
      </w:r>
      <w:r w:rsidRPr="00771E6E">
        <w:rPr>
          <w:i/>
          <w:iCs/>
        </w:rPr>
        <w:t>Angels in the Early Modern World</w:t>
      </w:r>
      <w:r w:rsidRPr="00771E6E">
        <w:t>. Edited by Peter Marshall and Alexandra Walsham. Cambridge: Cambridge University Press, 2006.</w:t>
      </w:r>
    </w:p>
    <w:p w14:paraId="74D2D076" w14:textId="77777777" w:rsidR="00F33779" w:rsidRPr="00771E6E" w:rsidRDefault="00F33779" w:rsidP="00F33779">
      <w:pPr>
        <w:pStyle w:val="Bibliography"/>
      </w:pPr>
      <w:r w:rsidRPr="00771E6E">
        <w:t xml:space="preserve">———. “Migrations of Angels in the Early Modern World.” In </w:t>
      </w:r>
      <w:r w:rsidRPr="00771E6E">
        <w:rPr>
          <w:i/>
          <w:iCs/>
        </w:rPr>
        <w:t>Angels in the Early Modern World</w:t>
      </w:r>
      <w:r w:rsidRPr="00771E6E">
        <w:t>, edited by Peter Marshall and Alexandra Walsham, 1–40. Cambridge: Cambridge University Press, 2006.</w:t>
      </w:r>
    </w:p>
    <w:p w14:paraId="569436FA" w14:textId="77777777" w:rsidR="00F33779" w:rsidRPr="00771E6E" w:rsidRDefault="00F33779" w:rsidP="00F33779">
      <w:pPr>
        <w:pStyle w:val="Bibliography"/>
      </w:pPr>
      <w:r w:rsidRPr="00771E6E">
        <w:t xml:space="preserve">Martin, Edward James. </w:t>
      </w:r>
      <w:r w:rsidRPr="00771E6E">
        <w:rPr>
          <w:i/>
          <w:iCs/>
        </w:rPr>
        <w:t>A History of the Iconoclastic Controversy</w:t>
      </w:r>
      <w:r w:rsidRPr="00771E6E">
        <w:t>. London and New York: Society for Promoting Christian Knowledge, Macmillan Co, 1930.</w:t>
      </w:r>
    </w:p>
    <w:p w14:paraId="0F0DF542" w14:textId="77777777" w:rsidR="00F33779" w:rsidRPr="00771E6E" w:rsidRDefault="00F33779" w:rsidP="00F33779">
      <w:pPr>
        <w:pStyle w:val="Bibliography"/>
      </w:pPr>
      <w:proofErr w:type="spellStart"/>
      <w:r w:rsidRPr="00771E6E">
        <w:t>Martines</w:t>
      </w:r>
      <w:proofErr w:type="spellEnd"/>
      <w:r w:rsidRPr="00771E6E">
        <w:t xml:space="preserve">, </w:t>
      </w:r>
      <w:proofErr w:type="spellStart"/>
      <w:r w:rsidRPr="00771E6E">
        <w:t>Lauro</w:t>
      </w:r>
      <w:proofErr w:type="spellEnd"/>
      <w:r w:rsidRPr="00771E6E">
        <w:t xml:space="preserve">. </w:t>
      </w:r>
      <w:r w:rsidRPr="00771E6E">
        <w:rPr>
          <w:i/>
          <w:iCs/>
        </w:rPr>
        <w:t>Strong Words: Writing &amp; Social Strain in the Italian Renaissance</w:t>
      </w:r>
      <w:r w:rsidRPr="00771E6E">
        <w:t>. Baltimore: Johns Hopkins University Press, 2001.</w:t>
      </w:r>
    </w:p>
    <w:p w14:paraId="25868FB0" w14:textId="77777777" w:rsidR="00F33779" w:rsidRPr="00771E6E" w:rsidRDefault="00F33779" w:rsidP="00F33779">
      <w:pPr>
        <w:pStyle w:val="Bibliography"/>
      </w:pPr>
      <w:proofErr w:type="spellStart"/>
      <w:r w:rsidRPr="00771E6E">
        <w:t>Massini</w:t>
      </w:r>
      <w:proofErr w:type="spellEnd"/>
      <w:r w:rsidRPr="00771E6E">
        <w:t xml:space="preserve">, Sabrina. “30. San Michele Arcangelo.” In </w:t>
      </w:r>
      <w:r w:rsidRPr="00771E6E">
        <w:rPr>
          <w:i/>
          <w:iCs/>
        </w:rPr>
        <w:t xml:space="preserve">Pinacoteca </w:t>
      </w:r>
      <w:proofErr w:type="spellStart"/>
      <w:r w:rsidRPr="00771E6E">
        <w:rPr>
          <w:i/>
          <w:iCs/>
        </w:rPr>
        <w:t>comunale</w:t>
      </w:r>
      <w:proofErr w:type="spellEnd"/>
      <w:r w:rsidRPr="00771E6E">
        <w:rPr>
          <w:i/>
          <w:iCs/>
        </w:rPr>
        <w:t xml:space="preserve"> e Museo </w:t>
      </w:r>
      <w:proofErr w:type="spellStart"/>
      <w:r w:rsidRPr="00771E6E">
        <w:rPr>
          <w:i/>
          <w:iCs/>
        </w:rPr>
        <w:t>della</w:t>
      </w:r>
      <w:proofErr w:type="spellEnd"/>
      <w:r w:rsidRPr="00771E6E">
        <w:rPr>
          <w:i/>
          <w:iCs/>
        </w:rPr>
        <w:t xml:space="preserve"> </w:t>
      </w:r>
      <w:proofErr w:type="spellStart"/>
      <w:r w:rsidRPr="00771E6E">
        <w:rPr>
          <w:i/>
          <w:iCs/>
        </w:rPr>
        <w:t>Pieve</w:t>
      </w:r>
      <w:proofErr w:type="spellEnd"/>
      <w:r w:rsidRPr="00771E6E">
        <w:rPr>
          <w:i/>
          <w:iCs/>
        </w:rPr>
        <w:t xml:space="preserve"> di San Giuliano a </w:t>
      </w:r>
      <w:proofErr w:type="spellStart"/>
      <w:r w:rsidRPr="00771E6E">
        <w:rPr>
          <w:i/>
          <w:iCs/>
        </w:rPr>
        <w:t>Castiglion</w:t>
      </w:r>
      <w:proofErr w:type="spellEnd"/>
      <w:r w:rsidRPr="00771E6E">
        <w:rPr>
          <w:i/>
          <w:iCs/>
        </w:rPr>
        <w:t xml:space="preserve"> </w:t>
      </w:r>
      <w:proofErr w:type="spellStart"/>
      <w:r w:rsidRPr="00771E6E">
        <w:rPr>
          <w:i/>
          <w:iCs/>
        </w:rPr>
        <w:t>Fiorentino</w:t>
      </w:r>
      <w:proofErr w:type="spellEnd"/>
      <w:r w:rsidRPr="00771E6E">
        <w:t xml:space="preserve">, edited by Sabrina </w:t>
      </w:r>
      <w:proofErr w:type="spellStart"/>
      <w:r w:rsidRPr="00771E6E">
        <w:t>Massini</w:t>
      </w:r>
      <w:proofErr w:type="spellEnd"/>
      <w:r w:rsidRPr="00771E6E">
        <w:t>, 48–49, 2012.</w:t>
      </w:r>
    </w:p>
    <w:p w14:paraId="153CB01A" w14:textId="3D1DA568" w:rsidR="00150825" w:rsidRPr="00771E6E" w:rsidRDefault="00150825" w:rsidP="00150825">
      <w:pPr>
        <w:pStyle w:val="Bibliography"/>
      </w:pPr>
      <w:r w:rsidRPr="00771E6E">
        <w:rPr>
          <w:lang w:val="en-US"/>
        </w:rPr>
        <w:t xml:space="preserve">Maxson, Brian Jeffrey. </w:t>
      </w:r>
      <w:r w:rsidRPr="00771E6E">
        <w:rPr>
          <w:i/>
          <w:iCs/>
          <w:lang w:val="en-US"/>
        </w:rPr>
        <w:t>The Humanist World of Renaissance Florence</w:t>
      </w:r>
      <w:r w:rsidR="001C640B" w:rsidRPr="00771E6E">
        <w:rPr>
          <w:lang w:val="en-US"/>
        </w:rPr>
        <w:t xml:space="preserve">. </w:t>
      </w:r>
      <w:r w:rsidRPr="00771E6E">
        <w:rPr>
          <w:lang w:val="en-US"/>
        </w:rPr>
        <w:t>Cambridge: Cambridge University Press, 2014.</w:t>
      </w:r>
    </w:p>
    <w:p w14:paraId="36431AF2" w14:textId="77777777" w:rsidR="00F33779" w:rsidRPr="00771E6E" w:rsidRDefault="00F33779" w:rsidP="00F33779">
      <w:pPr>
        <w:pStyle w:val="Bibliography"/>
      </w:pPr>
      <w:r w:rsidRPr="00771E6E">
        <w:t xml:space="preserve">McGee, Timothy J. “Filippino Lippi and Music.” </w:t>
      </w:r>
      <w:r w:rsidRPr="00771E6E">
        <w:rPr>
          <w:i/>
          <w:iCs/>
        </w:rPr>
        <w:t>Renaissance and Reformation</w:t>
      </w:r>
      <w:r w:rsidRPr="00771E6E">
        <w:t xml:space="preserve"> 30, no. 3 (2007): 5–28.</w:t>
      </w:r>
    </w:p>
    <w:p w14:paraId="476D7EBF" w14:textId="77777777" w:rsidR="00F33779" w:rsidRPr="00771E6E" w:rsidRDefault="00F33779" w:rsidP="00F33779">
      <w:pPr>
        <w:pStyle w:val="Bibliography"/>
      </w:pPr>
      <w:r w:rsidRPr="00771E6E">
        <w:t xml:space="preserve">———. “Singing Without Text.” </w:t>
      </w:r>
      <w:r w:rsidRPr="00771E6E">
        <w:rPr>
          <w:i/>
          <w:iCs/>
        </w:rPr>
        <w:t>Performance Practice Review</w:t>
      </w:r>
      <w:r w:rsidRPr="00771E6E">
        <w:t xml:space="preserve"> 6, no. 1:8 (1993): 1–32.</w:t>
      </w:r>
    </w:p>
    <w:p w14:paraId="4EA42E24" w14:textId="77777777" w:rsidR="00F33779" w:rsidRPr="00771E6E" w:rsidRDefault="00F33779" w:rsidP="00F33779">
      <w:pPr>
        <w:pStyle w:val="Bibliography"/>
      </w:pPr>
      <w:r w:rsidRPr="00771E6E">
        <w:lastRenderedPageBreak/>
        <w:t xml:space="preserve">McGee, Timothy J., and Sylvia E. </w:t>
      </w:r>
      <w:proofErr w:type="spellStart"/>
      <w:r w:rsidRPr="00771E6E">
        <w:t>Mittler</w:t>
      </w:r>
      <w:proofErr w:type="spellEnd"/>
      <w:r w:rsidRPr="00771E6E">
        <w:t xml:space="preserve">. “Information on Instruments in Florentine Carnival Songs.” </w:t>
      </w:r>
      <w:r w:rsidRPr="00771E6E">
        <w:rPr>
          <w:i/>
          <w:iCs/>
        </w:rPr>
        <w:t>Early Music</w:t>
      </w:r>
      <w:r w:rsidRPr="00771E6E">
        <w:t xml:space="preserve"> 10, no. 4 (1982): 452–61.</w:t>
      </w:r>
    </w:p>
    <w:p w14:paraId="2BE095AC" w14:textId="7E2E110F" w:rsidR="00882107" w:rsidRPr="00771E6E" w:rsidRDefault="00882107" w:rsidP="00882107">
      <w:pPr>
        <w:pStyle w:val="Bibliography"/>
      </w:pPr>
      <w:r w:rsidRPr="00771E6E">
        <w:t xml:space="preserve">McIver, Katherine. “Visual pleasures, sensual sounds: Music, morality, and sexuality in paintings by Titian.” In </w:t>
      </w:r>
      <w:r w:rsidRPr="00771E6E">
        <w:rPr>
          <w:i/>
          <w:iCs/>
        </w:rPr>
        <w:t>Sexualities, Textualities, Art and Music in Early Modern Italy</w:t>
      </w:r>
      <w:r w:rsidRPr="00771E6E">
        <w:t>, edited by Melanie L. Marshall, Linda L. Carroll, and Katherine A. McIver (Farnham, England: Ashgate, 2014), 13-21.</w:t>
      </w:r>
    </w:p>
    <w:p w14:paraId="0B8B033B" w14:textId="77777777" w:rsidR="00F33779" w:rsidRPr="00771E6E" w:rsidRDefault="00F33779" w:rsidP="00F33779">
      <w:pPr>
        <w:pStyle w:val="Bibliography"/>
      </w:pPr>
      <w:proofErr w:type="spellStart"/>
      <w:r w:rsidRPr="00771E6E">
        <w:t>McLamore</w:t>
      </w:r>
      <w:proofErr w:type="spellEnd"/>
      <w:r w:rsidRPr="00771E6E">
        <w:t xml:space="preserve">, Alison. “A Tactus Primer.” In </w:t>
      </w:r>
      <w:proofErr w:type="spellStart"/>
      <w:r w:rsidRPr="00771E6E">
        <w:rPr>
          <w:i/>
          <w:iCs/>
        </w:rPr>
        <w:t>Musica</w:t>
      </w:r>
      <w:proofErr w:type="spellEnd"/>
      <w:r w:rsidRPr="00771E6E">
        <w:rPr>
          <w:i/>
          <w:iCs/>
        </w:rPr>
        <w:t xml:space="preserve"> Franca: Essays in </w:t>
      </w:r>
      <w:proofErr w:type="spellStart"/>
      <w:r w:rsidRPr="00771E6E">
        <w:rPr>
          <w:i/>
          <w:iCs/>
        </w:rPr>
        <w:t>Honor</w:t>
      </w:r>
      <w:proofErr w:type="spellEnd"/>
      <w:r w:rsidRPr="00771E6E">
        <w:rPr>
          <w:i/>
          <w:iCs/>
        </w:rPr>
        <w:t xml:space="preserve"> of Frank A. </w:t>
      </w:r>
      <w:proofErr w:type="spellStart"/>
      <w:r w:rsidRPr="00771E6E">
        <w:rPr>
          <w:i/>
          <w:iCs/>
        </w:rPr>
        <w:t>D’Accone</w:t>
      </w:r>
      <w:proofErr w:type="spellEnd"/>
      <w:r w:rsidRPr="00771E6E">
        <w:t xml:space="preserve">, edited by Irene </w:t>
      </w:r>
      <w:proofErr w:type="spellStart"/>
      <w:r w:rsidRPr="00771E6E">
        <w:t>Alm</w:t>
      </w:r>
      <w:proofErr w:type="spellEnd"/>
      <w:r w:rsidRPr="00771E6E">
        <w:t xml:space="preserve">, Alison </w:t>
      </w:r>
      <w:proofErr w:type="spellStart"/>
      <w:r w:rsidRPr="00771E6E">
        <w:t>McLamore</w:t>
      </w:r>
      <w:proofErr w:type="spellEnd"/>
      <w:r w:rsidRPr="00771E6E">
        <w:t>, and Colleen Reardon, 299–321. Stuyvesant, N.Y: Pendragon Press, 1996.</w:t>
      </w:r>
    </w:p>
    <w:p w14:paraId="6F07B457" w14:textId="77777777" w:rsidR="00F33779" w:rsidRPr="00771E6E" w:rsidRDefault="00F33779" w:rsidP="00F33779">
      <w:pPr>
        <w:pStyle w:val="Bibliography"/>
      </w:pPr>
      <w:r w:rsidRPr="00771E6E">
        <w:t xml:space="preserve">Mews, Constant J., and Claire </w:t>
      </w:r>
      <w:proofErr w:type="spellStart"/>
      <w:r w:rsidRPr="00771E6E">
        <w:t>Renkin</w:t>
      </w:r>
      <w:proofErr w:type="spellEnd"/>
      <w:r w:rsidRPr="00771E6E">
        <w:t xml:space="preserve">. “The Legacy of Gregory the Great in the Latin West.” In </w:t>
      </w:r>
      <w:r w:rsidRPr="00771E6E">
        <w:rPr>
          <w:i/>
          <w:iCs/>
        </w:rPr>
        <w:t>A Companion to Gregory the Great</w:t>
      </w:r>
      <w:r w:rsidRPr="00771E6E">
        <w:t>, edited by Bronwen Neil and Matthew Dal Santo. Leiden: Brill, 2013.</w:t>
      </w:r>
    </w:p>
    <w:p w14:paraId="159E5981" w14:textId="77777777" w:rsidR="00F33779" w:rsidRPr="00771E6E" w:rsidRDefault="00F33779" w:rsidP="00F33779">
      <w:pPr>
        <w:pStyle w:val="Bibliography"/>
      </w:pPr>
      <w:r w:rsidRPr="00771E6E">
        <w:t xml:space="preserve">Miles, Margaret R. </w:t>
      </w:r>
      <w:r w:rsidRPr="00771E6E">
        <w:rPr>
          <w:i/>
          <w:iCs/>
        </w:rPr>
        <w:t>Image as Insight: Visual Understanding in Western Christianity and Secular Culture</w:t>
      </w:r>
      <w:r w:rsidRPr="00771E6E">
        <w:t>. Eugene, OR: Wipf and Stock Publishers, 1985.</w:t>
      </w:r>
    </w:p>
    <w:p w14:paraId="76DC72EA" w14:textId="77777777" w:rsidR="00F33779" w:rsidRPr="00771E6E" w:rsidRDefault="00F33779" w:rsidP="00F33779">
      <w:pPr>
        <w:pStyle w:val="Bibliography"/>
      </w:pPr>
      <w:r w:rsidRPr="00771E6E">
        <w:t xml:space="preserve">Miller, Stephanie R. “Parenting in the Palazzo: Images and </w:t>
      </w:r>
      <w:proofErr w:type="spellStart"/>
      <w:r w:rsidRPr="00771E6E">
        <w:t>Artifacts</w:t>
      </w:r>
      <w:proofErr w:type="spellEnd"/>
      <w:r w:rsidRPr="00771E6E">
        <w:t xml:space="preserve"> of Children in the Italian Renaissance Home.” In </w:t>
      </w:r>
      <w:proofErr w:type="gramStart"/>
      <w:r w:rsidRPr="00771E6E">
        <w:rPr>
          <w:i/>
          <w:iCs/>
        </w:rPr>
        <w:t>The</w:t>
      </w:r>
      <w:proofErr w:type="gramEnd"/>
      <w:r w:rsidRPr="00771E6E">
        <w:rPr>
          <w:i/>
          <w:iCs/>
        </w:rPr>
        <w:t xml:space="preserve"> Early Modern Italian Domestic Interior, 1400-1700: Objects, Spaces, Domesticities</w:t>
      </w:r>
      <w:r w:rsidRPr="00771E6E">
        <w:t xml:space="preserve">, edited by Elizabeth Carroll </w:t>
      </w:r>
      <w:proofErr w:type="spellStart"/>
      <w:r w:rsidRPr="00771E6E">
        <w:t>Consavari</w:t>
      </w:r>
      <w:proofErr w:type="spellEnd"/>
      <w:r w:rsidRPr="00771E6E">
        <w:t>, Stephanie R Miller, and Erin J Campbell, 67–88. Farnham: Ashgate, 2014.</w:t>
      </w:r>
    </w:p>
    <w:p w14:paraId="02317F09" w14:textId="77777777" w:rsidR="00F33779" w:rsidRPr="00771E6E" w:rsidRDefault="00F33779" w:rsidP="00F33779">
      <w:pPr>
        <w:pStyle w:val="Bibliography"/>
      </w:pPr>
      <w:r w:rsidRPr="00771E6E">
        <w:t xml:space="preserve">Mode, Robert L. “Adolescent </w:t>
      </w:r>
      <w:proofErr w:type="spellStart"/>
      <w:r w:rsidRPr="00771E6E">
        <w:t>Confratelli</w:t>
      </w:r>
      <w:proofErr w:type="spellEnd"/>
      <w:r w:rsidRPr="00771E6E">
        <w:t xml:space="preserve"> and the </w:t>
      </w:r>
      <w:proofErr w:type="spellStart"/>
      <w:r w:rsidRPr="00771E6E">
        <w:t>Cantoria</w:t>
      </w:r>
      <w:proofErr w:type="spellEnd"/>
      <w:r w:rsidRPr="00771E6E">
        <w:t xml:space="preserve"> of Luca Della Robbia.” </w:t>
      </w:r>
      <w:r w:rsidRPr="00771E6E">
        <w:rPr>
          <w:i/>
          <w:iCs/>
        </w:rPr>
        <w:t>The Art Bulletin</w:t>
      </w:r>
      <w:r w:rsidRPr="00771E6E">
        <w:t xml:space="preserve"> 68, no. 1 (March 1986): 67–71.</w:t>
      </w:r>
    </w:p>
    <w:p w14:paraId="3FE331D8" w14:textId="77777777" w:rsidR="00F33779" w:rsidRPr="00771E6E" w:rsidRDefault="00F33779" w:rsidP="00F33779">
      <w:pPr>
        <w:pStyle w:val="Bibliography"/>
      </w:pPr>
      <w:r w:rsidRPr="00771E6E">
        <w:t>Morse, Margaret Ann. “The Arts of Domestic Devotion in Renaissance Italy: The Case of Venice,” 2006.</w:t>
      </w:r>
    </w:p>
    <w:p w14:paraId="09FC0072" w14:textId="77777777" w:rsidR="00F33779" w:rsidRPr="00771E6E" w:rsidRDefault="00F33779" w:rsidP="00F33779">
      <w:pPr>
        <w:pStyle w:val="Bibliography"/>
      </w:pPr>
      <w:r w:rsidRPr="00771E6E">
        <w:t xml:space="preserve">Moss, Candida R. </w:t>
      </w:r>
      <w:r w:rsidRPr="00771E6E">
        <w:rPr>
          <w:i/>
          <w:iCs/>
        </w:rPr>
        <w:t>The Other Christs: Imitating Jesus in Ancient Christian Ideologies of Martyrdom</w:t>
      </w:r>
      <w:r w:rsidRPr="00771E6E">
        <w:t>. Oxford: Oxford University Press, 2010.</w:t>
      </w:r>
    </w:p>
    <w:p w14:paraId="23A9B8C8" w14:textId="77777777" w:rsidR="00F33779" w:rsidRPr="00771E6E" w:rsidRDefault="00F33779" w:rsidP="00F33779">
      <w:pPr>
        <w:pStyle w:val="Bibliography"/>
      </w:pPr>
      <w:proofErr w:type="spellStart"/>
      <w:r w:rsidRPr="00771E6E">
        <w:t>Motture</w:t>
      </w:r>
      <w:proofErr w:type="spellEnd"/>
      <w:r w:rsidRPr="00771E6E">
        <w:t xml:space="preserve">, Peta, and Luke Syson. “Art in the Casa.” In </w:t>
      </w:r>
      <w:proofErr w:type="gramStart"/>
      <w:r w:rsidRPr="00771E6E">
        <w:rPr>
          <w:i/>
          <w:iCs/>
        </w:rPr>
        <w:t>At</w:t>
      </w:r>
      <w:proofErr w:type="gramEnd"/>
      <w:r w:rsidRPr="00771E6E">
        <w:rPr>
          <w:i/>
          <w:iCs/>
        </w:rPr>
        <w:t xml:space="preserve"> Home in Renaissance Italy</w:t>
      </w:r>
      <w:r w:rsidRPr="00771E6E">
        <w:t xml:space="preserve">, edited by Marta </w:t>
      </w:r>
      <w:proofErr w:type="spellStart"/>
      <w:r w:rsidRPr="00771E6E">
        <w:t>Ajmar-Wollheim</w:t>
      </w:r>
      <w:proofErr w:type="spellEnd"/>
      <w:r w:rsidRPr="00771E6E">
        <w:t xml:space="preserve"> and Flora Dennis, 268–83. London: V&amp;A Publications, 2006.</w:t>
      </w:r>
    </w:p>
    <w:p w14:paraId="4122A04E" w14:textId="77777777" w:rsidR="00F33779" w:rsidRPr="00771E6E" w:rsidRDefault="00F33779" w:rsidP="00F33779">
      <w:pPr>
        <w:pStyle w:val="Bibliography"/>
      </w:pPr>
      <w:r w:rsidRPr="00771E6E">
        <w:t xml:space="preserve">Moyer, Ann E. “Introduction.” In Raffaele </w:t>
      </w:r>
      <w:proofErr w:type="spellStart"/>
      <w:r w:rsidRPr="00771E6E">
        <w:t>Brandolini</w:t>
      </w:r>
      <w:proofErr w:type="spellEnd"/>
      <w:r w:rsidRPr="00771E6E">
        <w:rPr>
          <w:i/>
          <w:iCs/>
        </w:rPr>
        <w:t xml:space="preserve">, On Music and Poetry (De </w:t>
      </w:r>
      <w:proofErr w:type="spellStart"/>
      <w:r w:rsidRPr="00771E6E">
        <w:rPr>
          <w:i/>
          <w:iCs/>
        </w:rPr>
        <w:t>Musica</w:t>
      </w:r>
      <w:proofErr w:type="spellEnd"/>
      <w:r w:rsidRPr="00771E6E">
        <w:rPr>
          <w:i/>
          <w:iCs/>
        </w:rPr>
        <w:t xml:space="preserve"> et </w:t>
      </w:r>
      <w:proofErr w:type="spellStart"/>
      <w:r w:rsidRPr="00771E6E">
        <w:rPr>
          <w:i/>
          <w:iCs/>
        </w:rPr>
        <w:t>Poetica</w:t>
      </w:r>
      <w:proofErr w:type="spellEnd"/>
      <w:r w:rsidRPr="00771E6E">
        <w:rPr>
          <w:i/>
          <w:iCs/>
        </w:rPr>
        <w:t>, 1513)</w:t>
      </w:r>
      <w:r w:rsidRPr="00771E6E">
        <w:t xml:space="preserve">, edited and translated by Ann E. Moyer and Marc </w:t>
      </w:r>
      <w:proofErr w:type="spellStart"/>
      <w:r w:rsidRPr="00771E6E">
        <w:t>Laureys</w:t>
      </w:r>
      <w:proofErr w:type="spellEnd"/>
      <w:r w:rsidRPr="00771E6E">
        <w:t xml:space="preserve">. Tempe, AZ: Arizona </w:t>
      </w:r>
      <w:proofErr w:type="spellStart"/>
      <w:r w:rsidRPr="00771E6E">
        <w:t>Center</w:t>
      </w:r>
      <w:proofErr w:type="spellEnd"/>
      <w:r w:rsidRPr="00771E6E">
        <w:t xml:space="preserve"> for Medieval and Renaissance Studies, 2001.</w:t>
      </w:r>
    </w:p>
    <w:p w14:paraId="686CAD65" w14:textId="77777777" w:rsidR="00F33779" w:rsidRPr="00771E6E" w:rsidRDefault="00F33779" w:rsidP="00F33779">
      <w:pPr>
        <w:pStyle w:val="Bibliography"/>
      </w:pPr>
      <w:proofErr w:type="spellStart"/>
      <w:r w:rsidRPr="00771E6E">
        <w:t>Musacchio</w:t>
      </w:r>
      <w:proofErr w:type="spellEnd"/>
      <w:r w:rsidRPr="00771E6E">
        <w:t xml:space="preserve">, Jacqueline Marie. “Conception and Birth.” In </w:t>
      </w:r>
      <w:proofErr w:type="gramStart"/>
      <w:r w:rsidRPr="00771E6E">
        <w:rPr>
          <w:i/>
          <w:iCs/>
        </w:rPr>
        <w:t>At</w:t>
      </w:r>
      <w:proofErr w:type="gramEnd"/>
      <w:r w:rsidRPr="00771E6E">
        <w:rPr>
          <w:i/>
          <w:iCs/>
        </w:rPr>
        <w:t xml:space="preserve"> Home in Renaissance Italy</w:t>
      </w:r>
      <w:r w:rsidRPr="00771E6E">
        <w:t xml:space="preserve">, edited by Marta </w:t>
      </w:r>
      <w:proofErr w:type="spellStart"/>
      <w:r w:rsidRPr="00771E6E">
        <w:t>Ajmar-Wollheim</w:t>
      </w:r>
      <w:proofErr w:type="spellEnd"/>
      <w:r w:rsidRPr="00771E6E">
        <w:t xml:space="preserve"> and Flora Dennis, 124–35. London: V&amp;A Publications, 2006.</w:t>
      </w:r>
    </w:p>
    <w:p w14:paraId="2C44EC76" w14:textId="77777777" w:rsidR="00F33779" w:rsidRPr="00771E6E" w:rsidRDefault="00F33779" w:rsidP="00F33779">
      <w:pPr>
        <w:pStyle w:val="Bibliography"/>
      </w:pPr>
      <w:r w:rsidRPr="00771E6E">
        <w:t xml:space="preserve">———. “Entry 70.” In </w:t>
      </w:r>
      <w:r w:rsidRPr="00771E6E">
        <w:rPr>
          <w:i/>
          <w:iCs/>
        </w:rPr>
        <w:t>Art and Love in Renaissance Italy</w:t>
      </w:r>
      <w:r w:rsidRPr="00771E6E">
        <w:t>, edited by Andrea Bayer, 154. New York, New Haven, Conn.; London: Metropolitan Museum of Art; Yale University Press, 2008.</w:t>
      </w:r>
    </w:p>
    <w:p w14:paraId="6B302C81" w14:textId="77777777" w:rsidR="00F33779" w:rsidRPr="00771E6E" w:rsidRDefault="00F33779" w:rsidP="00F33779">
      <w:pPr>
        <w:pStyle w:val="Bibliography"/>
      </w:pPr>
      <w:r w:rsidRPr="00771E6E">
        <w:t xml:space="preserve">———. “Imaginative Conceptions in Renaissance Italy.” In </w:t>
      </w:r>
      <w:r w:rsidRPr="00771E6E">
        <w:rPr>
          <w:i/>
          <w:iCs/>
        </w:rPr>
        <w:t>Picturing Women in Renaissance and Baroque Italy</w:t>
      </w:r>
      <w:r w:rsidRPr="00771E6E">
        <w:t xml:space="preserve">, edited by Geraldine A. Johnson and Sara F. Matthews </w:t>
      </w:r>
      <w:proofErr w:type="spellStart"/>
      <w:r w:rsidRPr="00771E6E">
        <w:t>Grieco</w:t>
      </w:r>
      <w:proofErr w:type="spellEnd"/>
      <w:r w:rsidRPr="00771E6E">
        <w:t>, 42–60. Cambridge and New York: Cambridge University Press, 1997.</w:t>
      </w:r>
    </w:p>
    <w:p w14:paraId="32282F33" w14:textId="77777777" w:rsidR="00F33779" w:rsidRPr="00771E6E" w:rsidRDefault="00F33779" w:rsidP="00F33779">
      <w:pPr>
        <w:pStyle w:val="Bibliography"/>
      </w:pPr>
      <w:r w:rsidRPr="00771E6E">
        <w:t xml:space="preserve">———. “Lambs, Coral, Teeth, and the Intimate Intersection of Religion and Magic in Renaissance Italy.” In </w:t>
      </w:r>
      <w:r w:rsidRPr="00771E6E">
        <w:rPr>
          <w:i/>
          <w:iCs/>
        </w:rPr>
        <w:t>Images, Relics, and Devotional Practices in Medieval and Renaissance Italy</w:t>
      </w:r>
      <w:r w:rsidRPr="00771E6E">
        <w:t xml:space="preserve">, edited by Scott Montgomery and Sally Cornelison, 139–56. Tempe: Arizona </w:t>
      </w:r>
      <w:proofErr w:type="spellStart"/>
      <w:r w:rsidRPr="00771E6E">
        <w:t>Center</w:t>
      </w:r>
      <w:proofErr w:type="spellEnd"/>
      <w:r w:rsidRPr="00771E6E">
        <w:t xml:space="preserve"> for Medieval and Renaissance Studies, 2005.</w:t>
      </w:r>
    </w:p>
    <w:p w14:paraId="4AA78561" w14:textId="77777777" w:rsidR="00F33779" w:rsidRPr="00771E6E" w:rsidRDefault="00F33779" w:rsidP="00F33779">
      <w:pPr>
        <w:pStyle w:val="Bibliography"/>
      </w:pPr>
      <w:r w:rsidRPr="00771E6E">
        <w:t xml:space="preserve">———. </w:t>
      </w:r>
      <w:r w:rsidRPr="00771E6E">
        <w:rPr>
          <w:i/>
          <w:iCs/>
        </w:rPr>
        <w:t>The Art and Ritual of Childbirth in Renaissance Italy</w:t>
      </w:r>
      <w:r w:rsidRPr="00771E6E">
        <w:t>. New Haven, Conn. and London: Yale University Press, 1999.</w:t>
      </w:r>
    </w:p>
    <w:p w14:paraId="17B4A984" w14:textId="77777777" w:rsidR="00F33779" w:rsidRPr="00771E6E" w:rsidRDefault="00F33779" w:rsidP="00F33779">
      <w:pPr>
        <w:pStyle w:val="Bibliography"/>
      </w:pPr>
      <w:r w:rsidRPr="00771E6E">
        <w:t xml:space="preserve">———. “The Madonna and Child, a Host of Saints and Domestic Devotion.” In </w:t>
      </w:r>
      <w:r w:rsidRPr="00771E6E">
        <w:rPr>
          <w:i/>
          <w:iCs/>
        </w:rPr>
        <w:t>Revaluing Renaissance Art</w:t>
      </w:r>
      <w:r w:rsidRPr="00771E6E">
        <w:t xml:space="preserve">, edited by Gabriele </w:t>
      </w:r>
      <w:proofErr w:type="spellStart"/>
      <w:r w:rsidRPr="00771E6E">
        <w:t>Neher</w:t>
      </w:r>
      <w:proofErr w:type="spellEnd"/>
      <w:r w:rsidRPr="00771E6E">
        <w:t xml:space="preserve"> and Rupert Shepherd, 147–64. Aldershot; Brookfield, VT: Ashgate, 2000.</w:t>
      </w:r>
    </w:p>
    <w:p w14:paraId="08D7E72D" w14:textId="77777777" w:rsidR="00F33779" w:rsidRPr="00771E6E" w:rsidRDefault="00F33779" w:rsidP="00F33779">
      <w:pPr>
        <w:pStyle w:val="Bibliography"/>
      </w:pPr>
      <w:r w:rsidRPr="00771E6E">
        <w:lastRenderedPageBreak/>
        <w:t xml:space="preserve">———. “The Rape of the Sabine Women on Quattrocento Marriage Panels.” In </w:t>
      </w:r>
      <w:r w:rsidRPr="00771E6E">
        <w:rPr>
          <w:i/>
          <w:iCs/>
        </w:rPr>
        <w:t>Marriage in Italy, 1300-1650</w:t>
      </w:r>
      <w:r w:rsidRPr="00771E6E">
        <w:t>, edited by Trevor Dean and K. J. P. Lowe, 66–84. Cambridge: Cambridge University Press, 2002.</w:t>
      </w:r>
    </w:p>
    <w:p w14:paraId="5DCC61FE" w14:textId="77777777" w:rsidR="00F33779" w:rsidRPr="00771E6E" w:rsidRDefault="00F33779" w:rsidP="00F33779">
      <w:pPr>
        <w:pStyle w:val="Bibliography"/>
      </w:pPr>
      <w:r w:rsidRPr="00771E6E">
        <w:t xml:space="preserve">Nelson, Eric. “The Problem of the Prince.” In </w:t>
      </w:r>
      <w:proofErr w:type="gramStart"/>
      <w:r w:rsidRPr="00771E6E">
        <w:rPr>
          <w:i/>
          <w:iCs/>
        </w:rPr>
        <w:t>The</w:t>
      </w:r>
      <w:proofErr w:type="gramEnd"/>
      <w:r w:rsidRPr="00771E6E">
        <w:rPr>
          <w:i/>
          <w:iCs/>
        </w:rPr>
        <w:t xml:space="preserve"> Cambridge Companion to Renaissance Philosophy</w:t>
      </w:r>
      <w:r w:rsidRPr="00771E6E">
        <w:t>, edited by James Hankins, 319–37. Cambridge University Press, 2007.</w:t>
      </w:r>
    </w:p>
    <w:p w14:paraId="04D83368" w14:textId="77777777" w:rsidR="00F33779" w:rsidRPr="00771E6E" w:rsidRDefault="00F33779" w:rsidP="00F33779">
      <w:pPr>
        <w:pStyle w:val="Bibliography"/>
      </w:pPr>
      <w:r w:rsidRPr="00771E6E">
        <w:t xml:space="preserve">Nelson, Jonathan Katz. “Entry 9.3.” In </w:t>
      </w:r>
      <w:r w:rsidRPr="00771E6E">
        <w:rPr>
          <w:i/>
          <w:iCs/>
        </w:rPr>
        <w:t xml:space="preserve">Maestri e </w:t>
      </w:r>
      <w:proofErr w:type="spellStart"/>
      <w:r w:rsidRPr="00771E6E">
        <w:rPr>
          <w:i/>
          <w:iCs/>
        </w:rPr>
        <w:t>botteghe</w:t>
      </w:r>
      <w:proofErr w:type="spellEnd"/>
      <w:r w:rsidRPr="00771E6E">
        <w:rPr>
          <w:i/>
          <w:iCs/>
        </w:rPr>
        <w:t xml:space="preserve">: </w:t>
      </w:r>
      <w:proofErr w:type="spellStart"/>
      <w:r w:rsidRPr="00771E6E">
        <w:rPr>
          <w:i/>
          <w:iCs/>
        </w:rPr>
        <w:t>Pittura</w:t>
      </w:r>
      <w:proofErr w:type="spellEnd"/>
      <w:r w:rsidRPr="00771E6E">
        <w:rPr>
          <w:i/>
          <w:iCs/>
        </w:rPr>
        <w:t xml:space="preserve"> a Firenze </w:t>
      </w:r>
      <w:proofErr w:type="spellStart"/>
      <w:r w:rsidRPr="00771E6E">
        <w:rPr>
          <w:i/>
          <w:iCs/>
        </w:rPr>
        <w:t>alla</w:t>
      </w:r>
      <w:proofErr w:type="spellEnd"/>
      <w:r w:rsidRPr="00771E6E">
        <w:rPr>
          <w:i/>
          <w:iCs/>
        </w:rPr>
        <w:t xml:space="preserve"> fine del Quattrocento</w:t>
      </w:r>
      <w:r w:rsidRPr="00771E6E">
        <w:t xml:space="preserve">, edited by Mina </w:t>
      </w:r>
      <w:proofErr w:type="spellStart"/>
      <w:r w:rsidRPr="00771E6E">
        <w:t>Gregori</w:t>
      </w:r>
      <w:proofErr w:type="spellEnd"/>
      <w:r w:rsidRPr="00771E6E">
        <w:t xml:space="preserve">, Antonio </w:t>
      </w:r>
      <w:proofErr w:type="spellStart"/>
      <w:r w:rsidRPr="00771E6E">
        <w:t>Paolucci</w:t>
      </w:r>
      <w:proofErr w:type="spellEnd"/>
      <w:r w:rsidRPr="00771E6E">
        <w:t xml:space="preserve">, and Cristina </w:t>
      </w:r>
      <w:proofErr w:type="spellStart"/>
      <w:r w:rsidRPr="00771E6E">
        <w:t>Acidini</w:t>
      </w:r>
      <w:proofErr w:type="spellEnd"/>
      <w:r w:rsidRPr="00771E6E">
        <w:t xml:space="preserve"> </w:t>
      </w:r>
      <w:proofErr w:type="spellStart"/>
      <w:r w:rsidRPr="00771E6E">
        <w:t>Luchinat</w:t>
      </w:r>
      <w:proofErr w:type="spellEnd"/>
      <w:r w:rsidRPr="00771E6E">
        <w:t xml:space="preserve">, 240. Florence: Silvana </w:t>
      </w:r>
      <w:proofErr w:type="spellStart"/>
      <w:r w:rsidRPr="00771E6E">
        <w:t>Editoriale</w:t>
      </w:r>
      <w:proofErr w:type="spellEnd"/>
      <w:r w:rsidRPr="00771E6E">
        <w:t>, 1992.</w:t>
      </w:r>
    </w:p>
    <w:p w14:paraId="7538BFFF" w14:textId="77777777" w:rsidR="00F33779" w:rsidRPr="00771E6E" w:rsidRDefault="00F33779" w:rsidP="00F33779">
      <w:pPr>
        <w:pStyle w:val="Bibliography"/>
      </w:pPr>
      <w:r w:rsidRPr="00771E6E">
        <w:t>———. “</w:t>
      </w:r>
      <w:proofErr w:type="spellStart"/>
      <w:r w:rsidRPr="00771E6E">
        <w:t>Catalogo</w:t>
      </w:r>
      <w:proofErr w:type="spellEnd"/>
      <w:r w:rsidRPr="00771E6E">
        <w:t xml:space="preserve"> </w:t>
      </w:r>
      <w:proofErr w:type="spellStart"/>
      <w:r w:rsidRPr="00771E6E">
        <w:t>Delle</w:t>
      </w:r>
      <w:proofErr w:type="spellEnd"/>
      <w:r w:rsidRPr="00771E6E">
        <w:t xml:space="preserve"> Opera </w:t>
      </w:r>
      <w:proofErr w:type="spellStart"/>
      <w:r w:rsidRPr="00771E6E">
        <w:t>Respinte</w:t>
      </w:r>
      <w:proofErr w:type="spellEnd"/>
      <w:r w:rsidRPr="00771E6E">
        <w:t xml:space="preserve"> </w:t>
      </w:r>
      <w:proofErr w:type="spellStart"/>
      <w:r w:rsidRPr="00771E6E">
        <w:t>Già</w:t>
      </w:r>
      <w:proofErr w:type="spellEnd"/>
      <w:r w:rsidRPr="00771E6E">
        <w:t xml:space="preserve"> </w:t>
      </w:r>
      <w:proofErr w:type="spellStart"/>
      <w:r w:rsidRPr="00771E6E">
        <w:t>Attribuite</w:t>
      </w:r>
      <w:proofErr w:type="spellEnd"/>
      <w:r w:rsidRPr="00771E6E">
        <w:t xml:space="preserve"> a Filippino Lippi (Entry R.27).” In </w:t>
      </w:r>
      <w:r w:rsidRPr="00771E6E">
        <w:rPr>
          <w:i/>
          <w:iCs/>
        </w:rPr>
        <w:t>Filippino Lippi</w:t>
      </w:r>
      <w:r w:rsidRPr="00771E6E">
        <w:t xml:space="preserve">. Milan: </w:t>
      </w:r>
      <w:proofErr w:type="spellStart"/>
      <w:r w:rsidRPr="00771E6E">
        <w:t>Electa</w:t>
      </w:r>
      <w:proofErr w:type="spellEnd"/>
      <w:r w:rsidRPr="00771E6E">
        <w:t>, 2004.</w:t>
      </w:r>
    </w:p>
    <w:p w14:paraId="1D2A81B7" w14:textId="77777777" w:rsidR="00F33779" w:rsidRPr="00771E6E" w:rsidRDefault="00F33779" w:rsidP="00F33779">
      <w:pPr>
        <w:pStyle w:val="Bibliography"/>
      </w:pPr>
      <w:r w:rsidRPr="00771E6E">
        <w:t xml:space="preserve">———. “Entry 19.” In </w:t>
      </w:r>
      <w:r w:rsidRPr="00771E6E">
        <w:rPr>
          <w:i/>
          <w:iCs/>
        </w:rPr>
        <w:t xml:space="preserve">Botticelli E Filippino: </w:t>
      </w:r>
      <w:proofErr w:type="spellStart"/>
      <w:r w:rsidRPr="00771E6E">
        <w:rPr>
          <w:i/>
          <w:iCs/>
        </w:rPr>
        <w:t>L’inquietudine</w:t>
      </w:r>
      <w:proofErr w:type="spellEnd"/>
      <w:r w:rsidRPr="00771E6E">
        <w:rPr>
          <w:i/>
          <w:iCs/>
        </w:rPr>
        <w:t xml:space="preserve"> E La Grazia Nella </w:t>
      </w:r>
      <w:proofErr w:type="spellStart"/>
      <w:r w:rsidRPr="00771E6E">
        <w:rPr>
          <w:i/>
          <w:iCs/>
        </w:rPr>
        <w:t>Pittura</w:t>
      </w:r>
      <w:proofErr w:type="spellEnd"/>
      <w:r w:rsidRPr="00771E6E">
        <w:rPr>
          <w:i/>
          <w:iCs/>
        </w:rPr>
        <w:t xml:space="preserve"> Fiorentina Del Quattrocento </w:t>
      </w:r>
      <w:proofErr w:type="spellStart"/>
      <w:r w:rsidRPr="00771E6E">
        <w:t>Exh.Cat</w:t>
      </w:r>
      <w:proofErr w:type="spellEnd"/>
      <w:r w:rsidRPr="00771E6E">
        <w:t xml:space="preserve">., edited by Daniel </w:t>
      </w:r>
      <w:proofErr w:type="spellStart"/>
      <w:r w:rsidRPr="00771E6E">
        <w:t>Arasse</w:t>
      </w:r>
      <w:proofErr w:type="spellEnd"/>
      <w:r w:rsidRPr="00771E6E">
        <w:t xml:space="preserve">, </w:t>
      </w:r>
      <w:proofErr w:type="spellStart"/>
      <w:r w:rsidRPr="00771E6E">
        <w:t>Pierluigi</w:t>
      </w:r>
      <w:proofErr w:type="spellEnd"/>
      <w:r w:rsidRPr="00771E6E">
        <w:t xml:space="preserve"> De </w:t>
      </w:r>
      <w:proofErr w:type="spellStart"/>
      <w:r w:rsidRPr="00771E6E">
        <w:t>Vecchi</w:t>
      </w:r>
      <w:proofErr w:type="spellEnd"/>
      <w:r w:rsidRPr="00771E6E">
        <w:t xml:space="preserve">, and Jonathan Katz Nelson, 164–67. Milan: </w:t>
      </w:r>
      <w:proofErr w:type="spellStart"/>
      <w:r w:rsidRPr="00771E6E">
        <w:t>Skira</w:t>
      </w:r>
      <w:proofErr w:type="spellEnd"/>
      <w:r w:rsidRPr="00771E6E">
        <w:t>, 2004.</w:t>
      </w:r>
    </w:p>
    <w:p w14:paraId="02BF0880" w14:textId="77777777" w:rsidR="00F33779" w:rsidRPr="00771E6E" w:rsidRDefault="00F33779" w:rsidP="00F33779">
      <w:pPr>
        <w:pStyle w:val="Bibliography"/>
      </w:pPr>
      <w:r w:rsidRPr="00771E6E">
        <w:t xml:space="preserve">———. “Entry 37.” In </w:t>
      </w:r>
      <w:r w:rsidRPr="00771E6E">
        <w:rPr>
          <w:i/>
          <w:iCs/>
        </w:rPr>
        <w:t xml:space="preserve">Botticelli E Filippino: </w:t>
      </w:r>
      <w:proofErr w:type="spellStart"/>
      <w:r w:rsidRPr="00771E6E">
        <w:rPr>
          <w:i/>
          <w:iCs/>
        </w:rPr>
        <w:t>L’inquietudine</w:t>
      </w:r>
      <w:proofErr w:type="spellEnd"/>
      <w:r w:rsidRPr="00771E6E">
        <w:rPr>
          <w:i/>
          <w:iCs/>
        </w:rPr>
        <w:t xml:space="preserve"> E La Grazia Nella </w:t>
      </w:r>
      <w:proofErr w:type="spellStart"/>
      <w:r w:rsidRPr="00771E6E">
        <w:rPr>
          <w:i/>
          <w:iCs/>
        </w:rPr>
        <w:t>Pittura</w:t>
      </w:r>
      <w:proofErr w:type="spellEnd"/>
      <w:r w:rsidRPr="00771E6E">
        <w:rPr>
          <w:i/>
          <w:iCs/>
        </w:rPr>
        <w:t xml:space="preserve"> Fiorentina Del Quattrocento, </w:t>
      </w:r>
      <w:proofErr w:type="spellStart"/>
      <w:r w:rsidRPr="00771E6E">
        <w:t>Exh.Cat</w:t>
      </w:r>
      <w:proofErr w:type="spellEnd"/>
      <w:r w:rsidRPr="00771E6E">
        <w:t xml:space="preserve">., edited by Daniel </w:t>
      </w:r>
      <w:proofErr w:type="spellStart"/>
      <w:r w:rsidRPr="00771E6E">
        <w:t>Arasse</w:t>
      </w:r>
      <w:proofErr w:type="spellEnd"/>
      <w:r w:rsidRPr="00771E6E">
        <w:t xml:space="preserve">, </w:t>
      </w:r>
      <w:proofErr w:type="spellStart"/>
      <w:r w:rsidRPr="00771E6E">
        <w:t>Pierluigi</w:t>
      </w:r>
      <w:proofErr w:type="spellEnd"/>
      <w:r w:rsidRPr="00771E6E">
        <w:t xml:space="preserve"> De </w:t>
      </w:r>
      <w:proofErr w:type="spellStart"/>
      <w:r w:rsidRPr="00771E6E">
        <w:t>Vecchi</w:t>
      </w:r>
      <w:proofErr w:type="spellEnd"/>
      <w:r w:rsidRPr="00771E6E">
        <w:t xml:space="preserve">, and Jonathan Katz Nelson, 228. Milan: </w:t>
      </w:r>
      <w:proofErr w:type="spellStart"/>
      <w:r w:rsidRPr="00771E6E">
        <w:t>Skira</w:t>
      </w:r>
      <w:proofErr w:type="spellEnd"/>
      <w:r w:rsidRPr="00771E6E">
        <w:t>, 2004.</w:t>
      </w:r>
    </w:p>
    <w:p w14:paraId="75B5C0C2" w14:textId="77777777" w:rsidR="00F33779" w:rsidRPr="00771E6E" w:rsidRDefault="00F33779" w:rsidP="00F33779">
      <w:pPr>
        <w:pStyle w:val="Bibliography"/>
      </w:pPr>
      <w:r w:rsidRPr="00771E6E">
        <w:t xml:space="preserve">———. “Filippino Nel </w:t>
      </w:r>
      <w:proofErr w:type="spellStart"/>
      <w:r w:rsidRPr="00771E6E">
        <w:t>Ruolo</w:t>
      </w:r>
      <w:proofErr w:type="spellEnd"/>
      <w:r w:rsidRPr="00771E6E">
        <w:t xml:space="preserve"> Di </w:t>
      </w:r>
      <w:proofErr w:type="spellStart"/>
      <w:r w:rsidRPr="00771E6E">
        <w:t>Discepolo</w:t>
      </w:r>
      <w:proofErr w:type="spellEnd"/>
      <w:r w:rsidRPr="00771E6E">
        <w:t xml:space="preserve">, </w:t>
      </w:r>
      <w:proofErr w:type="spellStart"/>
      <w:r w:rsidRPr="00771E6E">
        <w:t>Collaboratore</w:t>
      </w:r>
      <w:proofErr w:type="spellEnd"/>
      <w:r w:rsidRPr="00771E6E">
        <w:t xml:space="preserve"> e </w:t>
      </w:r>
      <w:proofErr w:type="spellStart"/>
      <w:r w:rsidRPr="00771E6E">
        <w:t>Concorrente</w:t>
      </w:r>
      <w:proofErr w:type="spellEnd"/>
      <w:r w:rsidRPr="00771E6E">
        <w:t xml:space="preserve"> Del Botticelli.” In </w:t>
      </w:r>
      <w:r w:rsidRPr="00771E6E">
        <w:rPr>
          <w:i/>
          <w:iCs/>
        </w:rPr>
        <w:t xml:space="preserve">Botticelli E Filippino: </w:t>
      </w:r>
      <w:proofErr w:type="spellStart"/>
      <w:r w:rsidRPr="00771E6E">
        <w:rPr>
          <w:i/>
          <w:iCs/>
        </w:rPr>
        <w:t>L’inquietudine</w:t>
      </w:r>
      <w:proofErr w:type="spellEnd"/>
      <w:r w:rsidRPr="00771E6E">
        <w:rPr>
          <w:i/>
          <w:iCs/>
        </w:rPr>
        <w:t xml:space="preserve"> E La Grazia Nella </w:t>
      </w:r>
      <w:proofErr w:type="spellStart"/>
      <w:r w:rsidRPr="00771E6E">
        <w:rPr>
          <w:i/>
          <w:iCs/>
        </w:rPr>
        <w:t>Pittura</w:t>
      </w:r>
      <w:proofErr w:type="spellEnd"/>
      <w:r w:rsidRPr="00771E6E">
        <w:rPr>
          <w:i/>
          <w:iCs/>
        </w:rPr>
        <w:t xml:space="preserve"> Fiorentina Del Quattrocento </w:t>
      </w:r>
      <w:proofErr w:type="spellStart"/>
      <w:r w:rsidRPr="00771E6E">
        <w:t>Exh.Cat</w:t>
      </w:r>
      <w:proofErr w:type="spellEnd"/>
      <w:r w:rsidRPr="00771E6E">
        <w:t xml:space="preserve">., edited by Daniel </w:t>
      </w:r>
      <w:proofErr w:type="spellStart"/>
      <w:r w:rsidRPr="00771E6E">
        <w:t>Arasse</w:t>
      </w:r>
      <w:proofErr w:type="spellEnd"/>
      <w:r w:rsidRPr="00771E6E">
        <w:t xml:space="preserve">, </w:t>
      </w:r>
      <w:proofErr w:type="spellStart"/>
      <w:r w:rsidRPr="00771E6E">
        <w:t>Pierluigi</w:t>
      </w:r>
      <w:proofErr w:type="spellEnd"/>
      <w:r w:rsidRPr="00771E6E">
        <w:t xml:space="preserve"> De </w:t>
      </w:r>
      <w:proofErr w:type="spellStart"/>
      <w:r w:rsidRPr="00771E6E">
        <w:t>Vecchi</w:t>
      </w:r>
      <w:proofErr w:type="spellEnd"/>
      <w:r w:rsidRPr="00771E6E">
        <w:t xml:space="preserve">, and Jonathan Katz Nelson, 85–89. Milan: </w:t>
      </w:r>
      <w:proofErr w:type="spellStart"/>
      <w:r w:rsidRPr="00771E6E">
        <w:t>Skira</w:t>
      </w:r>
      <w:proofErr w:type="spellEnd"/>
      <w:r w:rsidRPr="00771E6E">
        <w:t>, 2004.</w:t>
      </w:r>
    </w:p>
    <w:p w14:paraId="58B0BD67" w14:textId="77777777" w:rsidR="00F33779" w:rsidRPr="00771E6E" w:rsidRDefault="00F33779" w:rsidP="00F33779">
      <w:pPr>
        <w:pStyle w:val="Bibliography"/>
      </w:pPr>
      <w:r w:rsidRPr="00771E6E">
        <w:t xml:space="preserve">———. “Putting Botticelli and Filippino in Their Place.” In </w:t>
      </w:r>
      <w:proofErr w:type="spellStart"/>
      <w:r w:rsidRPr="00771E6E">
        <w:rPr>
          <w:i/>
          <w:iCs/>
        </w:rPr>
        <w:t>Invisibile</w:t>
      </w:r>
      <w:proofErr w:type="spellEnd"/>
      <w:r w:rsidRPr="00771E6E">
        <w:rPr>
          <w:i/>
          <w:iCs/>
        </w:rPr>
        <w:t xml:space="preserve"> </w:t>
      </w:r>
      <w:proofErr w:type="spellStart"/>
      <w:r w:rsidRPr="00771E6E">
        <w:rPr>
          <w:i/>
          <w:iCs/>
        </w:rPr>
        <w:t>agli</w:t>
      </w:r>
      <w:proofErr w:type="spellEnd"/>
      <w:r w:rsidRPr="00771E6E">
        <w:rPr>
          <w:i/>
          <w:iCs/>
        </w:rPr>
        <w:t xml:space="preserve"> </w:t>
      </w:r>
      <w:proofErr w:type="spellStart"/>
      <w:r w:rsidRPr="00771E6E">
        <w:rPr>
          <w:i/>
          <w:iCs/>
        </w:rPr>
        <w:t>occhi</w:t>
      </w:r>
      <w:proofErr w:type="spellEnd"/>
      <w:r w:rsidRPr="00771E6E">
        <w:rPr>
          <w:i/>
          <w:iCs/>
        </w:rPr>
        <w:t xml:space="preserve">: </w:t>
      </w:r>
      <w:proofErr w:type="spellStart"/>
      <w:r w:rsidRPr="00771E6E">
        <w:rPr>
          <w:i/>
          <w:iCs/>
        </w:rPr>
        <w:t>atti</w:t>
      </w:r>
      <w:proofErr w:type="spellEnd"/>
      <w:r w:rsidRPr="00771E6E">
        <w:rPr>
          <w:i/>
          <w:iCs/>
        </w:rPr>
        <w:t xml:space="preserve"> </w:t>
      </w:r>
      <w:proofErr w:type="spellStart"/>
      <w:r w:rsidRPr="00771E6E">
        <w:rPr>
          <w:i/>
          <w:iCs/>
        </w:rPr>
        <w:t>della</w:t>
      </w:r>
      <w:proofErr w:type="spellEnd"/>
      <w:r w:rsidRPr="00771E6E">
        <w:rPr>
          <w:i/>
          <w:iCs/>
        </w:rPr>
        <w:t xml:space="preserve"> </w:t>
      </w:r>
      <w:proofErr w:type="spellStart"/>
      <w:r w:rsidRPr="00771E6E">
        <w:rPr>
          <w:i/>
          <w:iCs/>
        </w:rPr>
        <w:t>giornata</w:t>
      </w:r>
      <w:proofErr w:type="spellEnd"/>
      <w:r w:rsidRPr="00771E6E">
        <w:rPr>
          <w:i/>
          <w:iCs/>
        </w:rPr>
        <w:t xml:space="preserve"> di studio in </w:t>
      </w:r>
      <w:proofErr w:type="spellStart"/>
      <w:r w:rsidRPr="00771E6E">
        <w:rPr>
          <w:i/>
          <w:iCs/>
        </w:rPr>
        <w:t>ricordo</w:t>
      </w:r>
      <w:proofErr w:type="spellEnd"/>
      <w:r w:rsidRPr="00771E6E">
        <w:rPr>
          <w:i/>
          <w:iCs/>
        </w:rPr>
        <w:t xml:space="preserve"> di Lisa </w:t>
      </w:r>
      <w:proofErr w:type="spellStart"/>
      <w:r w:rsidRPr="00771E6E">
        <w:rPr>
          <w:i/>
          <w:iCs/>
        </w:rPr>
        <w:t>Venturini</w:t>
      </w:r>
      <w:proofErr w:type="spellEnd"/>
      <w:r w:rsidRPr="00771E6E">
        <w:t xml:space="preserve">, edited by Nicoletta </w:t>
      </w:r>
      <w:proofErr w:type="spellStart"/>
      <w:r w:rsidRPr="00771E6E">
        <w:t>Baldini</w:t>
      </w:r>
      <w:proofErr w:type="spellEnd"/>
      <w:r w:rsidRPr="00771E6E">
        <w:t xml:space="preserve">, 53–63. Florence: Fondazione di </w:t>
      </w:r>
      <w:proofErr w:type="spellStart"/>
      <w:r w:rsidRPr="00771E6E">
        <w:t>studi</w:t>
      </w:r>
      <w:proofErr w:type="spellEnd"/>
      <w:r w:rsidRPr="00771E6E">
        <w:t xml:space="preserve"> di </w:t>
      </w:r>
      <w:proofErr w:type="spellStart"/>
      <w:r w:rsidRPr="00771E6E">
        <w:t>storia</w:t>
      </w:r>
      <w:proofErr w:type="spellEnd"/>
      <w:r w:rsidRPr="00771E6E">
        <w:t xml:space="preserve"> </w:t>
      </w:r>
      <w:proofErr w:type="spellStart"/>
      <w:r w:rsidRPr="00771E6E">
        <w:t>dell’arte</w:t>
      </w:r>
      <w:proofErr w:type="spellEnd"/>
      <w:r w:rsidRPr="00771E6E">
        <w:t xml:space="preserve"> Roberto </w:t>
      </w:r>
      <w:proofErr w:type="spellStart"/>
      <w:r w:rsidRPr="00771E6E">
        <w:t>Longhi</w:t>
      </w:r>
      <w:proofErr w:type="spellEnd"/>
      <w:r w:rsidRPr="00771E6E">
        <w:t>, 2007.</w:t>
      </w:r>
    </w:p>
    <w:p w14:paraId="0F5EEA9E" w14:textId="77777777" w:rsidR="00F33779" w:rsidRPr="00771E6E" w:rsidRDefault="00F33779" w:rsidP="00F33779">
      <w:pPr>
        <w:pStyle w:val="Bibliography"/>
      </w:pPr>
      <w:r w:rsidRPr="00771E6E">
        <w:t xml:space="preserve">Nelson, Robert S, ed. </w:t>
      </w:r>
      <w:r w:rsidRPr="00771E6E">
        <w:rPr>
          <w:i/>
          <w:iCs/>
        </w:rPr>
        <w:t>Visuality before and beyond the Renaissance: Seeing as Others Saw</w:t>
      </w:r>
      <w:r w:rsidRPr="00771E6E">
        <w:t>. Cambridge: Cambridge University Press, 2000.</w:t>
      </w:r>
    </w:p>
    <w:p w14:paraId="475B6CD7" w14:textId="77777777" w:rsidR="00F33779" w:rsidRPr="00771E6E" w:rsidRDefault="00F33779" w:rsidP="00F33779">
      <w:pPr>
        <w:pStyle w:val="Bibliography"/>
      </w:pPr>
      <w:proofErr w:type="spellStart"/>
      <w:r w:rsidRPr="00771E6E">
        <w:t>Newbigin</w:t>
      </w:r>
      <w:proofErr w:type="spellEnd"/>
      <w:r w:rsidRPr="00771E6E">
        <w:t xml:space="preserve">, </w:t>
      </w:r>
      <w:proofErr w:type="spellStart"/>
      <w:r w:rsidRPr="00771E6E">
        <w:t>Nerida</w:t>
      </w:r>
      <w:proofErr w:type="spellEnd"/>
      <w:r w:rsidRPr="00771E6E">
        <w:t xml:space="preserve">. </w:t>
      </w:r>
      <w:r w:rsidRPr="00771E6E">
        <w:rPr>
          <w:i/>
          <w:iCs/>
        </w:rPr>
        <w:t xml:space="preserve">Feste </w:t>
      </w:r>
      <w:proofErr w:type="spellStart"/>
      <w:r w:rsidRPr="00771E6E">
        <w:rPr>
          <w:i/>
          <w:iCs/>
        </w:rPr>
        <w:t>d’Oltrarno</w:t>
      </w:r>
      <w:proofErr w:type="spellEnd"/>
      <w:r w:rsidRPr="00771E6E">
        <w:rPr>
          <w:i/>
          <w:iCs/>
        </w:rPr>
        <w:t>: Plays in Churches in Fifteenth-Century Florence</w:t>
      </w:r>
      <w:r w:rsidRPr="00771E6E">
        <w:t xml:space="preserve">. Firenze: </w:t>
      </w:r>
      <w:proofErr w:type="spellStart"/>
      <w:r w:rsidRPr="00771E6E">
        <w:t>Olschki</w:t>
      </w:r>
      <w:proofErr w:type="spellEnd"/>
      <w:r w:rsidRPr="00771E6E">
        <w:t>, 1996.</w:t>
      </w:r>
    </w:p>
    <w:p w14:paraId="196B4BD9" w14:textId="77777777" w:rsidR="00F33779" w:rsidRPr="00771E6E" w:rsidRDefault="00F33779" w:rsidP="00F33779">
      <w:pPr>
        <w:pStyle w:val="Bibliography"/>
      </w:pPr>
      <w:r w:rsidRPr="00771E6E">
        <w:t xml:space="preserve">———. “Pavilioned in Splendour: Performing Heaven in Fifteenth-Century Florence.” In </w:t>
      </w:r>
      <w:r w:rsidRPr="00771E6E">
        <w:rPr>
          <w:i/>
          <w:iCs/>
        </w:rPr>
        <w:t>Medieval Theatre Performance: Actors, Dancers, Automata and Their Audiences</w:t>
      </w:r>
      <w:r w:rsidRPr="00771E6E">
        <w:t xml:space="preserve">, edited by Philip Butterworth and Katie </w:t>
      </w:r>
      <w:proofErr w:type="spellStart"/>
      <w:r w:rsidRPr="00771E6E">
        <w:t>Normington</w:t>
      </w:r>
      <w:proofErr w:type="spellEnd"/>
      <w:r w:rsidRPr="00771E6E">
        <w:t>, 93–106. Cambridge: D. S. Brewer, 2017.</w:t>
      </w:r>
    </w:p>
    <w:p w14:paraId="44499235" w14:textId="77777777" w:rsidR="00F33779" w:rsidRPr="00771E6E" w:rsidRDefault="00F33779" w:rsidP="00F33779">
      <w:pPr>
        <w:pStyle w:val="Bibliography"/>
      </w:pPr>
      <w:r w:rsidRPr="00771E6E">
        <w:t xml:space="preserve">Olson, Roberta J. M. “Lost and Partially Found: The Tondo, a Significant Florentine Art Form, in Documents of the Renaissance.” </w:t>
      </w:r>
      <w:proofErr w:type="spellStart"/>
      <w:r w:rsidRPr="00771E6E">
        <w:rPr>
          <w:i/>
          <w:iCs/>
        </w:rPr>
        <w:t>Artibus</w:t>
      </w:r>
      <w:proofErr w:type="spellEnd"/>
      <w:r w:rsidRPr="00771E6E">
        <w:rPr>
          <w:i/>
          <w:iCs/>
        </w:rPr>
        <w:t xml:space="preserve"> et </w:t>
      </w:r>
      <w:proofErr w:type="spellStart"/>
      <w:r w:rsidRPr="00771E6E">
        <w:rPr>
          <w:i/>
          <w:iCs/>
        </w:rPr>
        <w:t>Historiae</w:t>
      </w:r>
      <w:proofErr w:type="spellEnd"/>
      <w:r w:rsidRPr="00771E6E">
        <w:t xml:space="preserve"> 14, no. 27 (1993): 31–65.</w:t>
      </w:r>
    </w:p>
    <w:p w14:paraId="557AD4F1" w14:textId="77777777" w:rsidR="00F33779" w:rsidRPr="00771E6E" w:rsidRDefault="00F33779" w:rsidP="00F33779">
      <w:pPr>
        <w:pStyle w:val="Bibliography"/>
      </w:pPr>
      <w:r w:rsidRPr="00771E6E">
        <w:t xml:space="preserve">———. </w:t>
      </w:r>
      <w:r w:rsidRPr="00771E6E">
        <w:rPr>
          <w:i/>
          <w:iCs/>
        </w:rPr>
        <w:t>The Florentine Tondo</w:t>
      </w:r>
      <w:r w:rsidRPr="00771E6E">
        <w:t>. Oxford: Oxford University Press, 2000.</w:t>
      </w:r>
    </w:p>
    <w:p w14:paraId="64480BA6" w14:textId="77777777" w:rsidR="00F33779" w:rsidRPr="00771E6E" w:rsidRDefault="00F33779" w:rsidP="00F33779">
      <w:pPr>
        <w:pStyle w:val="Bibliography"/>
      </w:pPr>
      <w:r w:rsidRPr="00771E6E">
        <w:t xml:space="preserve">Olson, Roberta J. M, and Daphne Barbour. “Toward a New Method for Studying Glazed </w:t>
      </w:r>
      <w:proofErr w:type="spellStart"/>
      <w:r w:rsidRPr="00771E6E">
        <w:t>Terracottas</w:t>
      </w:r>
      <w:proofErr w:type="spellEnd"/>
      <w:r w:rsidRPr="00771E6E">
        <w:t xml:space="preserve">: Examining a Group of Tondi by Andrea Della Robbia.” </w:t>
      </w:r>
      <w:r w:rsidRPr="00771E6E">
        <w:rPr>
          <w:i/>
          <w:iCs/>
        </w:rPr>
        <w:t>Apollo.</w:t>
      </w:r>
      <w:r w:rsidRPr="00771E6E">
        <w:t>, 2001, 44–52.</w:t>
      </w:r>
    </w:p>
    <w:p w14:paraId="3AF3C0F0" w14:textId="77777777" w:rsidR="00F33779" w:rsidRPr="00771E6E" w:rsidRDefault="00F33779" w:rsidP="00F33779">
      <w:pPr>
        <w:pStyle w:val="Bibliography"/>
      </w:pPr>
      <w:r w:rsidRPr="00771E6E">
        <w:t xml:space="preserve">Olson, Roberta J.M. “An Old Mystery Solved: The 1487 Payment Document to Botticelli for a Tondo.” </w:t>
      </w:r>
      <w:proofErr w:type="spellStart"/>
      <w:r w:rsidRPr="00771E6E">
        <w:rPr>
          <w:i/>
          <w:iCs/>
        </w:rPr>
        <w:t>Mitteilungen</w:t>
      </w:r>
      <w:proofErr w:type="spellEnd"/>
      <w:r w:rsidRPr="00771E6E">
        <w:rPr>
          <w:i/>
          <w:iCs/>
        </w:rPr>
        <w:t xml:space="preserve"> Des </w:t>
      </w:r>
      <w:proofErr w:type="spellStart"/>
      <w:r w:rsidRPr="00771E6E">
        <w:rPr>
          <w:i/>
          <w:iCs/>
        </w:rPr>
        <w:t>Kunsthistorischen</w:t>
      </w:r>
      <w:proofErr w:type="spellEnd"/>
      <w:r w:rsidRPr="00771E6E">
        <w:rPr>
          <w:i/>
          <w:iCs/>
        </w:rPr>
        <w:t xml:space="preserve"> Institutes in </w:t>
      </w:r>
      <w:proofErr w:type="spellStart"/>
      <w:r w:rsidRPr="00771E6E">
        <w:rPr>
          <w:i/>
          <w:iCs/>
        </w:rPr>
        <w:t>Florenz</w:t>
      </w:r>
      <w:proofErr w:type="spellEnd"/>
      <w:r w:rsidRPr="00771E6E">
        <w:t xml:space="preserve"> 39, no. 2/3 (1995): 393–96.</w:t>
      </w:r>
    </w:p>
    <w:p w14:paraId="343D84AA" w14:textId="77777777" w:rsidR="00F33779" w:rsidRPr="00771E6E" w:rsidRDefault="00F33779" w:rsidP="00F33779">
      <w:pPr>
        <w:pStyle w:val="Bibliography"/>
      </w:pPr>
      <w:r w:rsidRPr="00771E6E">
        <w:t xml:space="preserve">O’Malley, Michelle. “Quality Choices in the Production of Renaissance Art: Botticelli and Demand.” </w:t>
      </w:r>
      <w:r w:rsidRPr="00771E6E">
        <w:rPr>
          <w:i/>
          <w:iCs/>
        </w:rPr>
        <w:t>Renaissance Studies</w:t>
      </w:r>
      <w:r w:rsidRPr="00771E6E">
        <w:t xml:space="preserve"> 28, no. 1 (2014): 4–32.</w:t>
      </w:r>
    </w:p>
    <w:p w14:paraId="3717408E" w14:textId="77777777" w:rsidR="00F33779" w:rsidRPr="00771E6E" w:rsidRDefault="00F33779" w:rsidP="00F33779">
      <w:pPr>
        <w:pStyle w:val="Bibliography"/>
      </w:pPr>
      <w:r w:rsidRPr="00771E6E">
        <w:t xml:space="preserve">Orme, Nicholas. </w:t>
      </w:r>
      <w:r w:rsidRPr="00771E6E">
        <w:rPr>
          <w:i/>
          <w:iCs/>
        </w:rPr>
        <w:t>Medieval Children</w:t>
      </w:r>
      <w:r w:rsidRPr="00771E6E">
        <w:t xml:space="preserve">. New Haven </w:t>
      </w:r>
      <w:proofErr w:type="spellStart"/>
      <w:r w:rsidRPr="00771E6E">
        <w:t>andLondon</w:t>
      </w:r>
      <w:proofErr w:type="spellEnd"/>
      <w:r w:rsidRPr="00771E6E">
        <w:t>: Yale University Press, 2003.</w:t>
      </w:r>
    </w:p>
    <w:p w14:paraId="1214566A" w14:textId="77777777" w:rsidR="00F33779" w:rsidRPr="00771E6E" w:rsidRDefault="00F33779" w:rsidP="00F33779">
      <w:pPr>
        <w:pStyle w:val="Bibliography"/>
      </w:pPr>
      <w:r w:rsidRPr="00771E6E">
        <w:t xml:space="preserve">———. </w:t>
      </w:r>
      <w:r w:rsidRPr="00771E6E">
        <w:rPr>
          <w:i/>
          <w:iCs/>
        </w:rPr>
        <w:t>Medieval Schools: From Roman Britain to Renaissance England</w:t>
      </w:r>
      <w:r w:rsidRPr="00771E6E">
        <w:t>. New Haven and London: Yale University Press, 2006.</w:t>
      </w:r>
    </w:p>
    <w:p w14:paraId="3143D748" w14:textId="77777777" w:rsidR="00F33779" w:rsidRPr="00771E6E" w:rsidRDefault="00F33779" w:rsidP="00F33779">
      <w:pPr>
        <w:pStyle w:val="Bibliography"/>
      </w:pPr>
      <w:proofErr w:type="spellStart"/>
      <w:r w:rsidRPr="00771E6E">
        <w:t>Palisca</w:t>
      </w:r>
      <w:proofErr w:type="spellEnd"/>
      <w:r w:rsidRPr="00771E6E">
        <w:t xml:space="preserve">, Claude V. “Introduction.” In </w:t>
      </w:r>
      <w:r w:rsidRPr="00771E6E">
        <w:rPr>
          <w:i/>
          <w:iCs/>
        </w:rPr>
        <w:t>Fundamentals of Music</w:t>
      </w:r>
      <w:r w:rsidRPr="00771E6E">
        <w:t xml:space="preserve">, edited by Claude V. </w:t>
      </w:r>
      <w:proofErr w:type="spellStart"/>
      <w:r w:rsidRPr="00771E6E">
        <w:t>Palisca</w:t>
      </w:r>
      <w:proofErr w:type="spellEnd"/>
      <w:r w:rsidRPr="00771E6E">
        <w:t>, translated by Calvin M. Bower, xiii–xvi. New Haven and London: Yale University Press, 1989.</w:t>
      </w:r>
    </w:p>
    <w:p w14:paraId="12A6B688" w14:textId="77777777" w:rsidR="00F33779" w:rsidRPr="00771E6E" w:rsidRDefault="00F33779" w:rsidP="00F33779">
      <w:pPr>
        <w:pStyle w:val="Bibliography"/>
      </w:pPr>
      <w:r w:rsidRPr="00771E6E">
        <w:lastRenderedPageBreak/>
        <w:t xml:space="preserve">Palmer, Allison Lee. “The Maternal Madonna in Quattrocento Florence: Social Ideals in the Family of the Patriarch.” </w:t>
      </w:r>
      <w:r w:rsidRPr="00771E6E">
        <w:rPr>
          <w:i/>
          <w:iCs/>
        </w:rPr>
        <w:t>Source: Notes in the History of Art</w:t>
      </w:r>
      <w:r w:rsidRPr="00771E6E">
        <w:t xml:space="preserve"> 21, no. 3 (2002): 7–14.</w:t>
      </w:r>
    </w:p>
    <w:p w14:paraId="20B53CED" w14:textId="77777777" w:rsidR="00F33779" w:rsidRPr="00771E6E" w:rsidRDefault="00F33779" w:rsidP="00F33779">
      <w:pPr>
        <w:pStyle w:val="Bibliography"/>
      </w:pPr>
      <w:r w:rsidRPr="00771E6E">
        <w:t xml:space="preserve">———. “The Walters’ </w:t>
      </w:r>
      <w:r w:rsidRPr="00771E6E">
        <w:rPr>
          <w:i/>
          <w:iCs/>
        </w:rPr>
        <w:t>Madonna and Child</w:t>
      </w:r>
      <w:r w:rsidRPr="00771E6E">
        <w:t xml:space="preserve"> Plaquette and Private Devotional Art in Early Renaissance Italy.” </w:t>
      </w:r>
      <w:r w:rsidRPr="00771E6E">
        <w:rPr>
          <w:i/>
          <w:iCs/>
        </w:rPr>
        <w:t>The Journal of the Walters Art Museum</w:t>
      </w:r>
      <w:r w:rsidRPr="00771E6E">
        <w:t xml:space="preserve"> 59 (2001): 73–84.</w:t>
      </w:r>
    </w:p>
    <w:p w14:paraId="63EF0871" w14:textId="77777777" w:rsidR="00F33779" w:rsidRPr="00771E6E" w:rsidRDefault="00F33779" w:rsidP="00F33779">
      <w:pPr>
        <w:pStyle w:val="Bibliography"/>
      </w:pPr>
      <w:r w:rsidRPr="00771E6E">
        <w:t xml:space="preserve">Paoli, Maria Pia. “Di </w:t>
      </w:r>
      <w:proofErr w:type="spellStart"/>
      <w:r w:rsidRPr="00771E6E">
        <w:t>madre</w:t>
      </w:r>
      <w:proofErr w:type="spellEnd"/>
      <w:r w:rsidRPr="00771E6E">
        <w:t xml:space="preserve"> in </w:t>
      </w:r>
      <w:proofErr w:type="spellStart"/>
      <w:r w:rsidRPr="00771E6E">
        <w:t>figlio</w:t>
      </w:r>
      <w:proofErr w:type="spellEnd"/>
      <w:r w:rsidRPr="00771E6E">
        <w:t xml:space="preserve">: per una </w:t>
      </w:r>
      <w:proofErr w:type="spellStart"/>
      <w:r w:rsidRPr="00771E6E">
        <w:t>storia</w:t>
      </w:r>
      <w:proofErr w:type="spellEnd"/>
      <w:r w:rsidRPr="00771E6E">
        <w:t xml:space="preserve"> </w:t>
      </w:r>
      <w:proofErr w:type="spellStart"/>
      <w:r w:rsidRPr="00771E6E">
        <w:t>dell’educazione</w:t>
      </w:r>
      <w:proofErr w:type="spellEnd"/>
      <w:r w:rsidRPr="00771E6E">
        <w:t xml:space="preserve"> </w:t>
      </w:r>
      <w:proofErr w:type="spellStart"/>
      <w:r w:rsidRPr="00771E6E">
        <w:t>alla</w:t>
      </w:r>
      <w:proofErr w:type="spellEnd"/>
      <w:r w:rsidRPr="00771E6E">
        <w:t xml:space="preserve"> </w:t>
      </w:r>
      <w:proofErr w:type="spellStart"/>
      <w:r w:rsidRPr="00771E6E">
        <w:t>corte</w:t>
      </w:r>
      <w:proofErr w:type="spellEnd"/>
      <w:r w:rsidRPr="00771E6E">
        <w:t xml:space="preserve"> </w:t>
      </w:r>
      <w:proofErr w:type="spellStart"/>
      <w:r w:rsidRPr="00771E6E">
        <w:t>dei</w:t>
      </w:r>
      <w:proofErr w:type="spellEnd"/>
      <w:r w:rsidRPr="00771E6E">
        <w:t xml:space="preserve"> Medici.” </w:t>
      </w:r>
      <w:proofErr w:type="spellStart"/>
      <w:r w:rsidRPr="00771E6E">
        <w:rPr>
          <w:i/>
          <w:iCs/>
        </w:rPr>
        <w:t>Annali</w:t>
      </w:r>
      <w:proofErr w:type="spellEnd"/>
      <w:r w:rsidRPr="00771E6E">
        <w:rPr>
          <w:i/>
          <w:iCs/>
        </w:rPr>
        <w:t xml:space="preserve"> di Storia di Firenze</w:t>
      </w:r>
      <w:r w:rsidRPr="00771E6E">
        <w:t xml:space="preserve"> 3 (October 2001): 65–145.</w:t>
      </w:r>
    </w:p>
    <w:p w14:paraId="4A98B14C" w14:textId="77777777" w:rsidR="009E2935" w:rsidRPr="00771E6E" w:rsidRDefault="00F33779" w:rsidP="009E2935">
      <w:pPr>
        <w:pStyle w:val="Bibliography"/>
      </w:pPr>
      <w:proofErr w:type="spellStart"/>
      <w:r w:rsidRPr="00771E6E">
        <w:t>Paolini</w:t>
      </w:r>
      <w:proofErr w:type="spellEnd"/>
      <w:r w:rsidRPr="00771E6E">
        <w:t xml:space="preserve">, Claudio. “Chests.” In </w:t>
      </w:r>
      <w:proofErr w:type="gramStart"/>
      <w:r w:rsidRPr="00771E6E">
        <w:rPr>
          <w:i/>
          <w:iCs/>
        </w:rPr>
        <w:t>At</w:t>
      </w:r>
      <w:proofErr w:type="gramEnd"/>
      <w:r w:rsidRPr="00771E6E">
        <w:rPr>
          <w:i/>
          <w:iCs/>
        </w:rPr>
        <w:t xml:space="preserve"> Home in Renaissance Italy</w:t>
      </w:r>
      <w:r w:rsidRPr="00771E6E">
        <w:t xml:space="preserve">, edited by Marta </w:t>
      </w:r>
      <w:proofErr w:type="spellStart"/>
      <w:r w:rsidRPr="00771E6E">
        <w:t>Ajmar-Wollheim</w:t>
      </w:r>
      <w:proofErr w:type="spellEnd"/>
      <w:r w:rsidRPr="00771E6E">
        <w:t xml:space="preserve"> and Flora Dennis, 120–21. London: V&amp;A Publications, 2006.</w:t>
      </w:r>
    </w:p>
    <w:p w14:paraId="3629428E" w14:textId="06D83637" w:rsidR="009E2935" w:rsidRPr="00771E6E" w:rsidRDefault="009E2935" w:rsidP="009E2935">
      <w:pPr>
        <w:pStyle w:val="Bibliography"/>
      </w:pPr>
      <w:r w:rsidRPr="00771E6E">
        <w:t xml:space="preserve">Parshall, Peter and Rainer Schoch. “Early Woodcuts and the Reception of the Primitive.” In Peter Parshall and Rainer Schoch, with David S. </w:t>
      </w:r>
      <w:proofErr w:type="spellStart"/>
      <w:r w:rsidRPr="00771E6E">
        <w:t>Areford</w:t>
      </w:r>
      <w:proofErr w:type="spellEnd"/>
      <w:r w:rsidRPr="00771E6E">
        <w:t>, Richard S. Field, and Peter Schmidt,</w:t>
      </w:r>
      <w:r w:rsidRPr="00771E6E">
        <w:rPr>
          <w:i/>
          <w:iCs/>
        </w:rPr>
        <w:t xml:space="preserve"> Origins of European Printmaking: Fifteenth-Century Woodcuts and Their Public</w:t>
      </w:r>
      <w:r w:rsidRPr="00771E6E">
        <w:t xml:space="preserve">. Washington: National Gallery of Art; Nuremberg: </w:t>
      </w:r>
      <w:proofErr w:type="spellStart"/>
      <w:r w:rsidRPr="00771E6E">
        <w:t>Germanisches</w:t>
      </w:r>
      <w:proofErr w:type="spellEnd"/>
      <w:r w:rsidRPr="00771E6E">
        <w:t xml:space="preserve"> </w:t>
      </w:r>
      <w:proofErr w:type="spellStart"/>
      <w:r w:rsidRPr="00771E6E">
        <w:t>Nationalmuseum</w:t>
      </w:r>
      <w:proofErr w:type="spellEnd"/>
      <w:r w:rsidRPr="00771E6E">
        <w:t>; New Haven: in association with Yale University Press, 2005, 1-17.</w:t>
      </w:r>
    </w:p>
    <w:p w14:paraId="4BAFC52F" w14:textId="77777777" w:rsidR="00F33779" w:rsidRPr="00771E6E" w:rsidRDefault="00F33779" w:rsidP="00F33779">
      <w:pPr>
        <w:pStyle w:val="Bibliography"/>
      </w:pPr>
      <w:r w:rsidRPr="00771E6E">
        <w:t xml:space="preserve">Peers, Glenn. </w:t>
      </w:r>
      <w:r w:rsidRPr="00771E6E">
        <w:rPr>
          <w:i/>
          <w:iCs/>
        </w:rPr>
        <w:t>Subtle Bodies: Representing Angels in Byzantium</w:t>
      </w:r>
      <w:r w:rsidRPr="00771E6E">
        <w:t>. Berkeley: University of California Press, 2001.</w:t>
      </w:r>
    </w:p>
    <w:p w14:paraId="312C82A7" w14:textId="6ED2B5E1" w:rsidR="00F33779" w:rsidRPr="00771E6E" w:rsidRDefault="00F33779" w:rsidP="00F33779">
      <w:pPr>
        <w:pStyle w:val="Bibliography"/>
      </w:pPr>
      <w:r w:rsidRPr="00771E6E">
        <w:t xml:space="preserve">Penny, Nicholas. </w:t>
      </w:r>
      <w:r w:rsidRPr="00771E6E">
        <w:rPr>
          <w:i/>
          <w:iCs/>
        </w:rPr>
        <w:t>National Gallery Catalogues the Sixteenth Century Italian Paintings: Volume II: Venice 1540-1600</w:t>
      </w:r>
      <w:r w:rsidRPr="00771E6E">
        <w:t>. London: National Gallery Company, 2008.</w:t>
      </w:r>
    </w:p>
    <w:p w14:paraId="139D0DB3" w14:textId="77777777" w:rsidR="00F33779" w:rsidRPr="00771E6E" w:rsidRDefault="00F33779" w:rsidP="00F33779">
      <w:pPr>
        <w:pStyle w:val="Bibliography"/>
      </w:pPr>
      <w:r w:rsidRPr="00771E6E">
        <w:t xml:space="preserve">Perkins, Leeman Lloyd. </w:t>
      </w:r>
      <w:r w:rsidRPr="00771E6E">
        <w:rPr>
          <w:i/>
          <w:iCs/>
        </w:rPr>
        <w:t>Music in the Age of the Renaissance</w:t>
      </w:r>
      <w:r w:rsidRPr="00771E6E">
        <w:t>. New York and London: Norton, 1999.</w:t>
      </w:r>
    </w:p>
    <w:p w14:paraId="0B233504" w14:textId="77777777" w:rsidR="00F33779" w:rsidRPr="00771E6E" w:rsidRDefault="00F33779" w:rsidP="00F33779">
      <w:pPr>
        <w:pStyle w:val="Bibliography"/>
      </w:pPr>
      <w:proofErr w:type="spellStart"/>
      <w:r w:rsidRPr="00771E6E">
        <w:t>Pietschmann</w:t>
      </w:r>
      <w:proofErr w:type="spellEnd"/>
      <w:r w:rsidRPr="00771E6E">
        <w:t xml:space="preserve">, Klaus. “The Sense of Hearing Politicized: Liturgical Polyphony and Political Ambition in Fifteenth-Century Florence.” In </w:t>
      </w:r>
      <w:r w:rsidRPr="00771E6E">
        <w:rPr>
          <w:i/>
          <w:iCs/>
        </w:rPr>
        <w:t>Religion and the Senses in Early Modern Europe</w:t>
      </w:r>
      <w:r w:rsidRPr="00771E6E">
        <w:t xml:space="preserve">, edited by </w:t>
      </w:r>
      <w:proofErr w:type="spellStart"/>
      <w:r w:rsidRPr="00771E6E">
        <w:t>Wietse</w:t>
      </w:r>
      <w:proofErr w:type="spellEnd"/>
      <w:r w:rsidRPr="00771E6E">
        <w:t xml:space="preserve"> de Boer and Christine </w:t>
      </w:r>
      <w:proofErr w:type="spellStart"/>
      <w:r w:rsidRPr="00771E6E">
        <w:t>Göttler</w:t>
      </w:r>
      <w:proofErr w:type="spellEnd"/>
      <w:r w:rsidRPr="00771E6E">
        <w:t>, 271–88. Leiden and Boston: Brill, 2013.</w:t>
      </w:r>
    </w:p>
    <w:p w14:paraId="60B59BA4" w14:textId="77777777" w:rsidR="00F33779" w:rsidRPr="00771E6E" w:rsidRDefault="00F33779" w:rsidP="00F33779">
      <w:pPr>
        <w:pStyle w:val="Bibliography"/>
      </w:pPr>
      <w:proofErr w:type="spellStart"/>
      <w:r w:rsidRPr="00771E6E">
        <w:t>Pirrotta</w:t>
      </w:r>
      <w:proofErr w:type="spellEnd"/>
      <w:r w:rsidRPr="00771E6E">
        <w:t xml:space="preserve">, Nino. “Music and Cultural Tendencies in 15th-Century Italy.” </w:t>
      </w:r>
      <w:r w:rsidRPr="00771E6E">
        <w:rPr>
          <w:i/>
          <w:iCs/>
        </w:rPr>
        <w:t>Journal of the American Musicological Society</w:t>
      </w:r>
      <w:r w:rsidRPr="00771E6E">
        <w:t xml:space="preserve"> 19, no. 2 (1966): 127–61. </w:t>
      </w:r>
    </w:p>
    <w:p w14:paraId="3220BD78" w14:textId="77777777" w:rsidR="00F33779" w:rsidRPr="00771E6E" w:rsidRDefault="00F33779" w:rsidP="00F33779">
      <w:pPr>
        <w:pStyle w:val="Bibliography"/>
      </w:pPr>
      <w:r w:rsidRPr="00771E6E">
        <w:t xml:space="preserve">Plaisance, Michel. </w:t>
      </w:r>
      <w:r w:rsidRPr="00771E6E">
        <w:rPr>
          <w:i/>
          <w:iCs/>
        </w:rPr>
        <w:t>Florence in the Time of the Medici: Public Celebrations, Politics, and Literature in the Fifteenth and Sixteenth Centuries</w:t>
      </w:r>
      <w:r w:rsidRPr="00771E6E">
        <w:t>. Edited and translated by Nicole Carew-Reid. Toronto: Centre for Reformation and Renaissance Studies, 2008.</w:t>
      </w:r>
    </w:p>
    <w:p w14:paraId="2D1164BC" w14:textId="77777777" w:rsidR="00F33779" w:rsidRPr="00771E6E" w:rsidRDefault="00F33779" w:rsidP="00F33779">
      <w:pPr>
        <w:pStyle w:val="Bibliography"/>
      </w:pPr>
      <w:r w:rsidRPr="00771E6E">
        <w:t xml:space="preserve">Poirier, John C. </w:t>
      </w:r>
      <w:r w:rsidRPr="00771E6E">
        <w:rPr>
          <w:i/>
          <w:iCs/>
        </w:rPr>
        <w:t>The Tongues of Angels: The Concept of Angelic Languages in Classical Jewish and Christian Texts</w:t>
      </w:r>
      <w:r w:rsidRPr="00771E6E">
        <w:t xml:space="preserve">. Tübingen: Mohr </w:t>
      </w:r>
      <w:proofErr w:type="spellStart"/>
      <w:r w:rsidRPr="00771E6E">
        <w:t>Siebeck</w:t>
      </w:r>
      <w:proofErr w:type="spellEnd"/>
      <w:r w:rsidRPr="00771E6E">
        <w:t>, 2010.</w:t>
      </w:r>
    </w:p>
    <w:p w14:paraId="496D40C1" w14:textId="77777777" w:rsidR="00731414" w:rsidRPr="00771E6E" w:rsidRDefault="00731414" w:rsidP="00F33779">
      <w:pPr>
        <w:pStyle w:val="Bibliography"/>
      </w:pPr>
      <w:proofErr w:type="spellStart"/>
      <w:r w:rsidRPr="00771E6E">
        <w:t>Pon</w:t>
      </w:r>
      <w:proofErr w:type="spellEnd"/>
      <w:r w:rsidRPr="00771E6E">
        <w:t xml:space="preserve">, Lisa. </w:t>
      </w:r>
      <w:r w:rsidRPr="00771E6E">
        <w:rPr>
          <w:i/>
          <w:iCs/>
        </w:rPr>
        <w:t xml:space="preserve">Printed icon in early modern Italy: </w:t>
      </w:r>
      <w:proofErr w:type="spellStart"/>
      <w:r w:rsidRPr="00771E6E">
        <w:rPr>
          <w:i/>
          <w:iCs/>
        </w:rPr>
        <w:t>Forlì's</w:t>
      </w:r>
      <w:proofErr w:type="spellEnd"/>
      <w:r w:rsidRPr="00771E6E">
        <w:rPr>
          <w:i/>
          <w:iCs/>
        </w:rPr>
        <w:t xml:space="preserve"> Madonna of the fire</w:t>
      </w:r>
      <w:r w:rsidRPr="00771E6E">
        <w:t xml:space="preserve">. Cambridge: Cambridge University Press, 2015. </w:t>
      </w:r>
    </w:p>
    <w:p w14:paraId="0367E778" w14:textId="6F89B754" w:rsidR="00731414" w:rsidRPr="00771E6E" w:rsidRDefault="00731414" w:rsidP="00F33779">
      <w:pPr>
        <w:pStyle w:val="Bibliography"/>
      </w:pPr>
      <w:proofErr w:type="spellStart"/>
      <w:r w:rsidRPr="00771E6E">
        <w:t>Pon</w:t>
      </w:r>
      <w:proofErr w:type="spellEnd"/>
      <w:r w:rsidRPr="00771E6E">
        <w:t xml:space="preserve">, Lisa. “Il </w:t>
      </w:r>
      <w:proofErr w:type="spellStart"/>
      <w:r w:rsidRPr="00771E6E">
        <w:t>Tabernacolo</w:t>
      </w:r>
      <w:proofErr w:type="spellEnd"/>
      <w:r w:rsidRPr="00771E6E">
        <w:t xml:space="preserve"> e la </w:t>
      </w:r>
      <w:proofErr w:type="spellStart"/>
      <w:r w:rsidRPr="00771E6E">
        <w:t>Processione</w:t>
      </w:r>
      <w:proofErr w:type="spellEnd"/>
      <w:r w:rsidRPr="00771E6E">
        <w:t xml:space="preserve">: la Madonna del Fuoco di Forlì come </w:t>
      </w:r>
      <w:proofErr w:type="spellStart"/>
      <w:r w:rsidRPr="00771E6E">
        <w:t>Sito</w:t>
      </w:r>
      <w:proofErr w:type="spellEnd"/>
      <w:r w:rsidRPr="00771E6E">
        <w:t xml:space="preserve"> </w:t>
      </w:r>
      <w:proofErr w:type="spellStart"/>
      <w:r w:rsidRPr="00771E6E">
        <w:t>Funzionale</w:t>
      </w:r>
      <w:proofErr w:type="spellEnd"/>
      <w:r w:rsidRPr="00771E6E">
        <w:t xml:space="preserve">.” In </w:t>
      </w:r>
      <w:r w:rsidRPr="00771E6E">
        <w:rPr>
          <w:i/>
          <w:iCs/>
        </w:rPr>
        <w:t xml:space="preserve">I </w:t>
      </w:r>
      <w:proofErr w:type="spellStart"/>
      <w:r w:rsidRPr="00771E6E">
        <w:rPr>
          <w:i/>
          <w:iCs/>
        </w:rPr>
        <w:t>Territori</w:t>
      </w:r>
      <w:proofErr w:type="spellEnd"/>
      <w:r w:rsidRPr="00771E6E">
        <w:rPr>
          <w:i/>
          <w:iCs/>
        </w:rPr>
        <w:t xml:space="preserve"> del </w:t>
      </w:r>
      <w:proofErr w:type="spellStart"/>
      <w:r w:rsidRPr="00771E6E">
        <w:rPr>
          <w:i/>
          <w:iCs/>
        </w:rPr>
        <w:t>patrimonio</w:t>
      </w:r>
      <w:proofErr w:type="spellEnd"/>
      <w:r w:rsidRPr="00771E6E">
        <w:rPr>
          <w:i/>
          <w:iCs/>
        </w:rPr>
        <w:t xml:space="preserve">: </w:t>
      </w:r>
      <w:proofErr w:type="spellStart"/>
      <w:r w:rsidRPr="00771E6E">
        <w:rPr>
          <w:i/>
          <w:iCs/>
        </w:rPr>
        <w:t>Dinamiche</w:t>
      </w:r>
      <w:proofErr w:type="spellEnd"/>
      <w:r w:rsidRPr="00771E6E">
        <w:rPr>
          <w:i/>
          <w:iCs/>
        </w:rPr>
        <w:t xml:space="preserve"> </w:t>
      </w:r>
      <w:proofErr w:type="spellStart"/>
      <w:r w:rsidRPr="00771E6E">
        <w:rPr>
          <w:i/>
          <w:iCs/>
        </w:rPr>
        <w:t>della</w:t>
      </w:r>
      <w:proofErr w:type="spellEnd"/>
      <w:r w:rsidRPr="00771E6E">
        <w:rPr>
          <w:i/>
          <w:iCs/>
        </w:rPr>
        <w:t xml:space="preserve"> </w:t>
      </w:r>
      <w:proofErr w:type="spellStart"/>
      <w:r w:rsidRPr="00771E6E">
        <w:rPr>
          <w:i/>
          <w:iCs/>
        </w:rPr>
        <w:t>patrimonializzazione</w:t>
      </w:r>
      <w:proofErr w:type="spellEnd"/>
      <w:r w:rsidRPr="00771E6E">
        <w:rPr>
          <w:i/>
          <w:iCs/>
        </w:rPr>
        <w:t xml:space="preserve"> e culture </w:t>
      </w:r>
      <w:proofErr w:type="spellStart"/>
      <w:r w:rsidRPr="00771E6E">
        <w:rPr>
          <w:i/>
          <w:iCs/>
        </w:rPr>
        <w:t>locali</w:t>
      </w:r>
      <w:proofErr w:type="spellEnd"/>
      <w:r w:rsidRPr="00771E6E">
        <w:rPr>
          <w:i/>
          <w:iCs/>
        </w:rPr>
        <w:t xml:space="preserve"> (</w:t>
      </w:r>
      <w:proofErr w:type="spellStart"/>
      <w:r w:rsidRPr="00771E6E">
        <w:rPr>
          <w:i/>
          <w:iCs/>
        </w:rPr>
        <w:t>secc</w:t>
      </w:r>
      <w:proofErr w:type="spellEnd"/>
      <w:r w:rsidRPr="00771E6E">
        <w:rPr>
          <w:i/>
          <w:iCs/>
        </w:rPr>
        <w:t>. XVII-XX)</w:t>
      </w:r>
      <w:r w:rsidRPr="00771E6E">
        <w:t xml:space="preserve">, edited by Roberto </w:t>
      </w:r>
      <w:proofErr w:type="spellStart"/>
      <w:r w:rsidRPr="00771E6E">
        <w:t>Balzani</w:t>
      </w:r>
      <w:proofErr w:type="spellEnd"/>
      <w:r w:rsidRPr="00771E6E">
        <w:t xml:space="preserve">. Bologna: </w:t>
      </w:r>
      <w:proofErr w:type="spellStart"/>
      <w:r w:rsidRPr="00771E6E">
        <w:t>Societa</w:t>
      </w:r>
      <w:proofErr w:type="spellEnd"/>
      <w:r w:rsidRPr="00771E6E">
        <w:t xml:space="preserve">̀ </w:t>
      </w:r>
      <w:proofErr w:type="spellStart"/>
      <w:r w:rsidRPr="00771E6E">
        <w:t>editrice</w:t>
      </w:r>
      <w:proofErr w:type="spellEnd"/>
      <w:r w:rsidRPr="00771E6E">
        <w:t xml:space="preserve"> </w:t>
      </w:r>
      <w:proofErr w:type="spellStart"/>
      <w:r w:rsidRPr="00771E6E">
        <w:t>il</w:t>
      </w:r>
      <w:proofErr w:type="spellEnd"/>
      <w:r w:rsidRPr="00771E6E">
        <w:t xml:space="preserve"> </w:t>
      </w:r>
      <w:proofErr w:type="spellStart"/>
      <w:r w:rsidRPr="00771E6E">
        <w:t>Mulino</w:t>
      </w:r>
      <w:proofErr w:type="spellEnd"/>
      <w:r w:rsidRPr="00771E6E">
        <w:t>, 2015, 63-93.</w:t>
      </w:r>
    </w:p>
    <w:p w14:paraId="0F52465C" w14:textId="6313A32D" w:rsidR="00F33779" w:rsidRPr="00771E6E" w:rsidRDefault="00F33779" w:rsidP="00F33779">
      <w:pPr>
        <w:pStyle w:val="Bibliography"/>
      </w:pPr>
      <w:r w:rsidRPr="00771E6E">
        <w:t xml:space="preserve">Pons, Nicoletta. </w:t>
      </w:r>
      <w:r w:rsidRPr="00771E6E">
        <w:rPr>
          <w:i/>
          <w:iCs/>
        </w:rPr>
        <w:t xml:space="preserve">Botticelli: </w:t>
      </w:r>
      <w:proofErr w:type="spellStart"/>
      <w:r w:rsidRPr="00771E6E">
        <w:rPr>
          <w:i/>
          <w:iCs/>
        </w:rPr>
        <w:t>Catalogo</w:t>
      </w:r>
      <w:proofErr w:type="spellEnd"/>
      <w:r w:rsidRPr="00771E6E">
        <w:rPr>
          <w:i/>
          <w:iCs/>
        </w:rPr>
        <w:t xml:space="preserve"> complete</w:t>
      </w:r>
      <w:r w:rsidRPr="00771E6E">
        <w:t>. Milan: Rizzoli, 1989.</w:t>
      </w:r>
    </w:p>
    <w:p w14:paraId="6261E487" w14:textId="77777777" w:rsidR="00F33779" w:rsidRPr="00771E6E" w:rsidRDefault="00F33779" w:rsidP="00F33779">
      <w:pPr>
        <w:pStyle w:val="Bibliography"/>
      </w:pPr>
      <w:r w:rsidRPr="00771E6E">
        <w:t xml:space="preserve">Pope-Hennessy, John. “A </w:t>
      </w:r>
      <w:proofErr w:type="spellStart"/>
      <w:r w:rsidRPr="00771E6E">
        <w:t>Cartapesta</w:t>
      </w:r>
      <w:proofErr w:type="spellEnd"/>
      <w:r w:rsidRPr="00771E6E">
        <w:t xml:space="preserve"> Mirror Frame.” </w:t>
      </w:r>
      <w:r w:rsidRPr="00771E6E">
        <w:rPr>
          <w:i/>
          <w:iCs/>
        </w:rPr>
        <w:t>The Burlington Magazine</w:t>
      </w:r>
      <w:r w:rsidRPr="00771E6E">
        <w:t xml:space="preserve"> 92, no. 571 (October 1950): 288–91.</w:t>
      </w:r>
    </w:p>
    <w:p w14:paraId="6088F638" w14:textId="77777777" w:rsidR="00F33779" w:rsidRPr="00771E6E" w:rsidRDefault="00F33779" w:rsidP="00F33779">
      <w:pPr>
        <w:pStyle w:val="Bibliography"/>
      </w:pPr>
      <w:r w:rsidRPr="00771E6E">
        <w:t xml:space="preserve">———. </w:t>
      </w:r>
      <w:r w:rsidRPr="00771E6E">
        <w:rPr>
          <w:i/>
          <w:iCs/>
        </w:rPr>
        <w:t>Italian Renaissance Sculpture</w:t>
      </w:r>
      <w:r w:rsidRPr="00771E6E">
        <w:t xml:space="preserve">. London: </w:t>
      </w:r>
      <w:proofErr w:type="spellStart"/>
      <w:r w:rsidRPr="00771E6E">
        <w:t>Phaidon</w:t>
      </w:r>
      <w:proofErr w:type="spellEnd"/>
      <w:r w:rsidRPr="00771E6E">
        <w:t>, 1958.</w:t>
      </w:r>
    </w:p>
    <w:p w14:paraId="015AA0C2" w14:textId="77777777" w:rsidR="00F33779" w:rsidRPr="00771E6E" w:rsidRDefault="00F33779" w:rsidP="00F33779">
      <w:pPr>
        <w:pStyle w:val="Bibliography"/>
      </w:pPr>
      <w:r w:rsidRPr="00771E6E">
        <w:t xml:space="preserve">———. </w:t>
      </w:r>
      <w:r w:rsidRPr="00771E6E">
        <w:rPr>
          <w:i/>
          <w:iCs/>
        </w:rPr>
        <w:t>Luca Della Robbia</w:t>
      </w:r>
      <w:r w:rsidRPr="00771E6E">
        <w:t xml:space="preserve">. Oxford: </w:t>
      </w:r>
      <w:proofErr w:type="spellStart"/>
      <w:r w:rsidRPr="00771E6E">
        <w:t>Phaidon</w:t>
      </w:r>
      <w:proofErr w:type="spellEnd"/>
      <w:r w:rsidRPr="00771E6E">
        <w:t>, 1980.</w:t>
      </w:r>
    </w:p>
    <w:p w14:paraId="0CD5E0DC" w14:textId="77777777" w:rsidR="00F33779" w:rsidRPr="00771E6E" w:rsidRDefault="00F33779" w:rsidP="00F33779">
      <w:pPr>
        <w:pStyle w:val="Bibliography"/>
      </w:pPr>
      <w:r w:rsidRPr="00771E6E">
        <w:t xml:space="preserve">Pope-Hennessy, John, and Ronald W Lightbown. </w:t>
      </w:r>
      <w:r w:rsidRPr="00771E6E">
        <w:rPr>
          <w:i/>
          <w:iCs/>
        </w:rPr>
        <w:t>Catalogue of Italian Sculpture in the Victoria and Albert Museum</w:t>
      </w:r>
      <w:r w:rsidRPr="00771E6E">
        <w:t>. Vol. I: Text. Eighth to Fifteenth Century. London: Her Majesty’s Stationery Office, 1964.</w:t>
      </w:r>
    </w:p>
    <w:p w14:paraId="04201C1D" w14:textId="77777777" w:rsidR="00F33779" w:rsidRPr="00771E6E" w:rsidRDefault="00F33779" w:rsidP="00F33779">
      <w:pPr>
        <w:pStyle w:val="Bibliography"/>
      </w:pPr>
      <w:r w:rsidRPr="00771E6E">
        <w:t xml:space="preserve">Powers, Katherine. “Marco </w:t>
      </w:r>
      <w:proofErr w:type="spellStart"/>
      <w:r w:rsidRPr="00771E6E">
        <w:t>Palmezzano’s</w:t>
      </w:r>
      <w:proofErr w:type="spellEnd"/>
      <w:r w:rsidRPr="00771E6E">
        <w:t xml:space="preserve"> Music-Making Angels: Holding the Fiddle in the Renaissance.” </w:t>
      </w:r>
      <w:r w:rsidRPr="00771E6E">
        <w:rPr>
          <w:i/>
          <w:iCs/>
        </w:rPr>
        <w:t>The Galpin Society Journal</w:t>
      </w:r>
      <w:r w:rsidRPr="00771E6E">
        <w:t xml:space="preserve"> 59 (May 2006): 139–259.</w:t>
      </w:r>
    </w:p>
    <w:p w14:paraId="5EE32863" w14:textId="77777777" w:rsidR="00F33779" w:rsidRPr="00771E6E" w:rsidRDefault="00F33779" w:rsidP="00F33779">
      <w:pPr>
        <w:pStyle w:val="Bibliography"/>
      </w:pPr>
      <w:r w:rsidRPr="00771E6E">
        <w:t xml:space="preserve">———. “Music-Making Angels in Italian Renaissance Painting: Symbolism and Reality.” </w:t>
      </w:r>
      <w:r w:rsidRPr="00771E6E">
        <w:rPr>
          <w:i/>
          <w:iCs/>
        </w:rPr>
        <w:t>Music in Art</w:t>
      </w:r>
      <w:r w:rsidRPr="00771E6E">
        <w:t xml:space="preserve"> 29, no. 1/2 (Spring-Fall 2004): 52–63.</w:t>
      </w:r>
    </w:p>
    <w:p w14:paraId="4B9147BA" w14:textId="77777777" w:rsidR="00F33779" w:rsidRPr="00771E6E" w:rsidRDefault="00F33779" w:rsidP="00F33779">
      <w:pPr>
        <w:pStyle w:val="Bibliography"/>
      </w:pPr>
      <w:r w:rsidRPr="00771E6E">
        <w:lastRenderedPageBreak/>
        <w:t xml:space="preserve">———. “The Lira </w:t>
      </w:r>
      <w:proofErr w:type="gramStart"/>
      <w:r w:rsidRPr="00771E6E">
        <w:t>Da</w:t>
      </w:r>
      <w:proofErr w:type="gramEnd"/>
      <w:r w:rsidRPr="00771E6E">
        <w:t xml:space="preserve"> Braccio in the Angel’s Hands in Italian Renaissance Madonna Enthroned Paintings.” </w:t>
      </w:r>
      <w:r w:rsidRPr="00771E6E">
        <w:rPr>
          <w:i/>
          <w:iCs/>
        </w:rPr>
        <w:t>Music in Art</w:t>
      </w:r>
      <w:r w:rsidRPr="00771E6E">
        <w:t xml:space="preserve"> 26, no. 1/2 (2001): 20–29.</w:t>
      </w:r>
    </w:p>
    <w:p w14:paraId="1F797FFE" w14:textId="77777777" w:rsidR="00F33779" w:rsidRPr="00771E6E" w:rsidRDefault="00F33779" w:rsidP="00F33779">
      <w:pPr>
        <w:pStyle w:val="Bibliography"/>
      </w:pPr>
      <w:proofErr w:type="spellStart"/>
      <w:r w:rsidRPr="00771E6E">
        <w:t>Pozzolo</w:t>
      </w:r>
      <w:proofErr w:type="spellEnd"/>
      <w:r w:rsidRPr="00771E6E">
        <w:t xml:space="preserve">, Enrico Maria dal. “Entry 42.” In </w:t>
      </w:r>
      <w:r w:rsidRPr="00771E6E">
        <w:rPr>
          <w:i/>
          <w:iCs/>
        </w:rPr>
        <w:t>Giorgione</w:t>
      </w:r>
      <w:r w:rsidRPr="00771E6E">
        <w:t xml:space="preserve">, edited by Enrico Maria dal </w:t>
      </w:r>
      <w:proofErr w:type="spellStart"/>
      <w:r w:rsidRPr="00771E6E">
        <w:t>Pozzolo</w:t>
      </w:r>
      <w:proofErr w:type="spellEnd"/>
      <w:r w:rsidRPr="00771E6E">
        <w:t xml:space="preserve"> and </w:t>
      </w:r>
      <w:proofErr w:type="spellStart"/>
      <w:r w:rsidRPr="00771E6E">
        <w:t>Lionello</w:t>
      </w:r>
      <w:proofErr w:type="spellEnd"/>
      <w:r w:rsidRPr="00771E6E">
        <w:t xml:space="preserve"> </w:t>
      </w:r>
      <w:proofErr w:type="spellStart"/>
      <w:r w:rsidRPr="00771E6E">
        <w:t>Puppi</w:t>
      </w:r>
      <w:proofErr w:type="spellEnd"/>
      <w:r w:rsidRPr="00771E6E">
        <w:t xml:space="preserve">, 421–23. Milano: </w:t>
      </w:r>
      <w:proofErr w:type="spellStart"/>
      <w:r w:rsidRPr="00771E6E">
        <w:t>Skira</w:t>
      </w:r>
      <w:proofErr w:type="spellEnd"/>
      <w:r w:rsidRPr="00771E6E">
        <w:t>, 2009.</w:t>
      </w:r>
    </w:p>
    <w:p w14:paraId="132FE973" w14:textId="77777777" w:rsidR="00F33779" w:rsidRPr="00771E6E" w:rsidRDefault="00F33779" w:rsidP="00F33779">
      <w:pPr>
        <w:pStyle w:val="Bibliography"/>
      </w:pPr>
      <w:proofErr w:type="spellStart"/>
      <w:r w:rsidRPr="00771E6E">
        <w:t>Preyer</w:t>
      </w:r>
      <w:proofErr w:type="spellEnd"/>
      <w:r w:rsidRPr="00771E6E">
        <w:t xml:space="preserve">, Brenda. “The Florentine Casa.” In </w:t>
      </w:r>
      <w:proofErr w:type="gramStart"/>
      <w:r w:rsidRPr="00771E6E">
        <w:rPr>
          <w:i/>
          <w:iCs/>
        </w:rPr>
        <w:t>At</w:t>
      </w:r>
      <w:proofErr w:type="gramEnd"/>
      <w:r w:rsidRPr="00771E6E">
        <w:rPr>
          <w:i/>
          <w:iCs/>
        </w:rPr>
        <w:t xml:space="preserve"> Home in Renaissance Italy</w:t>
      </w:r>
      <w:r w:rsidRPr="00771E6E">
        <w:t xml:space="preserve">, edited by Marta </w:t>
      </w:r>
      <w:proofErr w:type="spellStart"/>
      <w:r w:rsidRPr="00771E6E">
        <w:t>Ajmar-Wollheim</w:t>
      </w:r>
      <w:proofErr w:type="spellEnd"/>
      <w:r w:rsidRPr="00771E6E">
        <w:t xml:space="preserve"> and Flora Dennis, 34–49. London: V&amp;A Publications, 2006.</w:t>
      </w:r>
    </w:p>
    <w:p w14:paraId="301BA0C4" w14:textId="77777777" w:rsidR="00F33779" w:rsidRPr="00771E6E" w:rsidRDefault="00F33779" w:rsidP="00F33779">
      <w:pPr>
        <w:pStyle w:val="Bibliography"/>
      </w:pPr>
      <w:proofErr w:type="spellStart"/>
      <w:r w:rsidRPr="00771E6E">
        <w:t>Prins</w:t>
      </w:r>
      <w:proofErr w:type="spellEnd"/>
      <w:r w:rsidRPr="00771E6E">
        <w:t xml:space="preserve">, </w:t>
      </w:r>
      <w:proofErr w:type="spellStart"/>
      <w:r w:rsidRPr="00771E6E">
        <w:t>Jacomien</w:t>
      </w:r>
      <w:proofErr w:type="spellEnd"/>
      <w:r w:rsidRPr="00771E6E">
        <w:t xml:space="preserve">. </w:t>
      </w:r>
      <w:r w:rsidRPr="00771E6E">
        <w:rPr>
          <w:i/>
          <w:iCs/>
        </w:rPr>
        <w:t xml:space="preserve">Echoes of an Invisible World: </w:t>
      </w:r>
      <w:proofErr w:type="spellStart"/>
      <w:r w:rsidRPr="00771E6E">
        <w:rPr>
          <w:i/>
          <w:iCs/>
        </w:rPr>
        <w:t>Marsilio</w:t>
      </w:r>
      <w:proofErr w:type="spellEnd"/>
      <w:r w:rsidRPr="00771E6E">
        <w:rPr>
          <w:i/>
          <w:iCs/>
        </w:rPr>
        <w:t xml:space="preserve"> Ficino and Francesco Patrizi on Cosmic Order and Music Theory</w:t>
      </w:r>
      <w:r w:rsidRPr="00771E6E">
        <w:t>. Leiden and Boston: Brill, 2015.</w:t>
      </w:r>
    </w:p>
    <w:p w14:paraId="2EF35DB0" w14:textId="77777777" w:rsidR="00F33779" w:rsidRPr="00771E6E" w:rsidRDefault="00F33779" w:rsidP="00F33779">
      <w:pPr>
        <w:pStyle w:val="Bibliography"/>
      </w:pPr>
      <w:proofErr w:type="spellStart"/>
      <w:r w:rsidRPr="00771E6E">
        <w:t>Prizer</w:t>
      </w:r>
      <w:proofErr w:type="spellEnd"/>
      <w:r w:rsidRPr="00771E6E">
        <w:t xml:space="preserve">, William F. “Games of Venus: Secular Vocal Music in the Late Quattrocento and Early Cinquecento.” </w:t>
      </w:r>
      <w:r w:rsidRPr="00771E6E">
        <w:rPr>
          <w:i/>
          <w:iCs/>
        </w:rPr>
        <w:t>The Journal of Musicology</w:t>
      </w:r>
      <w:r w:rsidRPr="00771E6E">
        <w:t xml:space="preserve"> 9, no. 1 (1991): 3–56.</w:t>
      </w:r>
    </w:p>
    <w:p w14:paraId="495E04A6" w14:textId="77777777" w:rsidR="00F33779" w:rsidRPr="00771E6E" w:rsidRDefault="00F33779" w:rsidP="00F33779">
      <w:pPr>
        <w:pStyle w:val="Bibliography"/>
      </w:pPr>
      <w:r w:rsidRPr="00771E6E">
        <w:t xml:space="preserve">———. “Laude Di </w:t>
      </w:r>
      <w:proofErr w:type="spellStart"/>
      <w:r w:rsidRPr="00771E6E">
        <w:t>Popolo</w:t>
      </w:r>
      <w:proofErr w:type="spellEnd"/>
      <w:r w:rsidRPr="00771E6E">
        <w:t xml:space="preserve">, Laude Di Corte: Some Thoughts on the Style and Function of the Renaissance Lauda.” In </w:t>
      </w:r>
      <w:r w:rsidRPr="00771E6E">
        <w:rPr>
          <w:i/>
          <w:iCs/>
        </w:rPr>
        <w:t xml:space="preserve">La </w:t>
      </w:r>
      <w:proofErr w:type="spellStart"/>
      <w:r w:rsidRPr="00771E6E">
        <w:rPr>
          <w:i/>
          <w:iCs/>
        </w:rPr>
        <w:t>Musica</w:t>
      </w:r>
      <w:proofErr w:type="spellEnd"/>
      <w:r w:rsidRPr="00771E6E">
        <w:rPr>
          <w:i/>
          <w:iCs/>
        </w:rPr>
        <w:t xml:space="preserve"> a Firenze Al Tempo </w:t>
      </w:r>
      <w:proofErr w:type="gramStart"/>
      <w:r w:rsidRPr="00771E6E">
        <w:rPr>
          <w:i/>
          <w:iCs/>
        </w:rPr>
        <w:t>Di</w:t>
      </w:r>
      <w:proofErr w:type="gramEnd"/>
      <w:r w:rsidRPr="00771E6E">
        <w:rPr>
          <w:i/>
          <w:iCs/>
        </w:rPr>
        <w:t xml:space="preserve"> Lorenzo de Medici</w:t>
      </w:r>
      <w:r w:rsidRPr="00771E6E">
        <w:t xml:space="preserve">, edited by Piero Gargiulo, 167–94. Florence: Leo S. </w:t>
      </w:r>
      <w:proofErr w:type="spellStart"/>
      <w:r w:rsidRPr="00771E6E">
        <w:t>Olschki</w:t>
      </w:r>
      <w:proofErr w:type="spellEnd"/>
      <w:r w:rsidRPr="00771E6E">
        <w:t>, 1993.</w:t>
      </w:r>
    </w:p>
    <w:p w14:paraId="36E53ABC" w14:textId="77777777" w:rsidR="00F33779" w:rsidRPr="00771E6E" w:rsidRDefault="00F33779" w:rsidP="00F33779">
      <w:pPr>
        <w:pStyle w:val="Bibliography"/>
      </w:pPr>
      <w:proofErr w:type="spellStart"/>
      <w:r w:rsidRPr="00771E6E">
        <w:t>Quaglioni</w:t>
      </w:r>
      <w:proofErr w:type="spellEnd"/>
      <w:r w:rsidRPr="00771E6E">
        <w:t xml:space="preserve">, Diego. “Il </w:t>
      </w:r>
      <w:proofErr w:type="spellStart"/>
      <w:r w:rsidRPr="00771E6E">
        <w:t>modello</w:t>
      </w:r>
      <w:proofErr w:type="spellEnd"/>
      <w:r w:rsidRPr="00771E6E">
        <w:t xml:space="preserve"> del </w:t>
      </w:r>
      <w:proofErr w:type="spellStart"/>
      <w:r w:rsidRPr="00771E6E">
        <w:t>principe</w:t>
      </w:r>
      <w:proofErr w:type="spellEnd"/>
      <w:r w:rsidRPr="00771E6E">
        <w:t xml:space="preserve"> </w:t>
      </w:r>
      <w:proofErr w:type="spellStart"/>
      <w:r w:rsidRPr="00771E6E">
        <w:t>cristiano</w:t>
      </w:r>
      <w:proofErr w:type="spellEnd"/>
      <w:r w:rsidRPr="00771E6E">
        <w:t xml:space="preserve">. </w:t>
      </w:r>
      <w:proofErr w:type="spellStart"/>
      <w:r w:rsidRPr="00771E6E">
        <w:t>Gli</w:t>
      </w:r>
      <w:proofErr w:type="spellEnd"/>
      <w:r w:rsidRPr="00771E6E">
        <w:t xml:space="preserve"> specula </w:t>
      </w:r>
      <w:proofErr w:type="spellStart"/>
      <w:r w:rsidRPr="00771E6E">
        <w:t>principum</w:t>
      </w:r>
      <w:proofErr w:type="spellEnd"/>
      <w:r w:rsidRPr="00771E6E">
        <w:t xml:space="preserve"> </w:t>
      </w:r>
      <w:proofErr w:type="spellStart"/>
      <w:r w:rsidRPr="00771E6E">
        <w:t>fra</w:t>
      </w:r>
      <w:proofErr w:type="spellEnd"/>
      <w:r w:rsidRPr="00771E6E">
        <w:t xml:space="preserve"> Medio Evo e prima </w:t>
      </w:r>
      <w:proofErr w:type="spellStart"/>
      <w:r w:rsidRPr="00771E6E">
        <w:t>Età</w:t>
      </w:r>
      <w:proofErr w:type="spellEnd"/>
      <w:r w:rsidRPr="00771E6E">
        <w:t xml:space="preserve"> </w:t>
      </w:r>
      <w:proofErr w:type="spellStart"/>
      <w:r w:rsidRPr="00771E6E">
        <w:t>Moderna</w:t>
      </w:r>
      <w:proofErr w:type="spellEnd"/>
      <w:r w:rsidRPr="00771E6E">
        <w:t xml:space="preserve">.” In </w:t>
      </w:r>
      <w:proofErr w:type="spellStart"/>
      <w:r w:rsidRPr="00771E6E">
        <w:rPr>
          <w:i/>
          <w:iCs/>
        </w:rPr>
        <w:t>Modelli</w:t>
      </w:r>
      <w:proofErr w:type="spellEnd"/>
      <w:r w:rsidRPr="00771E6E">
        <w:rPr>
          <w:i/>
          <w:iCs/>
        </w:rPr>
        <w:t xml:space="preserve"> </w:t>
      </w:r>
      <w:proofErr w:type="spellStart"/>
      <w:r w:rsidRPr="00771E6E">
        <w:rPr>
          <w:i/>
          <w:iCs/>
        </w:rPr>
        <w:t>nella</w:t>
      </w:r>
      <w:proofErr w:type="spellEnd"/>
      <w:r w:rsidRPr="00771E6E">
        <w:rPr>
          <w:i/>
          <w:iCs/>
        </w:rPr>
        <w:t xml:space="preserve"> </w:t>
      </w:r>
      <w:proofErr w:type="spellStart"/>
      <w:r w:rsidRPr="00771E6E">
        <w:rPr>
          <w:i/>
          <w:iCs/>
        </w:rPr>
        <w:t>storia</w:t>
      </w:r>
      <w:proofErr w:type="spellEnd"/>
      <w:r w:rsidRPr="00771E6E">
        <w:rPr>
          <w:i/>
          <w:iCs/>
        </w:rPr>
        <w:t xml:space="preserve"> del </w:t>
      </w:r>
      <w:proofErr w:type="spellStart"/>
      <w:r w:rsidRPr="00771E6E">
        <w:rPr>
          <w:i/>
          <w:iCs/>
        </w:rPr>
        <w:t>pensiero</w:t>
      </w:r>
      <w:proofErr w:type="spellEnd"/>
      <w:r w:rsidRPr="00771E6E">
        <w:rPr>
          <w:i/>
          <w:iCs/>
        </w:rPr>
        <w:t xml:space="preserve"> politico</w:t>
      </w:r>
      <w:r w:rsidRPr="00771E6E">
        <w:t xml:space="preserve">, edited by </w:t>
      </w:r>
      <w:proofErr w:type="spellStart"/>
      <w:r w:rsidRPr="00771E6E">
        <w:t>Vittor</w:t>
      </w:r>
      <w:proofErr w:type="spellEnd"/>
      <w:r w:rsidRPr="00771E6E">
        <w:t xml:space="preserve"> Ivo </w:t>
      </w:r>
      <w:proofErr w:type="spellStart"/>
      <w:r w:rsidRPr="00771E6E">
        <w:t>Comparato</w:t>
      </w:r>
      <w:proofErr w:type="spellEnd"/>
      <w:r w:rsidRPr="00771E6E">
        <w:t xml:space="preserve">. Florence: Leo S. </w:t>
      </w:r>
      <w:proofErr w:type="spellStart"/>
      <w:r w:rsidRPr="00771E6E">
        <w:t>Olschki</w:t>
      </w:r>
      <w:proofErr w:type="spellEnd"/>
      <w:r w:rsidRPr="00771E6E">
        <w:t>, 1987.</w:t>
      </w:r>
    </w:p>
    <w:p w14:paraId="130AFD64" w14:textId="77777777" w:rsidR="00F33779" w:rsidRPr="00771E6E" w:rsidRDefault="00F33779" w:rsidP="00F33779">
      <w:pPr>
        <w:pStyle w:val="Bibliography"/>
      </w:pPr>
      <w:proofErr w:type="spellStart"/>
      <w:r w:rsidRPr="00771E6E">
        <w:t>Quiviger</w:t>
      </w:r>
      <w:proofErr w:type="spellEnd"/>
      <w:r w:rsidRPr="00771E6E">
        <w:t xml:space="preserve">, François. “Seeing and Looking in the Renaissance.” In </w:t>
      </w:r>
      <w:r w:rsidRPr="00771E6E">
        <w:rPr>
          <w:i/>
          <w:iCs/>
        </w:rPr>
        <w:t xml:space="preserve">La Vista y La </w:t>
      </w:r>
      <w:proofErr w:type="spellStart"/>
      <w:r w:rsidRPr="00771E6E">
        <w:rPr>
          <w:i/>
          <w:iCs/>
        </w:rPr>
        <w:t>Visión</w:t>
      </w:r>
      <w:proofErr w:type="spellEnd"/>
      <w:r w:rsidRPr="00771E6E">
        <w:t xml:space="preserve">. Valencia: </w:t>
      </w:r>
      <w:proofErr w:type="spellStart"/>
      <w:r w:rsidRPr="00771E6E">
        <w:t>Institut</w:t>
      </w:r>
      <w:proofErr w:type="spellEnd"/>
      <w:r w:rsidRPr="00771E6E">
        <w:t xml:space="preserve"> </w:t>
      </w:r>
      <w:proofErr w:type="spellStart"/>
      <w:r w:rsidRPr="00771E6E">
        <w:t>Valencià</w:t>
      </w:r>
      <w:proofErr w:type="spellEnd"/>
      <w:r w:rsidRPr="00771E6E">
        <w:t xml:space="preserve"> </w:t>
      </w:r>
      <w:proofErr w:type="spellStart"/>
      <w:r w:rsidRPr="00771E6E">
        <w:t>d’Art</w:t>
      </w:r>
      <w:proofErr w:type="spellEnd"/>
      <w:r w:rsidRPr="00771E6E">
        <w:t xml:space="preserve"> Modern, 2003.</w:t>
      </w:r>
    </w:p>
    <w:p w14:paraId="27A7968F" w14:textId="77777777" w:rsidR="00F33779" w:rsidRPr="00771E6E" w:rsidRDefault="00F33779" w:rsidP="00F33779">
      <w:pPr>
        <w:pStyle w:val="Bibliography"/>
      </w:pPr>
      <w:r w:rsidRPr="00771E6E">
        <w:t xml:space="preserve">———. </w:t>
      </w:r>
      <w:r w:rsidRPr="00771E6E">
        <w:rPr>
          <w:i/>
          <w:iCs/>
        </w:rPr>
        <w:t>The Sensory World of Italian Renaissance Art</w:t>
      </w:r>
      <w:r w:rsidRPr="00771E6E">
        <w:t xml:space="preserve">. London: </w:t>
      </w:r>
      <w:proofErr w:type="spellStart"/>
      <w:r w:rsidRPr="00771E6E">
        <w:t>Reaktion</w:t>
      </w:r>
      <w:proofErr w:type="spellEnd"/>
      <w:r w:rsidRPr="00771E6E">
        <w:t xml:space="preserve"> Books, 2010.</w:t>
      </w:r>
    </w:p>
    <w:p w14:paraId="6347AC63" w14:textId="77777777" w:rsidR="00F33779" w:rsidRPr="00771E6E" w:rsidRDefault="00F33779" w:rsidP="00F33779">
      <w:pPr>
        <w:pStyle w:val="Bibliography"/>
      </w:pPr>
      <w:r w:rsidRPr="00771E6E">
        <w:t>Radcliffe, Anthony, and Charles Avery. “The ‘</w:t>
      </w:r>
      <w:proofErr w:type="spellStart"/>
      <w:r w:rsidRPr="00771E6E">
        <w:t>Chellini</w:t>
      </w:r>
      <w:proofErr w:type="spellEnd"/>
      <w:r w:rsidRPr="00771E6E">
        <w:t xml:space="preserve"> Madonna’ by Donatello.” </w:t>
      </w:r>
      <w:r w:rsidRPr="00771E6E">
        <w:rPr>
          <w:i/>
          <w:iCs/>
        </w:rPr>
        <w:t>The Burlington Magazine</w:t>
      </w:r>
      <w:r w:rsidRPr="00771E6E">
        <w:t xml:space="preserve"> 118, no. 879 (1976): 377–87.</w:t>
      </w:r>
    </w:p>
    <w:p w14:paraId="4FAD33E5" w14:textId="77777777" w:rsidR="00F33779" w:rsidRPr="00771E6E" w:rsidRDefault="00F33779" w:rsidP="00F33779">
      <w:pPr>
        <w:pStyle w:val="Bibliography"/>
      </w:pPr>
      <w:r w:rsidRPr="00771E6E">
        <w:t xml:space="preserve">Radke, Gary M. </w:t>
      </w:r>
      <w:r w:rsidRPr="00771E6E">
        <w:rPr>
          <w:i/>
          <w:iCs/>
        </w:rPr>
        <w:t>Make a Joyful Noise: Renaissance Art and Music at Florence Cathedral</w:t>
      </w:r>
      <w:r w:rsidRPr="00771E6E">
        <w:t>. New Haven: Yale University Press, 2014.</w:t>
      </w:r>
    </w:p>
    <w:p w14:paraId="42ACC18A" w14:textId="77777777" w:rsidR="00F33779" w:rsidRPr="00771E6E" w:rsidRDefault="00F33779" w:rsidP="00F33779">
      <w:pPr>
        <w:pStyle w:val="Bibliography"/>
      </w:pPr>
      <w:r w:rsidRPr="00771E6E">
        <w:t xml:space="preserve">Randolph, Adrian W. B. “Gendering the Period Eye: Deschi Da Parto and Renaissance Visual Culture.” </w:t>
      </w:r>
      <w:r w:rsidRPr="00771E6E">
        <w:rPr>
          <w:i/>
          <w:iCs/>
        </w:rPr>
        <w:t>Art History</w:t>
      </w:r>
      <w:r w:rsidRPr="00771E6E">
        <w:t xml:space="preserve"> 27, no. 4 (2004): 538–62.</w:t>
      </w:r>
    </w:p>
    <w:p w14:paraId="415CA1D9" w14:textId="1454433A" w:rsidR="0023710A" w:rsidRPr="00771E6E" w:rsidRDefault="0023710A" w:rsidP="0023710A">
      <w:pPr>
        <w:pStyle w:val="Bibliography"/>
      </w:pPr>
      <w:r w:rsidRPr="00771E6E">
        <w:t xml:space="preserve">Randolph, Adrian W. B. </w:t>
      </w:r>
      <w:r w:rsidRPr="00771E6E">
        <w:rPr>
          <w:i/>
          <w:lang w:val="en-US"/>
        </w:rPr>
        <w:t>Touching objects. Intimate experiences of Italian Fifteenth-Century Art</w:t>
      </w:r>
      <w:r w:rsidRPr="00771E6E">
        <w:rPr>
          <w:iCs/>
          <w:lang w:val="en-US"/>
        </w:rPr>
        <w:t>. New Haven and London: Yale University Press, 2014.</w:t>
      </w:r>
    </w:p>
    <w:p w14:paraId="7889B3CE" w14:textId="77777777" w:rsidR="00F33779" w:rsidRPr="00771E6E" w:rsidRDefault="00F33779" w:rsidP="00F33779">
      <w:pPr>
        <w:pStyle w:val="Bibliography"/>
      </w:pPr>
      <w:proofErr w:type="spellStart"/>
      <w:r w:rsidRPr="00771E6E">
        <w:t>Rastall</w:t>
      </w:r>
      <w:proofErr w:type="spellEnd"/>
      <w:r w:rsidRPr="00771E6E">
        <w:t xml:space="preserve">, Richard. “Heaven: The Musical Repertory.” In </w:t>
      </w:r>
      <w:proofErr w:type="gramStart"/>
      <w:r w:rsidRPr="00771E6E">
        <w:rPr>
          <w:i/>
          <w:iCs/>
        </w:rPr>
        <w:t>The</w:t>
      </w:r>
      <w:proofErr w:type="gramEnd"/>
      <w:r w:rsidRPr="00771E6E">
        <w:rPr>
          <w:i/>
          <w:iCs/>
        </w:rPr>
        <w:t xml:space="preserve"> Iconography of Heaven</w:t>
      </w:r>
      <w:r w:rsidRPr="00771E6E">
        <w:t>, edited by Clifford Davidson. Kalamazoo, Mich.: Medieval Institute Publications, Western Michigan University, 1994.</w:t>
      </w:r>
    </w:p>
    <w:p w14:paraId="55C3DC85" w14:textId="77777777" w:rsidR="00F33779" w:rsidRPr="00771E6E" w:rsidRDefault="00F33779" w:rsidP="00F33779">
      <w:pPr>
        <w:pStyle w:val="Bibliography"/>
      </w:pPr>
      <w:proofErr w:type="spellStart"/>
      <w:r w:rsidRPr="00771E6E">
        <w:t>Rebmann</w:t>
      </w:r>
      <w:proofErr w:type="spellEnd"/>
      <w:r w:rsidRPr="00771E6E">
        <w:t xml:space="preserve">, Ruben. “Entries 124,125.” In </w:t>
      </w:r>
      <w:r w:rsidRPr="00771E6E">
        <w:rPr>
          <w:i/>
          <w:iCs/>
        </w:rPr>
        <w:t>Botticelli Reimagined</w:t>
      </w:r>
      <w:r w:rsidRPr="00771E6E">
        <w:t xml:space="preserve">, edited by Mark Evans, Stefan </w:t>
      </w:r>
      <w:proofErr w:type="spellStart"/>
      <w:r w:rsidRPr="00771E6E">
        <w:t>Weppelmann</w:t>
      </w:r>
      <w:proofErr w:type="spellEnd"/>
      <w:r w:rsidRPr="00771E6E">
        <w:t xml:space="preserve">, and Ana </w:t>
      </w:r>
      <w:proofErr w:type="spellStart"/>
      <w:r w:rsidRPr="00771E6E">
        <w:t>Debenedetti</w:t>
      </w:r>
      <w:proofErr w:type="spellEnd"/>
      <w:r w:rsidRPr="00771E6E">
        <w:t>, 274–75. London: V &amp; A Publishing, 2016.</w:t>
      </w:r>
    </w:p>
    <w:p w14:paraId="55EFCFBA" w14:textId="77777777" w:rsidR="00F33779" w:rsidRPr="00771E6E" w:rsidRDefault="00F33779" w:rsidP="00F33779">
      <w:pPr>
        <w:pStyle w:val="Bibliography"/>
      </w:pPr>
      <w:r w:rsidRPr="00771E6E">
        <w:t xml:space="preserve">———. “Entry 113.” In </w:t>
      </w:r>
      <w:r w:rsidRPr="00771E6E">
        <w:rPr>
          <w:i/>
          <w:iCs/>
        </w:rPr>
        <w:t>Botticelli Reimagined</w:t>
      </w:r>
      <w:r w:rsidRPr="00771E6E">
        <w:t xml:space="preserve">, edited by Mark Evans, Stefan </w:t>
      </w:r>
      <w:proofErr w:type="spellStart"/>
      <w:r w:rsidRPr="00771E6E">
        <w:t>Weppelmann</w:t>
      </w:r>
      <w:proofErr w:type="spellEnd"/>
      <w:r w:rsidRPr="00771E6E">
        <w:t xml:space="preserve">, and Ana </w:t>
      </w:r>
      <w:proofErr w:type="spellStart"/>
      <w:r w:rsidRPr="00771E6E">
        <w:t>Debenedetti</w:t>
      </w:r>
      <w:proofErr w:type="spellEnd"/>
      <w:r w:rsidRPr="00771E6E">
        <w:t>, 264. London: V &amp; A Publishing, 2016.</w:t>
      </w:r>
    </w:p>
    <w:p w14:paraId="40063220" w14:textId="77777777" w:rsidR="001D41C0" w:rsidRPr="00771E6E" w:rsidRDefault="00F33779" w:rsidP="001D41C0">
      <w:pPr>
        <w:pStyle w:val="Bibliography"/>
      </w:pPr>
      <w:r w:rsidRPr="00771E6E">
        <w:t xml:space="preserve">———. “Entry 117.” In </w:t>
      </w:r>
      <w:r w:rsidRPr="00771E6E">
        <w:rPr>
          <w:i/>
          <w:iCs/>
        </w:rPr>
        <w:t>Botticelli Reimagined</w:t>
      </w:r>
      <w:r w:rsidRPr="00771E6E">
        <w:t xml:space="preserve">, edited by Mark Evans, Stefan </w:t>
      </w:r>
      <w:proofErr w:type="spellStart"/>
      <w:r w:rsidRPr="00771E6E">
        <w:t>Weppelmann</w:t>
      </w:r>
      <w:proofErr w:type="spellEnd"/>
      <w:r w:rsidRPr="00771E6E">
        <w:t xml:space="preserve">, and Ana </w:t>
      </w:r>
      <w:proofErr w:type="spellStart"/>
      <w:r w:rsidRPr="00771E6E">
        <w:t>Debenedetti</w:t>
      </w:r>
      <w:proofErr w:type="spellEnd"/>
      <w:r w:rsidRPr="00771E6E">
        <w:t>, 267. London: V &amp; A Publishing, 2016.</w:t>
      </w:r>
    </w:p>
    <w:p w14:paraId="10DB34A0" w14:textId="7FD8ECED" w:rsidR="009E2935" w:rsidRPr="00771E6E" w:rsidRDefault="009E2935" w:rsidP="001D41C0">
      <w:pPr>
        <w:pStyle w:val="Bibliography"/>
      </w:pPr>
      <w:r w:rsidRPr="00771E6E">
        <w:t xml:space="preserve">Richardson, Brian. </w:t>
      </w:r>
      <w:r w:rsidRPr="00771E6E">
        <w:rPr>
          <w:i/>
          <w:iCs/>
        </w:rPr>
        <w:t>Printing, writers and readers in Renaissance Italy</w:t>
      </w:r>
      <w:r w:rsidRPr="00771E6E">
        <w:t>. Cambridge: Cambridge University Press, 1999.</w:t>
      </w:r>
    </w:p>
    <w:p w14:paraId="7E1AC00A" w14:textId="77777777" w:rsidR="00F33779" w:rsidRPr="00771E6E" w:rsidRDefault="00F33779" w:rsidP="00F33779">
      <w:pPr>
        <w:pStyle w:val="Bibliography"/>
      </w:pPr>
      <w:r w:rsidRPr="00771E6E">
        <w:t xml:space="preserve">Richardson, Ernest Cushing, ed. </w:t>
      </w:r>
      <w:r w:rsidRPr="00771E6E">
        <w:rPr>
          <w:i/>
          <w:iCs/>
        </w:rPr>
        <w:t xml:space="preserve">Materials for a Life of Jacopo Da </w:t>
      </w:r>
      <w:proofErr w:type="spellStart"/>
      <w:r w:rsidRPr="00771E6E">
        <w:rPr>
          <w:i/>
          <w:iCs/>
        </w:rPr>
        <w:t>Voragine</w:t>
      </w:r>
      <w:proofErr w:type="spellEnd"/>
      <w:r w:rsidRPr="00771E6E">
        <w:t>. Vol. 2. New York: H.W. Wilson, 1935.</w:t>
      </w:r>
    </w:p>
    <w:p w14:paraId="63464B13" w14:textId="77777777" w:rsidR="00F33779" w:rsidRPr="00771E6E" w:rsidRDefault="00F33779" w:rsidP="00F33779">
      <w:pPr>
        <w:pStyle w:val="Bibliography"/>
      </w:pPr>
      <w:proofErr w:type="spellStart"/>
      <w:r w:rsidRPr="00771E6E">
        <w:t>Ringbom</w:t>
      </w:r>
      <w:proofErr w:type="spellEnd"/>
      <w:r w:rsidRPr="00771E6E">
        <w:t xml:space="preserve">, </w:t>
      </w:r>
      <w:proofErr w:type="spellStart"/>
      <w:r w:rsidRPr="00771E6E">
        <w:t>Sixten</w:t>
      </w:r>
      <w:proofErr w:type="spellEnd"/>
      <w:r w:rsidRPr="00771E6E">
        <w:t xml:space="preserve">. </w:t>
      </w:r>
      <w:r w:rsidRPr="00771E6E">
        <w:rPr>
          <w:i/>
          <w:iCs/>
        </w:rPr>
        <w:t>Icon to Narrative: The Rise of the Dramatic Close-up in Fifteenth-Century Devotional Painting</w:t>
      </w:r>
      <w:r w:rsidRPr="00771E6E">
        <w:t xml:space="preserve">. </w:t>
      </w:r>
      <w:proofErr w:type="spellStart"/>
      <w:r w:rsidRPr="00771E6E">
        <w:t>Doornspijk</w:t>
      </w:r>
      <w:proofErr w:type="spellEnd"/>
      <w:r w:rsidRPr="00771E6E">
        <w:t xml:space="preserve">: </w:t>
      </w:r>
      <w:proofErr w:type="spellStart"/>
      <w:r w:rsidRPr="00771E6E">
        <w:t>Davaco</w:t>
      </w:r>
      <w:proofErr w:type="spellEnd"/>
      <w:r w:rsidRPr="00771E6E">
        <w:t>, 1984.</w:t>
      </w:r>
    </w:p>
    <w:p w14:paraId="1ABAF318" w14:textId="77777777" w:rsidR="00F33779" w:rsidRPr="00771E6E" w:rsidRDefault="00F33779" w:rsidP="00F33779">
      <w:pPr>
        <w:pStyle w:val="Bibliography"/>
      </w:pPr>
      <w:r w:rsidRPr="00771E6E">
        <w:t xml:space="preserve">Rothenberg, David J. </w:t>
      </w:r>
      <w:r w:rsidRPr="00771E6E">
        <w:rPr>
          <w:i/>
          <w:iCs/>
        </w:rPr>
        <w:t>The Flower of Paradise: Marian Devotion and Secular Song in Medieval and Renaissance Music</w:t>
      </w:r>
      <w:r w:rsidRPr="00771E6E">
        <w:t>. New York: Oxford University Press, 2014.</w:t>
      </w:r>
    </w:p>
    <w:p w14:paraId="110C955F" w14:textId="77777777" w:rsidR="00F33779" w:rsidRPr="00771E6E" w:rsidRDefault="00F33779" w:rsidP="00F33779">
      <w:pPr>
        <w:pStyle w:val="Bibliography"/>
      </w:pPr>
      <w:r w:rsidRPr="00771E6E">
        <w:t xml:space="preserve">Rubinstein, Nicolai. “Political Ideas in Sienese Art: The Frescoes by </w:t>
      </w:r>
      <w:proofErr w:type="spellStart"/>
      <w:r w:rsidRPr="00771E6E">
        <w:t>Ambrogio</w:t>
      </w:r>
      <w:proofErr w:type="spellEnd"/>
      <w:r w:rsidRPr="00771E6E">
        <w:t xml:space="preserve"> Lorenzetti and Taddeo Di </w:t>
      </w:r>
      <w:proofErr w:type="spellStart"/>
      <w:r w:rsidRPr="00771E6E">
        <w:t>Bartolo</w:t>
      </w:r>
      <w:proofErr w:type="spellEnd"/>
      <w:r w:rsidRPr="00771E6E">
        <w:t xml:space="preserve"> in the Palazzo </w:t>
      </w:r>
      <w:proofErr w:type="spellStart"/>
      <w:r w:rsidRPr="00771E6E">
        <w:t>Pubblico</w:t>
      </w:r>
      <w:proofErr w:type="spellEnd"/>
      <w:r w:rsidRPr="00771E6E">
        <w:t xml:space="preserve">.” </w:t>
      </w:r>
      <w:r w:rsidRPr="00771E6E">
        <w:rPr>
          <w:i/>
          <w:iCs/>
        </w:rPr>
        <w:t xml:space="preserve">Journal of the Warburg and </w:t>
      </w:r>
      <w:proofErr w:type="spellStart"/>
      <w:r w:rsidRPr="00771E6E">
        <w:rPr>
          <w:i/>
          <w:iCs/>
        </w:rPr>
        <w:t>Courtauld</w:t>
      </w:r>
      <w:proofErr w:type="spellEnd"/>
      <w:r w:rsidRPr="00771E6E">
        <w:rPr>
          <w:i/>
          <w:iCs/>
        </w:rPr>
        <w:t xml:space="preserve"> Institutes</w:t>
      </w:r>
      <w:r w:rsidRPr="00771E6E">
        <w:t xml:space="preserve"> 21, no. 3/4 (1958): 179–207.</w:t>
      </w:r>
    </w:p>
    <w:p w14:paraId="2ACB1316" w14:textId="77777777" w:rsidR="00F33779" w:rsidRPr="00771E6E" w:rsidRDefault="00F33779" w:rsidP="00F33779">
      <w:pPr>
        <w:pStyle w:val="Bibliography"/>
      </w:pPr>
      <w:r w:rsidRPr="00771E6E">
        <w:t xml:space="preserve">Ruffini, Mario. “Savonarola e la </w:t>
      </w:r>
      <w:proofErr w:type="spellStart"/>
      <w:r w:rsidRPr="00771E6E">
        <w:t>musica</w:t>
      </w:r>
      <w:proofErr w:type="spellEnd"/>
      <w:r w:rsidRPr="00771E6E">
        <w:t xml:space="preserve">: </w:t>
      </w:r>
      <w:proofErr w:type="spellStart"/>
      <w:r w:rsidRPr="00771E6E">
        <w:t>dalla</w:t>
      </w:r>
      <w:proofErr w:type="spellEnd"/>
      <w:r w:rsidRPr="00771E6E">
        <w:t xml:space="preserve"> lauda al Novecento.” In </w:t>
      </w:r>
      <w:r w:rsidRPr="00771E6E">
        <w:rPr>
          <w:i/>
          <w:iCs/>
        </w:rPr>
        <w:t xml:space="preserve">La </w:t>
      </w:r>
      <w:proofErr w:type="spellStart"/>
      <w:r w:rsidRPr="00771E6E">
        <w:rPr>
          <w:i/>
          <w:iCs/>
        </w:rPr>
        <w:t>figura</w:t>
      </w:r>
      <w:proofErr w:type="spellEnd"/>
      <w:r w:rsidRPr="00771E6E">
        <w:rPr>
          <w:i/>
          <w:iCs/>
        </w:rPr>
        <w:t xml:space="preserve"> de </w:t>
      </w:r>
      <w:proofErr w:type="spellStart"/>
      <w:r w:rsidRPr="00771E6E">
        <w:rPr>
          <w:i/>
          <w:iCs/>
        </w:rPr>
        <w:t>Jerónimo</w:t>
      </w:r>
      <w:proofErr w:type="spellEnd"/>
      <w:r w:rsidRPr="00771E6E">
        <w:rPr>
          <w:i/>
          <w:iCs/>
        </w:rPr>
        <w:t xml:space="preserve"> Savonarola O.P. y </w:t>
      </w:r>
      <w:proofErr w:type="spellStart"/>
      <w:r w:rsidRPr="00771E6E">
        <w:rPr>
          <w:i/>
          <w:iCs/>
        </w:rPr>
        <w:t>su</w:t>
      </w:r>
      <w:proofErr w:type="spellEnd"/>
      <w:r w:rsidRPr="00771E6E">
        <w:rPr>
          <w:i/>
          <w:iCs/>
        </w:rPr>
        <w:t xml:space="preserve"> </w:t>
      </w:r>
      <w:proofErr w:type="spellStart"/>
      <w:r w:rsidRPr="00771E6E">
        <w:rPr>
          <w:i/>
          <w:iCs/>
        </w:rPr>
        <w:t>influencia</w:t>
      </w:r>
      <w:proofErr w:type="spellEnd"/>
      <w:r w:rsidRPr="00771E6E">
        <w:rPr>
          <w:i/>
          <w:iCs/>
        </w:rPr>
        <w:t xml:space="preserve"> </w:t>
      </w:r>
      <w:proofErr w:type="spellStart"/>
      <w:r w:rsidRPr="00771E6E">
        <w:rPr>
          <w:i/>
          <w:iCs/>
        </w:rPr>
        <w:t>en</w:t>
      </w:r>
      <w:proofErr w:type="spellEnd"/>
      <w:r w:rsidRPr="00771E6E">
        <w:rPr>
          <w:i/>
          <w:iCs/>
        </w:rPr>
        <w:t xml:space="preserve"> </w:t>
      </w:r>
      <w:proofErr w:type="spellStart"/>
      <w:r w:rsidRPr="00771E6E">
        <w:rPr>
          <w:i/>
          <w:iCs/>
        </w:rPr>
        <w:t>España</w:t>
      </w:r>
      <w:proofErr w:type="spellEnd"/>
      <w:r w:rsidRPr="00771E6E">
        <w:rPr>
          <w:i/>
          <w:iCs/>
        </w:rPr>
        <w:t xml:space="preserve"> y Europa: </w:t>
      </w:r>
      <w:proofErr w:type="spellStart"/>
      <w:r w:rsidRPr="00771E6E">
        <w:rPr>
          <w:i/>
          <w:iCs/>
        </w:rPr>
        <w:t>actas</w:t>
      </w:r>
      <w:proofErr w:type="spellEnd"/>
      <w:r w:rsidRPr="00771E6E">
        <w:rPr>
          <w:i/>
          <w:iCs/>
        </w:rPr>
        <w:t xml:space="preserve"> del </w:t>
      </w:r>
      <w:proofErr w:type="spellStart"/>
      <w:r w:rsidRPr="00771E6E">
        <w:rPr>
          <w:i/>
          <w:iCs/>
        </w:rPr>
        <w:t>Congreso</w:t>
      </w:r>
      <w:proofErr w:type="spellEnd"/>
      <w:r w:rsidRPr="00771E6E">
        <w:rPr>
          <w:i/>
          <w:iCs/>
        </w:rPr>
        <w:t xml:space="preserve"> </w:t>
      </w:r>
      <w:proofErr w:type="spellStart"/>
      <w:r w:rsidRPr="00771E6E">
        <w:rPr>
          <w:i/>
          <w:iCs/>
        </w:rPr>
        <w:lastRenderedPageBreak/>
        <w:t>Internacional</w:t>
      </w:r>
      <w:proofErr w:type="spellEnd"/>
      <w:r w:rsidRPr="00771E6E">
        <w:rPr>
          <w:i/>
          <w:iCs/>
        </w:rPr>
        <w:t>, Valencia, 22-26 mayo 2000</w:t>
      </w:r>
      <w:r w:rsidRPr="00771E6E">
        <w:t xml:space="preserve">, edited by Donald Weinstein, </w:t>
      </w:r>
      <w:proofErr w:type="spellStart"/>
      <w:r w:rsidRPr="00771E6E">
        <w:t>Júlia</w:t>
      </w:r>
      <w:proofErr w:type="spellEnd"/>
      <w:r w:rsidRPr="00771E6E">
        <w:t xml:space="preserve"> </w:t>
      </w:r>
      <w:proofErr w:type="spellStart"/>
      <w:r w:rsidRPr="00771E6E">
        <w:t>Benavent</w:t>
      </w:r>
      <w:proofErr w:type="spellEnd"/>
      <w:r w:rsidRPr="00771E6E">
        <w:t xml:space="preserve"> </w:t>
      </w:r>
      <w:proofErr w:type="spellStart"/>
      <w:r w:rsidRPr="00771E6E">
        <w:t>i</w:t>
      </w:r>
      <w:proofErr w:type="spellEnd"/>
      <w:r w:rsidRPr="00771E6E">
        <w:t xml:space="preserve"> </w:t>
      </w:r>
      <w:proofErr w:type="spellStart"/>
      <w:r w:rsidRPr="00771E6E">
        <w:t>Benavent</w:t>
      </w:r>
      <w:proofErr w:type="spellEnd"/>
      <w:r w:rsidRPr="00771E6E">
        <w:t xml:space="preserve">, and J. Inés Rodríguez Gómez, 93–130. Florence: </w:t>
      </w:r>
      <w:proofErr w:type="spellStart"/>
      <w:r w:rsidRPr="00771E6E">
        <w:t>Edizioni</w:t>
      </w:r>
      <w:proofErr w:type="spellEnd"/>
      <w:r w:rsidRPr="00771E6E">
        <w:t xml:space="preserve"> del </w:t>
      </w:r>
      <w:proofErr w:type="spellStart"/>
      <w:r w:rsidRPr="00771E6E">
        <w:t>Galluzzo</w:t>
      </w:r>
      <w:proofErr w:type="spellEnd"/>
      <w:r w:rsidRPr="00771E6E">
        <w:t xml:space="preserve"> per la Fondazione Ezio </w:t>
      </w:r>
      <w:proofErr w:type="spellStart"/>
      <w:r w:rsidRPr="00771E6E">
        <w:t>Franceschini</w:t>
      </w:r>
      <w:proofErr w:type="spellEnd"/>
      <w:r w:rsidRPr="00771E6E">
        <w:t>, 2004.</w:t>
      </w:r>
    </w:p>
    <w:p w14:paraId="4BA807F6" w14:textId="77777777" w:rsidR="00F33779" w:rsidRPr="00771E6E" w:rsidRDefault="00F33779" w:rsidP="00F33779">
      <w:pPr>
        <w:pStyle w:val="Bibliography"/>
      </w:pPr>
      <w:r w:rsidRPr="00771E6E">
        <w:t>Salvi, Donato. “</w:t>
      </w:r>
      <w:proofErr w:type="spellStart"/>
      <w:r w:rsidRPr="00771E6E">
        <w:t>Prefazione</w:t>
      </w:r>
      <w:proofErr w:type="spellEnd"/>
      <w:r w:rsidRPr="00771E6E">
        <w:t xml:space="preserve">.” In </w:t>
      </w:r>
      <w:proofErr w:type="spellStart"/>
      <w:r w:rsidRPr="00771E6E">
        <w:rPr>
          <w:i/>
          <w:iCs/>
        </w:rPr>
        <w:t>Regola</w:t>
      </w:r>
      <w:proofErr w:type="spellEnd"/>
      <w:r w:rsidRPr="00771E6E">
        <w:rPr>
          <w:i/>
          <w:iCs/>
        </w:rPr>
        <w:t xml:space="preserve"> Del </w:t>
      </w:r>
      <w:proofErr w:type="spellStart"/>
      <w:r w:rsidRPr="00771E6E">
        <w:rPr>
          <w:i/>
          <w:iCs/>
        </w:rPr>
        <w:t>Governo</w:t>
      </w:r>
      <w:proofErr w:type="spellEnd"/>
      <w:r w:rsidRPr="00771E6E">
        <w:rPr>
          <w:i/>
          <w:iCs/>
        </w:rPr>
        <w:t xml:space="preserve"> Di </w:t>
      </w:r>
      <w:proofErr w:type="spellStart"/>
      <w:r w:rsidRPr="00771E6E">
        <w:rPr>
          <w:i/>
          <w:iCs/>
        </w:rPr>
        <w:t>Cura</w:t>
      </w:r>
      <w:proofErr w:type="spellEnd"/>
      <w:r w:rsidRPr="00771E6E">
        <w:rPr>
          <w:i/>
          <w:iCs/>
        </w:rPr>
        <w:t xml:space="preserve"> </w:t>
      </w:r>
      <w:proofErr w:type="spellStart"/>
      <w:r w:rsidRPr="00771E6E">
        <w:rPr>
          <w:i/>
          <w:iCs/>
        </w:rPr>
        <w:t>Familiare</w:t>
      </w:r>
      <w:proofErr w:type="spellEnd"/>
      <w:r w:rsidRPr="00771E6E">
        <w:t xml:space="preserve">, edited by Donato Salvi, </w:t>
      </w:r>
      <w:proofErr w:type="spellStart"/>
      <w:r w:rsidRPr="00771E6E">
        <w:t>i</w:t>
      </w:r>
      <w:proofErr w:type="spellEnd"/>
      <w:r w:rsidRPr="00771E6E">
        <w:t xml:space="preserve">–clx. Florence: </w:t>
      </w:r>
      <w:proofErr w:type="spellStart"/>
      <w:r w:rsidRPr="00771E6E">
        <w:t>Angiolo</w:t>
      </w:r>
      <w:proofErr w:type="spellEnd"/>
      <w:r w:rsidRPr="00771E6E">
        <w:t xml:space="preserve"> </w:t>
      </w:r>
      <w:proofErr w:type="spellStart"/>
      <w:r w:rsidRPr="00771E6E">
        <w:t>Garinei</w:t>
      </w:r>
      <w:proofErr w:type="spellEnd"/>
      <w:r w:rsidRPr="00771E6E">
        <w:t xml:space="preserve"> </w:t>
      </w:r>
      <w:proofErr w:type="spellStart"/>
      <w:r w:rsidRPr="00771E6E">
        <w:t>Libraio</w:t>
      </w:r>
      <w:proofErr w:type="spellEnd"/>
      <w:r w:rsidRPr="00771E6E">
        <w:t>, 1860.</w:t>
      </w:r>
    </w:p>
    <w:p w14:paraId="08464176" w14:textId="77777777" w:rsidR="00F33779" w:rsidRPr="00771E6E" w:rsidRDefault="00F33779" w:rsidP="00F33779">
      <w:pPr>
        <w:pStyle w:val="Bibliography"/>
      </w:pPr>
      <w:r w:rsidRPr="00771E6E">
        <w:t xml:space="preserve">Samuel, Christopher J. “‘Heavenly Theologians’: The Place </w:t>
      </w:r>
      <w:r w:rsidR="00FB0EFE" w:rsidRPr="00771E6E">
        <w:t>o</w:t>
      </w:r>
      <w:r w:rsidRPr="00771E6E">
        <w:t xml:space="preserve">f Angels </w:t>
      </w:r>
      <w:r w:rsidR="00FB0EFE" w:rsidRPr="00771E6E">
        <w:t>i</w:t>
      </w:r>
      <w:r w:rsidRPr="00771E6E">
        <w:t xml:space="preserve">n The Theology </w:t>
      </w:r>
      <w:r w:rsidR="005B7428" w:rsidRPr="00771E6E">
        <w:t>o</w:t>
      </w:r>
      <w:r w:rsidRPr="00771E6E">
        <w:t>f Martin Luther.” PhD. Diss., Marquette University, 2014.</w:t>
      </w:r>
    </w:p>
    <w:p w14:paraId="0A49FE39" w14:textId="77777777" w:rsidR="00F33779" w:rsidRPr="00771E6E" w:rsidRDefault="00F33779" w:rsidP="00F33779">
      <w:pPr>
        <w:pStyle w:val="Bibliography"/>
      </w:pPr>
      <w:proofErr w:type="spellStart"/>
      <w:r w:rsidRPr="00771E6E">
        <w:t>Sannibale</w:t>
      </w:r>
      <w:proofErr w:type="spellEnd"/>
      <w:r w:rsidRPr="00771E6E">
        <w:t xml:space="preserve">, Maurizio, and Paolo </w:t>
      </w:r>
      <w:proofErr w:type="spellStart"/>
      <w:r w:rsidRPr="00771E6E">
        <w:t>Liverani</w:t>
      </w:r>
      <w:proofErr w:type="spellEnd"/>
      <w:r w:rsidRPr="00771E6E">
        <w:t xml:space="preserve">. “The Classic Origins of Angel Iconography.” In </w:t>
      </w:r>
      <w:r w:rsidRPr="00771E6E">
        <w:rPr>
          <w:i/>
          <w:iCs/>
        </w:rPr>
        <w:t xml:space="preserve">Angels from the Vatican: The Invisible Made Visible, </w:t>
      </w:r>
      <w:proofErr w:type="spellStart"/>
      <w:r w:rsidRPr="00771E6E">
        <w:t>Exh.Cat</w:t>
      </w:r>
      <w:proofErr w:type="spellEnd"/>
      <w:r w:rsidRPr="00771E6E">
        <w:t xml:space="preserve">., edited by Allen Duston and Arnold </w:t>
      </w:r>
      <w:proofErr w:type="spellStart"/>
      <w:r w:rsidRPr="00771E6E">
        <w:t>Nesselrath</w:t>
      </w:r>
      <w:proofErr w:type="spellEnd"/>
      <w:r w:rsidRPr="00771E6E">
        <w:t>, 62–71. Alexandria, Va.: Art Services International, 1998.</w:t>
      </w:r>
    </w:p>
    <w:p w14:paraId="53AA8694" w14:textId="77777777" w:rsidR="00F33779" w:rsidRPr="00771E6E" w:rsidRDefault="00F33779" w:rsidP="00F33779">
      <w:pPr>
        <w:pStyle w:val="Bibliography"/>
      </w:pPr>
      <w:r w:rsidRPr="00771E6E">
        <w:t xml:space="preserve">Schiaparelli, Attilio. </w:t>
      </w:r>
      <w:r w:rsidRPr="00771E6E">
        <w:rPr>
          <w:i/>
          <w:iCs/>
        </w:rPr>
        <w:t xml:space="preserve">La casa </w:t>
      </w:r>
      <w:proofErr w:type="spellStart"/>
      <w:r w:rsidRPr="00771E6E">
        <w:rPr>
          <w:i/>
          <w:iCs/>
        </w:rPr>
        <w:t>fiorentina</w:t>
      </w:r>
      <w:proofErr w:type="spellEnd"/>
      <w:r w:rsidRPr="00771E6E">
        <w:rPr>
          <w:i/>
          <w:iCs/>
        </w:rPr>
        <w:t xml:space="preserve"> e </w:t>
      </w:r>
      <w:proofErr w:type="spellStart"/>
      <w:r w:rsidRPr="00771E6E">
        <w:rPr>
          <w:i/>
          <w:iCs/>
        </w:rPr>
        <w:t>i</w:t>
      </w:r>
      <w:proofErr w:type="spellEnd"/>
      <w:r w:rsidRPr="00771E6E">
        <w:rPr>
          <w:i/>
          <w:iCs/>
        </w:rPr>
        <w:t xml:space="preserve"> </w:t>
      </w:r>
      <w:proofErr w:type="spellStart"/>
      <w:r w:rsidRPr="00771E6E">
        <w:rPr>
          <w:i/>
          <w:iCs/>
        </w:rPr>
        <w:t>suoi</w:t>
      </w:r>
      <w:proofErr w:type="spellEnd"/>
      <w:r w:rsidRPr="00771E6E">
        <w:rPr>
          <w:i/>
          <w:iCs/>
        </w:rPr>
        <w:t xml:space="preserve"> </w:t>
      </w:r>
      <w:proofErr w:type="spellStart"/>
      <w:r w:rsidRPr="00771E6E">
        <w:rPr>
          <w:i/>
          <w:iCs/>
        </w:rPr>
        <w:t>arredi</w:t>
      </w:r>
      <w:proofErr w:type="spellEnd"/>
      <w:r w:rsidRPr="00771E6E">
        <w:rPr>
          <w:i/>
          <w:iCs/>
        </w:rPr>
        <w:t xml:space="preserve"> </w:t>
      </w:r>
      <w:proofErr w:type="spellStart"/>
      <w:r w:rsidRPr="00771E6E">
        <w:rPr>
          <w:i/>
          <w:iCs/>
        </w:rPr>
        <w:t>nei</w:t>
      </w:r>
      <w:proofErr w:type="spellEnd"/>
      <w:r w:rsidRPr="00771E6E">
        <w:rPr>
          <w:i/>
          <w:iCs/>
        </w:rPr>
        <w:t xml:space="preserve"> </w:t>
      </w:r>
      <w:proofErr w:type="spellStart"/>
      <w:r w:rsidRPr="00771E6E">
        <w:rPr>
          <w:i/>
          <w:iCs/>
        </w:rPr>
        <w:t>secoli</w:t>
      </w:r>
      <w:proofErr w:type="spellEnd"/>
      <w:r w:rsidRPr="00771E6E">
        <w:rPr>
          <w:i/>
          <w:iCs/>
        </w:rPr>
        <w:t xml:space="preserve"> XIV e XV</w:t>
      </w:r>
      <w:r w:rsidRPr="00771E6E">
        <w:t xml:space="preserve">. Vol. 1. Florence: G.C. </w:t>
      </w:r>
      <w:proofErr w:type="spellStart"/>
      <w:r w:rsidRPr="00771E6E">
        <w:t>Sansoni</w:t>
      </w:r>
      <w:proofErr w:type="spellEnd"/>
      <w:r w:rsidRPr="00771E6E">
        <w:t>, 1908.</w:t>
      </w:r>
    </w:p>
    <w:p w14:paraId="4FF9CC9B" w14:textId="77777777" w:rsidR="00F33779" w:rsidRPr="00771E6E" w:rsidRDefault="00F33779" w:rsidP="00F33779">
      <w:pPr>
        <w:pStyle w:val="Bibliography"/>
      </w:pPr>
      <w:proofErr w:type="spellStart"/>
      <w:r w:rsidRPr="00771E6E">
        <w:t>Schibanoff</w:t>
      </w:r>
      <w:proofErr w:type="spellEnd"/>
      <w:r w:rsidRPr="00771E6E">
        <w:t xml:space="preserve">, Susan. “Botticelli’s Madonna Del Magnificat: Constructing the Woman Writer in Early Humanist Italy.” </w:t>
      </w:r>
      <w:r w:rsidRPr="00771E6E">
        <w:rPr>
          <w:i/>
          <w:iCs/>
        </w:rPr>
        <w:t>PMLA</w:t>
      </w:r>
      <w:r w:rsidRPr="00771E6E">
        <w:t xml:space="preserve"> 109, no. 2 (1994): 190–206.</w:t>
      </w:r>
    </w:p>
    <w:p w14:paraId="3D2B4547" w14:textId="77777777" w:rsidR="00F33779" w:rsidRPr="00771E6E" w:rsidRDefault="00F33779" w:rsidP="00F33779">
      <w:pPr>
        <w:pStyle w:val="Bibliography"/>
      </w:pPr>
      <w:r w:rsidRPr="00771E6E">
        <w:t>Schmidt-</w:t>
      </w:r>
      <w:proofErr w:type="spellStart"/>
      <w:r w:rsidRPr="00771E6E">
        <w:t>Beste</w:t>
      </w:r>
      <w:proofErr w:type="spellEnd"/>
      <w:r w:rsidRPr="00771E6E">
        <w:t xml:space="preserve">, Thomas. “Polyphonic Sources, ca.1450-1500.” In </w:t>
      </w:r>
      <w:proofErr w:type="gramStart"/>
      <w:r w:rsidRPr="00771E6E">
        <w:rPr>
          <w:i/>
          <w:iCs/>
        </w:rPr>
        <w:t>The</w:t>
      </w:r>
      <w:proofErr w:type="gramEnd"/>
      <w:r w:rsidRPr="00771E6E">
        <w:rPr>
          <w:i/>
          <w:iCs/>
        </w:rPr>
        <w:t xml:space="preserve"> Cambridge History of Fifteenth-Century Music</w:t>
      </w:r>
      <w:r w:rsidRPr="00771E6E">
        <w:t xml:space="preserve">, edited by Anna Maria </w:t>
      </w:r>
      <w:proofErr w:type="spellStart"/>
      <w:r w:rsidRPr="00771E6E">
        <w:t>Busse</w:t>
      </w:r>
      <w:proofErr w:type="spellEnd"/>
      <w:r w:rsidRPr="00771E6E">
        <w:t xml:space="preserve"> Berger and Jesse Rodin, 641–62. Cambridge: Cambridge University Press, 2015.</w:t>
      </w:r>
    </w:p>
    <w:p w14:paraId="400D8F02" w14:textId="77777777" w:rsidR="00F33779" w:rsidRPr="00771E6E" w:rsidRDefault="00F33779" w:rsidP="00F33779">
      <w:pPr>
        <w:pStyle w:val="Bibliography"/>
      </w:pPr>
      <w:r w:rsidRPr="00771E6E">
        <w:t xml:space="preserve">Schneider, Laurie. “Mirrors in Art.” </w:t>
      </w:r>
      <w:r w:rsidRPr="00771E6E">
        <w:rPr>
          <w:i/>
          <w:iCs/>
        </w:rPr>
        <w:t>Psychoanalytic Inquiry Psychoanalytic Inquiry</w:t>
      </w:r>
      <w:r w:rsidRPr="00771E6E">
        <w:t xml:space="preserve"> 5, no. 2 (1985): 283–324.</w:t>
      </w:r>
    </w:p>
    <w:p w14:paraId="63340DE0" w14:textId="77777777" w:rsidR="00F33779" w:rsidRPr="00771E6E" w:rsidRDefault="00F33779" w:rsidP="00F33779">
      <w:pPr>
        <w:pStyle w:val="Bibliography"/>
      </w:pPr>
      <w:r w:rsidRPr="00771E6E">
        <w:t xml:space="preserve">Schutte, Anne Jacobson. </w:t>
      </w:r>
      <w:r w:rsidRPr="00771E6E">
        <w:rPr>
          <w:i/>
          <w:iCs/>
        </w:rPr>
        <w:t>Printed Italian Vernacular Religious Books 1465-1550: A Finding List</w:t>
      </w:r>
      <w:r w:rsidRPr="00771E6E">
        <w:t xml:space="preserve">. Geneva: </w:t>
      </w:r>
      <w:proofErr w:type="spellStart"/>
      <w:r w:rsidRPr="00771E6E">
        <w:t>Droz</w:t>
      </w:r>
      <w:proofErr w:type="spellEnd"/>
      <w:r w:rsidRPr="00771E6E">
        <w:t>, 1983.</w:t>
      </w:r>
    </w:p>
    <w:p w14:paraId="5F053585" w14:textId="77777777" w:rsidR="00F33779" w:rsidRPr="00771E6E" w:rsidRDefault="00F33779" w:rsidP="00F33779">
      <w:pPr>
        <w:pStyle w:val="Bibliography"/>
      </w:pPr>
      <w:r w:rsidRPr="00771E6E">
        <w:t xml:space="preserve">Seay, Albert. “The </w:t>
      </w:r>
      <w:proofErr w:type="spellStart"/>
      <w:r w:rsidRPr="00771E6E">
        <w:t>Expositio</w:t>
      </w:r>
      <w:proofErr w:type="spellEnd"/>
      <w:r w:rsidRPr="00771E6E">
        <w:t xml:space="preserve"> Manus of Johannes Tinctoris.” </w:t>
      </w:r>
      <w:r w:rsidRPr="00771E6E">
        <w:rPr>
          <w:i/>
          <w:iCs/>
        </w:rPr>
        <w:t>Journal of Music Theory</w:t>
      </w:r>
      <w:r w:rsidRPr="00771E6E">
        <w:t xml:space="preserve"> 9, no. 2 (Winter 1965): 194–232.</w:t>
      </w:r>
    </w:p>
    <w:p w14:paraId="65E325C7" w14:textId="77777777" w:rsidR="00F33779" w:rsidRPr="00771E6E" w:rsidRDefault="00F33779" w:rsidP="00F33779">
      <w:pPr>
        <w:pStyle w:val="Bibliography"/>
      </w:pPr>
      <w:r w:rsidRPr="00771E6E">
        <w:t xml:space="preserve">Shahar, </w:t>
      </w:r>
      <w:proofErr w:type="spellStart"/>
      <w:r w:rsidRPr="00771E6E">
        <w:t>Shulamith</w:t>
      </w:r>
      <w:proofErr w:type="spellEnd"/>
      <w:r w:rsidRPr="00771E6E">
        <w:t xml:space="preserve">. </w:t>
      </w:r>
      <w:r w:rsidRPr="00771E6E">
        <w:rPr>
          <w:i/>
          <w:iCs/>
        </w:rPr>
        <w:t>Childhood in the Middle Ages</w:t>
      </w:r>
      <w:r w:rsidRPr="00771E6E">
        <w:t xml:space="preserve">. Translated by Chaya </w:t>
      </w:r>
      <w:proofErr w:type="spellStart"/>
      <w:r w:rsidRPr="00771E6E">
        <w:t>Galai</w:t>
      </w:r>
      <w:proofErr w:type="spellEnd"/>
      <w:r w:rsidRPr="00771E6E">
        <w:t>. London and New York: Routledge, 1990.</w:t>
      </w:r>
    </w:p>
    <w:p w14:paraId="562D23CD" w14:textId="77777777" w:rsidR="00F33779" w:rsidRPr="00771E6E" w:rsidRDefault="00F33779" w:rsidP="00F33779">
      <w:pPr>
        <w:pStyle w:val="Bibliography"/>
      </w:pPr>
      <w:proofErr w:type="spellStart"/>
      <w:r w:rsidRPr="00771E6E">
        <w:t>Sheingorn</w:t>
      </w:r>
      <w:proofErr w:type="spellEnd"/>
      <w:r w:rsidRPr="00771E6E">
        <w:t>, Pamela. “</w:t>
      </w:r>
      <w:r w:rsidRPr="00771E6E">
        <w:rPr>
          <w:i/>
          <w:iCs/>
        </w:rPr>
        <w:t>The Wise Mother</w:t>
      </w:r>
      <w:r w:rsidRPr="00771E6E">
        <w:t xml:space="preserve">: The Image of St. Anne Teaching the Virgin Mary.” </w:t>
      </w:r>
      <w:proofErr w:type="spellStart"/>
      <w:r w:rsidRPr="00771E6E">
        <w:rPr>
          <w:i/>
          <w:iCs/>
        </w:rPr>
        <w:t>Gesta</w:t>
      </w:r>
      <w:proofErr w:type="spellEnd"/>
      <w:r w:rsidRPr="00771E6E">
        <w:t xml:space="preserve"> 32, no. 1 (1993): 69–80.</w:t>
      </w:r>
    </w:p>
    <w:p w14:paraId="1CC34784" w14:textId="77777777" w:rsidR="00F33779" w:rsidRPr="00771E6E" w:rsidRDefault="00F33779" w:rsidP="00F33779">
      <w:pPr>
        <w:pStyle w:val="Bibliography"/>
      </w:pPr>
      <w:r w:rsidRPr="00771E6E">
        <w:t xml:space="preserve">Shephard, Tim. “A Mirror for Princes: The Ferrarese Mirror Frame in the V&amp;A and the Instruction of Heirs.” </w:t>
      </w:r>
      <w:r w:rsidRPr="00771E6E">
        <w:rPr>
          <w:i/>
          <w:iCs/>
        </w:rPr>
        <w:t>Journal of Design History</w:t>
      </w:r>
      <w:r w:rsidRPr="00771E6E">
        <w:t xml:space="preserve"> 26, no. 1 (2013): 104–14.</w:t>
      </w:r>
    </w:p>
    <w:p w14:paraId="0A9B56D7" w14:textId="77777777" w:rsidR="00F33779" w:rsidRPr="00771E6E" w:rsidRDefault="00F33779" w:rsidP="00F33779">
      <w:pPr>
        <w:pStyle w:val="Bibliography"/>
      </w:pPr>
      <w:r w:rsidRPr="00771E6E">
        <w:t xml:space="preserve">———. “Noblewomen and Music in Italy, c. 1430-1520: Looking Past Isabella.” In </w:t>
      </w:r>
      <w:r w:rsidRPr="00771E6E">
        <w:rPr>
          <w:i/>
          <w:iCs/>
        </w:rPr>
        <w:t>Gender, Age and Musical Creativity</w:t>
      </w:r>
      <w:r w:rsidRPr="00771E6E">
        <w:t>, edited by Catherine Haworth and Lisa Colton, 27–40. Dorchester: Ashgate, 2016.</w:t>
      </w:r>
    </w:p>
    <w:p w14:paraId="045F3F50" w14:textId="77777777" w:rsidR="00F33779" w:rsidRPr="00771E6E" w:rsidRDefault="00F33779" w:rsidP="00F33779">
      <w:pPr>
        <w:pStyle w:val="Bibliography"/>
      </w:pPr>
      <w:r w:rsidRPr="00771E6E">
        <w:t xml:space="preserve">Shephard, Tim, and Patrick McMahon. “Foolish Midas: Representing Musical Judgement and Moral Judgement in Italy, c. 1520.” In </w:t>
      </w:r>
      <w:r w:rsidRPr="00771E6E">
        <w:rPr>
          <w:i/>
          <w:iCs/>
        </w:rPr>
        <w:t>Music, Myth and Story in Medieval and Early Modern Culture</w:t>
      </w:r>
      <w:r w:rsidRPr="00771E6E">
        <w:t xml:space="preserve">, edited by Katherine Butler and Samantha </w:t>
      </w:r>
      <w:proofErr w:type="spellStart"/>
      <w:r w:rsidRPr="00771E6E">
        <w:t>Bassler</w:t>
      </w:r>
      <w:proofErr w:type="spellEnd"/>
      <w:r w:rsidRPr="00771E6E">
        <w:t>, 87–104. Woodbridge: Boydell and Brewer, 2019.</w:t>
      </w:r>
    </w:p>
    <w:p w14:paraId="550CA54C" w14:textId="77777777" w:rsidR="00F33779" w:rsidRPr="00771E6E" w:rsidRDefault="00F33779" w:rsidP="00F33779">
      <w:pPr>
        <w:pStyle w:val="Bibliography"/>
      </w:pPr>
      <w:r w:rsidRPr="00771E6E">
        <w:t xml:space="preserve">Shephard, Tim, Laura </w:t>
      </w:r>
      <w:proofErr w:type="spellStart"/>
      <w:r w:rsidRPr="00771E6E">
        <w:t>Ştefănescu</w:t>
      </w:r>
      <w:proofErr w:type="spellEnd"/>
      <w:r w:rsidRPr="00771E6E">
        <w:t xml:space="preserve">, and Serenella Sessini. “Music, Silence, and the Senses in a Late Fifteenth-Century Book of Hours.” </w:t>
      </w:r>
      <w:r w:rsidRPr="00771E6E">
        <w:rPr>
          <w:i/>
          <w:iCs/>
        </w:rPr>
        <w:t>Renaissance Quarterly</w:t>
      </w:r>
      <w:r w:rsidRPr="00771E6E">
        <w:t xml:space="preserve"> 70, no. 2 (2017): 474–512.</w:t>
      </w:r>
    </w:p>
    <w:p w14:paraId="612E2827" w14:textId="77777777" w:rsidR="00F33779" w:rsidRPr="00771E6E" w:rsidRDefault="00F33779" w:rsidP="00F33779">
      <w:pPr>
        <w:pStyle w:val="Bibliography"/>
      </w:pPr>
      <w:proofErr w:type="spellStart"/>
      <w:r w:rsidRPr="00771E6E">
        <w:t>Shuger</w:t>
      </w:r>
      <w:proofErr w:type="spellEnd"/>
      <w:r w:rsidRPr="00771E6E">
        <w:t xml:space="preserve">, Debora. “The ‘I’ of the Beholder. Renaissance Mirrors and the Reflexive Mind.” In </w:t>
      </w:r>
      <w:r w:rsidRPr="00771E6E">
        <w:rPr>
          <w:i/>
          <w:iCs/>
        </w:rPr>
        <w:t>Renaissance Culture and the Everyday</w:t>
      </w:r>
      <w:r w:rsidRPr="00771E6E">
        <w:t xml:space="preserve">, edited by Patricia </w:t>
      </w:r>
      <w:proofErr w:type="spellStart"/>
      <w:r w:rsidRPr="00771E6E">
        <w:t>Fumerton</w:t>
      </w:r>
      <w:proofErr w:type="spellEnd"/>
      <w:r w:rsidRPr="00771E6E">
        <w:t xml:space="preserve"> and Simon Hunt. Philadelphia: University of Pennsylvania Press, 1999.</w:t>
      </w:r>
    </w:p>
    <w:p w14:paraId="42C74E50" w14:textId="77777777" w:rsidR="00F33779" w:rsidRPr="00771E6E" w:rsidRDefault="00F33779" w:rsidP="00F33779">
      <w:pPr>
        <w:pStyle w:val="Bibliography"/>
      </w:pPr>
      <w:r w:rsidRPr="00771E6E">
        <w:t xml:space="preserve">Simons, Patricia. “The Social and Religious Context of Iconographic Oddity: Breastfeeding in Ghirlandaio’s Birth of the Baptist.” In </w:t>
      </w:r>
      <w:r w:rsidRPr="00771E6E">
        <w:rPr>
          <w:i/>
          <w:iCs/>
        </w:rPr>
        <w:t xml:space="preserve">Medieval and Renaissance Lactations: Images, </w:t>
      </w:r>
      <w:proofErr w:type="spellStart"/>
      <w:r w:rsidRPr="00771E6E">
        <w:rPr>
          <w:i/>
          <w:iCs/>
        </w:rPr>
        <w:t>Rhetorics</w:t>
      </w:r>
      <w:proofErr w:type="spellEnd"/>
      <w:r w:rsidRPr="00771E6E">
        <w:rPr>
          <w:i/>
          <w:iCs/>
        </w:rPr>
        <w:t>, Practices</w:t>
      </w:r>
      <w:r w:rsidRPr="00771E6E">
        <w:t>, edited by Jutta Gisela Sperling, 213–33. Farnham and Burlington, VT: Ashgate, 2013.</w:t>
      </w:r>
    </w:p>
    <w:p w14:paraId="73142D59" w14:textId="77777777" w:rsidR="00F33779" w:rsidRPr="00771E6E" w:rsidRDefault="00F33779" w:rsidP="00F33779">
      <w:pPr>
        <w:pStyle w:val="Bibliography"/>
      </w:pPr>
      <w:r w:rsidRPr="00771E6E">
        <w:t xml:space="preserve">Singleton, Charles S, ed. </w:t>
      </w:r>
      <w:proofErr w:type="spellStart"/>
      <w:r w:rsidRPr="00771E6E">
        <w:rPr>
          <w:i/>
          <w:iCs/>
        </w:rPr>
        <w:t>Canti</w:t>
      </w:r>
      <w:proofErr w:type="spellEnd"/>
      <w:r w:rsidRPr="00771E6E">
        <w:rPr>
          <w:i/>
          <w:iCs/>
        </w:rPr>
        <w:t xml:space="preserve"> </w:t>
      </w:r>
      <w:proofErr w:type="spellStart"/>
      <w:r w:rsidRPr="00771E6E">
        <w:rPr>
          <w:i/>
          <w:iCs/>
        </w:rPr>
        <w:t>carnascialeschi</w:t>
      </w:r>
      <w:proofErr w:type="spellEnd"/>
      <w:r w:rsidRPr="00771E6E">
        <w:rPr>
          <w:i/>
          <w:iCs/>
        </w:rPr>
        <w:t xml:space="preserve"> del </w:t>
      </w:r>
      <w:proofErr w:type="spellStart"/>
      <w:r w:rsidRPr="00771E6E">
        <w:rPr>
          <w:i/>
          <w:iCs/>
        </w:rPr>
        <w:t>Rinascimento</w:t>
      </w:r>
      <w:proofErr w:type="spellEnd"/>
      <w:r w:rsidRPr="00771E6E">
        <w:t xml:space="preserve">. Bari: G. </w:t>
      </w:r>
      <w:proofErr w:type="spellStart"/>
      <w:r w:rsidRPr="00771E6E">
        <w:t>Laterza</w:t>
      </w:r>
      <w:proofErr w:type="spellEnd"/>
      <w:r w:rsidRPr="00771E6E">
        <w:t xml:space="preserve"> &amp; </w:t>
      </w:r>
      <w:proofErr w:type="spellStart"/>
      <w:r w:rsidRPr="00771E6E">
        <w:t>Figli</w:t>
      </w:r>
      <w:proofErr w:type="spellEnd"/>
      <w:r w:rsidRPr="00771E6E">
        <w:t>, 1936.</w:t>
      </w:r>
    </w:p>
    <w:p w14:paraId="681CAAD0" w14:textId="77777777" w:rsidR="00F33779" w:rsidRPr="00771E6E" w:rsidRDefault="00F33779" w:rsidP="00F33779">
      <w:pPr>
        <w:pStyle w:val="Bibliography"/>
      </w:pPr>
      <w:proofErr w:type="spellStart"/>
      <w:r w:rsidRPr="00771E6E">
        <w:lastRenderedPageBreak/>
        <w:t>Siraisi</w:t>
      </w:r>
      <w:proofErr w:type="spellEnd"/>
      <w:r w:rsidRPr="00771E6E">
        <w:t xml:space="preserve">, Nancy G. “The Music of Pulse in the Writings of Italian Academic Physicians (Fourteenth and Fifteenth Centuries).” </w:t>
      </w:r>
      <w:r w:rsidRPr="00771E6E">
        <w:rPr>
          <w:i/>
          <w:iCs/>
        </w:rPr>
        <w:t>Speculum</w:t>
      </w:r>
      <w:r w:rsidRPr="00771E6E">
        <w:t xml:space="preserve"> 50, no. 4 (1975): 689–710.</w:t>
      </w:r>
    </w:p>
    <w:p w14:paraId="2ED1D497" w14:textId="77777777" w:rsidR="00F33779" w:rsidRPr="00771E6E" w:rsidRDefault="00F33779" w:rsidP="00F33779">
      <w:pPr>
        <w:pStyle w:val="Bibliography"/>
      </w:pPr>
      <w:r w:rsidRPr="00771E6E">
        <w:t xml:space="preserve">Smits van </w:t>
      </w:r>
      <w:proofErr w:type="spellStart"/>
      <w:r w:rsidRPr="00771E6E">
        <w:t>Waesberghe</w:t>
      </w:r>
      <w:proofErr w:type="spellEnd"/>
      <w:r w:rsidRPr="00771E6E">
        <w:t xml:space="preserve">, </w:t>
      </w:r>
      <w:proofErr w:type="spellStart"/>
      <w:r w:rsidRPr="00771E6E">
        <w:t>Josep</w:t>
      </w:r>
      <w:proofErr w:type="spellEnd"/>
      <w:r w:rsidRPr="00771E6E">
        <w:t>. “</w:t>
      </w:r>
      <w:proofErr w:type="spellStart"/>
      <w:r w:rsidRPr="00771E6E">
        <w:t>Singen</w:t>
      </w:r>
      <w:proofErr w:type="spellEnd"/>
      <w:r w:rsidRPr="00771E6E">
        <w:t xml:space="preserve"> und </w:t>
      </w:r>
      <w:proofErr w:type="spellStart"/>
      <w:r w:rsidRPr="00771E6E">
        <w:t>Dirigieren</w:t>
      </w:r>
      <w:proofErr w:type="spellEnd"/>
      <w:r w:rsidRPr="00771E6E">
        <w:t xml:space="preserve"> der </w:t>
      </w:r>
      <w:proofErr w:type="spellStart"/>
      <w:r w:rsidRPr="00771E6E">
        <w:t>mehrstimmigen</w:t>
      </w:r>
      <w:proofErr w:type="spellEnd"/>
      <w:r w:rsidRPr="00771E6E">
        <w:t xml:space="preserve"> </w:t>
      </w:r>
      <w:proofErr w:type="spellStart"/>
      <w:r w:rsidRPr="00771E6E">
        <w:t>Musik</w:t>
      </w:r>
      <w:proofErr w:type="spellEnd"/>
      <w:r w:rsidRPr="00771E6E">
        <w:t xml:space="preserve"> </w:t>
      </w:r>
      <w:proofErr w:type="spellStart"/>
      <w:r w:rsidRPr="00771E6E">
        <w:t>im</w:t>
      </w:r>
      <w:proofErr w:type="spellEnd"/>
      <w:r w:rsidRPr="00771E6E">
        <w:t xml:space="preserve"> </w:t>
      </w:r>
      <w:proofErr w:type="spellStart"/>
      <w:r w:rsidRPr="00771E6E">
        <w:t>Mittelalter</w:t>
      </w:r>
      <w:proofErr w:type="spellEnd"/>
      <w:r w:rsidRPr="00771E6E">
        <w:t xml:space="preserve">: Was </w:t>
      </w:r>
      <w:proofErr w:type="spellStart"/>
      <w:r w:rsidRPr="00771E6E">
        <w:t>Miniaturen</w:t>
      </w:r>
      <w:proofErr w:type="spellEnd"/>
      <w:r w:rsidRPr="00771E6E">
        <w:t xml:space="preserve"> </w:t>
      </w:r>
      <w:proofErr w:type="spellStart"/>
      <w:r w:rsidRPr="00771E6E">
        <w:t>uns</w:t>
      </w:r>
      <w:proofErr w:type="spellEnd"/>
      <w:r w:rsidRPr="00771E6E">
        <w:t xml:space="preserve"> </w:t>
      </w:r>
      <w:proofErr w:type="spellStart"/>
      <w:r w:rsidRPr="00771E6E">
        <w:t>hierüber</w:t>
      </w:r>
      <w:proofErr w:type="spellEnd"/>
      <w:r w:rsidRPr="00771E6E">
        <w:t xml:space="preserve"> </w:t>
      </w:r>
      <w:proofErr w:type="spellStart"/>
      <w:r w:rsidRPr="00771E6E">
        <w:t>lehren</w:t>
      </w:r>
      <w:proofErr w:type="spellEnd"/>
      <w:r w:rsidRPr="00771E6E">
        <w:t xml:space="preserve">.” In </w:t>
      </w:r>
      <w:r w:rsidRPr="00771E6E">
        <w:rPr>
          <w:i/>
          <w:iCs/>
        </w:rPr>
        <w:t xml:space="preserve">Mélanges </w:t>
      </w:r>
      <w:proofErr w:type="spellStart"/>
      <w:r w:rsidRPr="00771E6E">
        <w:rPr>
          <w:i/>
          <w:iCs/>
        </w:rPr>
        <w:t>offerts</w:t>
      </w:r>
      <w:proofErr w:type="spellEnd"/>
      <w:r w:rsidRPr="00771E6E">
        <w:rPr>
          <w:i/>
          <w:iCs/>
        </w:rPr>
        <w:t xml:space="preserve"> à René Crozet</w:t>
      </w:r>
      <w:r w:rsidRPr="00771E6E">
        <w:t xml:space="preserve">, edited by Pierre </w:t>
      </w:r>
      <w:proofErr w:type="spellStart"/>
      <w:r w:rsidRPr="00771E6E">
        <w:t>Gallais</w:t>
      </w:r>
      <w:proofErr w:type="spellEnd"/>
      <w:r w:rsidRPr="00771E6E">
        <w:t xml:space="preserve"> and Yves-Jean </w:t>
      </w:r>
      <w:proofErr w:type="spellStart"/>
      <w:r w:rsidRPr="00771E6E">
        <w:t>Riou</w:t>
      </w:r>
      <w:proofErr w:type="spellEnd"/>
      <w:r w:rsidRPr="00771E6E">
        <w:t xml:space="preserve">, II:1345–54. Poitiers: </w:t>
      </w:r>
      <w:proofErr w:type="spellStart"/>
      <w:r w:rsidRPr="00771E6E">
        <w:t>Societé</w:t>
      </w:r>
      <w:proofErr w:type="spellEnd"/>
      <w:r w:rsidRPr="00771E6E">
        <w:t xml:space="preserve"> </w:t>
      </w:r>
      <w:proofErr w:type="spellStart"/>
      <w:r w:rsidRPr="00771E6E">
        <w:t>d’Études</w:t>
      </w:r>
      <w:proofErr w:type="spellEnd"/>
      <w:r w:rsidRPr="00771E6E">
        <w:t xml:space="preserve"> </w:t>
      </w:r>
      <w:proofErr w:type="spellStart"/>
      <w:r w:rsidRPr="00771E6E">
        <w:t>Médiévales</w:t>
      </w:r>
      <w:proofErr w:type="spellEnd"/>
      <w:r w:rsidRPr="00771E6E">
        <w:t>, 1966.</w:t>
      </w:r>
    </w:p>
    <w:p w14:paraId="42D57554" w14:textId="77777777" w:rsidR="00F33779" w:rsidRPr="00771E6E" w:rsidRDefault="00F33779" w:rsidP="00F33779">
      <w:pPr>
        <w:pStyle w:val="Bibliography"/>
      </w:pPr>
      <w:r w:rsidRPr="00771E6E">
        <w:t xml:space="preserve">Spallanzani, Marco, and Giovanna Gaeta </w:t>
      </w:r>
      <w:proofErr w:type="spellStart"/>
      <w:r w:rsidRPr="00771E6E">
        <w:t>Bertelà</w:t>
      </w:r>
      <w:proofErr w:type="spellEnd"/>
      <w:r w:rsidRPr="00771E6E">
        <w:t xml:space="preserve">. </w:t>
      </w:r>
      <w:r w:rsidRPr="00771E6E">
        <w:rPr>
          <w:i/>
          <w:iCs/>
        </w:rPr>
        <w:t xml:space="preserve">Libro </w:t>
      </w:r>
      <w:proofErr w:type="spellStart"/>
      <w:r w:rsidRPr="00771E6E">
        <w:rPr>
          <w:i/>
          <w:iCs/>
        </w:rPr>
        <w:t>d’inventario</w:t>
      </w:r>
      <w:proofErr w:type="spellEnd"/>
      <w:r w:rsidRPr="00771E6E">
        <w:rPr>
          <w:i/>
          <w:iCs/>
        </w:rPr>
        <w:t xml:space="preserve"> </w:t>
      </w:r>
      <w:proofErr w:type="spellStart"/>
      <w:r w:rsidRPr="00771E6E">
        <w:rPr>
          <w:i/>
          <w:iCs/>
        </w:rPr>
        <w:t>dei</w:t>
      </w:r>
      <w:proofErr w:type="spellEnd"/>
      <w:r w:rsidRPr="00771E6E">
        <w:rPr>
          <w:i/>
          <w:iCs/>
        </w:rPr>
        <w:t xml:space="preserve"> </w:t>
      </w:r>
      <w:proofErr w:type="spellStart"/>
      <w:r w:rsidRPr="00771E6E">
        <w:rPr>
          <w:i/>
          <w:iCs/>
        </w:rPr>
        <w:t>beni</w:t>
      </w:r>
      <w:proofErr w:type="spellEnd"/>
      <w:r w:rsidRPr="00771E6E">
        <w:rPr>
          <w:i/>
          <w:iCs/>
        </w:rPr>
        <w:t xml:space="preserve"> di Lorenzo </w:t>
      </w:r>
      <w:proofErr w:type="spellStart"/>
      <w:r w:rsidRPr="00771E6E">
        <w:rPr>
          <w:i/>
          <w:iCs/>
        </w:rPr>
        <w:t>il</w:t>
      </w:r>
      <w:proofErr w:type="spellEnd"/>
      <w:r w:rsidRPr="00771E6E">
        <w:rPr>
          <w:i/>
          <w:iCs/>
        </w:rPr>
        <w:t xml:space="preserve"> Magnifico</w:t>
      </w:r>
      <w:r w:rsidRPr="00771E6E">
        <w:t>. Florence: Assoc. Amici del Bargello, 1992.</w:t>
      </w:r>
    </w:p>
    <w:p w14:paraId="1202F481" w14:textId="77777777" w:rsidR="00F33779" w:rsidRPr="00771E6E" w:rsidRDefault="00F33779" w:rsidP="00F33779">
      <w:pPr>
        <w:pStyle w:val="Bibliography"/>
      </w:pPr>
      <w:r w:rsidRPr="00771E6E">
        <w:t xml:space="preserve">Stapleford, Richard. </w:t>
      </w:r>
      <w:r w:rsidRPr="00771E6E">
        <w:rPr>
          <w:i/>
          <w:iCs/>
        </w:rPr>
        <w:t>Lorenzo de’ Medici at Home: The Inventory of the Palazzo Medici in 1492</w:t>
      </w:r>
      <w:r w:rsidRPr="00771E6E">
        <w:t>. Edited and translated by Richard Stapleford. University Park, PA: Pennsylvania State University Press, 2013.</w:t>
      </w:r>
    </w:p>
    <w:p w14:paraId="166ABC4D" w14:textId="77777777" w:rsidR="00F33779" w:rsidRPr="00771E6E" w:rsidRDefault="00F33779" w:rsidP="00F33779">
      <w:pPr>
        <w:pStyle w:val="Bibliography"/>
      </w:pPr>
      <w:proofErr w:type="spellStart"/>
      <w:r w:rsidRPr="00771E6E">
        <w:t>Stechow</w:t>
      </w:r>
      <w:proofErr w:type="spellEnd"/>
      <w:r w:rsidRPr="00771E6E">
        <w:t xml:space="preserve">, Wolfgang. “‘The Love of Antiochus with Faire </w:t>
      </w:r>
      <w:proofErr w:type="spellStart"/>
      <w:r w:rsidRPr="00771E6E">
        <w:t>Stratonica</w:t>
      </w:r>
      <w:proofErr w:type="spellEnd"/>
      <w:r w:rsidRPr="00771E6E">
        <w:t xml:space="preserve">’ in Art.” </w:t>
      </w:r>
      <w:r w:rsidRPr="00771E6E">
        <w:rPr>
          <w:i/>
          <w:iCs/>
        </w:rPr>
        <w:t>The Art Bulletin</w:t>
      </w:r>
      <w:r w:rsidRPr="00771E6E">
        <w:t xml:space="preserve"> 27, no. 4 (1945): 221–37.</w:t>
      </w:r>
    </w:p>
    <w:p w14:paraId="17C69BBC" w14:textId="77777777" w:rsidR="00F33779" w:rsidRPr="00771E6E" w:rsidRDefault="00F33779" w:rsidP="00F33779">
      <w:pPr>
        <w:pStyle w:val="Bibliography"/>
      </w:pPr>
      <w:r w:rsidRPr="00771E6E">
        <w:t xml:space="preserve">Steinberg, Ronald M. </w:t>
      </w:r>
      <w:r w:rsidRPr="00771E6E">
        <w:rPr>
          <w:i/>
          <w:iCs/>
        </w:rPr>
        <w:t>Fra Girolamo Savonarola, Florentine Art, and Renaissance Historiography</w:t>
      </w:r>
      <w:r w:rsidRPr="00771E6E">
        <w:t>. Athens Ohio: Ohio University Press, 1977.</w:t>
      </w:r>
    </w:p>
    <w:p w14:paraId="395132E5" w14:textId="77777777" w:rsidR="00F33779" w:rsidRPr="00771E6E" w:rsidRDefault="00F33779" w:rsidP="00F33779">
      <w:pPr>
        <w:pStyle w:val="Bibliography"/>
      </w:pPr>
      <w:r w:rsidRPr="00771E6E">
        <w:t xml:space="preserve">Stinger, Charles L. </w:t>
      </w:r>
      <w:r w:rsidRPr="00771E6E">
        <w:rPr>
          <w:i/>
          <w:iCs/>
        </w:rPr>
        <w:t xml:space="preserve">Humanism and the Church Fathers: </w:t>
      </w:r>
      <w:proofErr w:type="spellStart"/>
      <w:r w:rsidRPr="00771E6E">
        <w:rPr>
          <w:i/>
          <w:iCs/>
        </w:rPr>
        <w:t>Ambrogio</w:t>
      </w:r>
      <w:proofErr w:type="spellEnd"/>
      <w:r w:rsidRPr="00771E6E">
        <w:rPr>
          <w:i/>
          <w:iCs/>
        </w:rPr>
        <w:t xml:space="preserve"> </w:t>
      </w:r>
      <w:proofErr w:type="spellStart"/>
      <w:r w:rsidRPr="00771E6E">
        <w:rPr>
          <w:i/>
          <w:iCs/>
        </w:rPr>
        <w:t>Traversari</w:t>
      </w:r>
      <w:proofErr w:type="spellEnd"/>
      <w:r w:rsidRPr="00771E6E">
        <w:rPr>
          <w:i/>
          <w:iCs/>
        </w:rPr>
        <w:t xml:space="preserve"> (1386-1439) and Christian Antiquity in the Italian Renaissance</w:t>
      </w:r>
      <w:r w:rsidRPr="00771E6E">
        <w:t>. Albany: State University of New York Press, 1977.</w:t>
      </w:r>
    </w:p>
    <w:p w14:paraId="7B1A4C7C" w14:textId="77777777" w:rsidR="00F33779" w:rsidRPr="00771E6E" w:rsidRDefault="00F33779" w:rsidP="00F33779">
      <w:pPr>
        <w:pStyle w:val="Bibliography"/>
      </w:pPr>
      <w:r w:rsidRPr="00771E6E">
        <w:t xml:space="preserve">Syson, Luke. “Representing Domestic Interiors.” In </w:t>
      </w:r>
      <w:proofErr w:type="gramStart"/>
      <w:r w:rsidRPr="00771E6E">
        <w:rPr>
          <w:i/>
          <w:iCs/>
        </w:rPr>
        <w:t>At</w:t>
      </w:r>
      <w:proofErr w:type="gramEnd"/>
      <w:r w:rsidRPr="00771E6E">
        <w:rPr>
          <w:i/>
          <w:iCs/>
        </w:rPr>
        <w:t xml:space="preserve"> Home in Renaissance Italy</w:t>
      </w:r>
      <w:r w:rsidRPr="00771E6E">
        <w:t xml:space="preserve">, edited by Marta </w:t>
      </w:r>
      <w:proofErr w:type="spellStart"/>
      <w:r w:rsidRPr="00771E6E">
        <w:t>Ajmar-Wollheim</w:t>
      </w:r>
      <w:proofErr w:type="spellEnd"/>
      <w:r w:rsidRPr="00771E6E">
        <w:t xml:space="preserve"> and Flora Dennis, 86–101. London: V&amp;A Publications, 2006.</w:t>
      </w:r>
    </w:p>
    <w:p w14:paraId="3AF53452" w14:textId="77777777" w:rsidR="00F33779" w:rsidRPr="00771E6E" w:rsidRDefault="00F33779" w:rsidP="00F33779">
      <w:pPr>
        <w:pStyle w:val="Bibliography"/>
      </w:pPr>
      <w:r w:rsidRPr="00771E6E">
        <w:t xml:space="preserve">Syson, Luke, and Dora Thornton. </w:t>
      </w:r>
      <w:r w:rsidRPr="00771E6E">
        <w:rPr>
          <w:i/>
          <w:iCs/>
        </w:rPr>
        <w:t>Objects of Virtue: Art in Renaissance Italy</w:t>
      </w:r>
      <w:r w:rsidRPr="00771E6E">
        <w:t>. London: The British Museum Press, 2001.</w:t>
      </w:r>
    </w:p>
    <w:p w14:paraId="6BE5109E" w14:textId="77777777" w:rsidR="00F33779" w:rsidRPr="00771E6E" w:rsidRDefault="00F33779" w:rsidP="00F33779">
      <w:pPr>
        <w:pStyle w:val="Bibliography"/>
      </w:pPr>
      <w:proofErr w:type="spellStart"/>
      <w:r w:rsidRPr="00771E6E">
        <w:t>Tacconi</w:t>
      </w:r>
      <w:proofErr w:type="spellEnd"/>
      <w:r w:rsidRPr="00771E6E">
        <w:t xml:space="preserve">, Marica. </w:t>
      </w:r>
      <w:r w:rsidRPr="00771E6E">
        <w:rPr>
          <w:i/>
          <w:iCs/>
        </w:rPr>
        <w:t>Cathedral and Civic Ritual in Late Medieval and Renaissance Florence: The Service Books of Santa Maria Del Fiore</w:t>
      </w:r>
      <w:r w:rsidRPr="00771E6E">
        <w:t>. 2nd ed. Cambridge: Cambridge University Press, 2005.</w:t>
      </w:r>
    </w:p>
    <w:p w14:paraId="4DBB6DA4" w14:textId="77777777" w:rsidR="00F33779" w:rsidRPr="00771E6E" w:rsidRDefault="00F33779" w:rsidP="00F33779">
      <w:pPr>
        <w:pStyle w:val="Bibliography"/>
      </w:pPr>
      <w:r w:rsidRPr="00771E6E">
        <w:t xml:space="preserve">Taggard, Mindy </w:t>
      </w:r>
      <w:proofErr w:type="spellStart"/>
      <w:r w:rsidRPr="00771E6E">
        <w:t>Nancarrow</w:t>
      </w:r>
      <w:proofErr w:type="spellEnd"/>
      <w:r w:rsidRPr="00771E6E">
        <w:t xml:space="preserve">. “Murillo’s </w:t>
      </w:r>
      <w:r w:rsidRPr="00771E6E">
        <w:rPr>
          <w:i/>
          <w:iCs/>
        </w:rPr>
        <w:t>St. Anne Teaching the Virgin to Read</w:t>
      </w:r>
      <w:r w:rsidRPr="00771E6E">
        <w:t xml:space="preserve"> and the Question of Female Literacy and Learning in Golden Age Spain.” </w:t>
      </w:r>
      <w:proofErr w:type="spellStart"/>
      <w:r w:rsidRPr="00771E6E">
        <w:rPr>
          <w:i/>
          <w:iCs/>
        </w:rPr>
        <w:t>Konsthistorisk</w:t>
      </w:r>
      <w:proofErr w:type="spellEnd"/>
      <w:r w:rsidRPr="00771E6E">
        <w:rPr>
          <w:i/>
          <w:iCs/>
        </w:rPr>
        <w:t xml:space="preserve"> </w:t>
      </w:r>
      <w:proofErr w:type="spellStart"/>
      <w:r w:rsidRPr="00771E6E">
        <w:rPr>
          <w:i/>
          <w:iCs/>
        </w:rPr>
        <w:t>Tidskrift</w:t>
      </w:r>
      <w:proofErr w:type="spellEnd"/>
      <w:r w:rsidRPr="00771E6E">
        <w:rPr>
          <w:i/>
          <w:iCs/>
        </w:rPr>
        <w:t>/Journal of Art History</w:t>
      </w:r>
      <w:r w:rsidRPr="00771E6E">
        <w:t>, no. 68.1 (1999): 31–46.</w:t>
      </w:r>
    </w:p>
    <w:p w14:paraId="2A6A0A51" w14:textId="77777777" w:rsidR="00F33779" w:rsidRPr="00771E6E" w:rsidRDefault="00F33779" w:rsidP="00F33779">
      <w:pPr>
        <w:pStyle w:val="Bibliography"/>
      </w:pPr>
      <w:proofErr w:type="spellStart"/>
      <w:r w:rsidRPr="00771E6E">
        <w:t>Tessari</w:t>
      </w:r>
      <w:proofErr w:type="spellEnd"/>
      <w:r w:rsidRPr="00771E6E">
        <w:t>, Roberto. “</w:t>
      </w:r>
      <w:proofErr w:type="spellStart"/>
      <w:r w:rsidRPr="00771E6E">
        <w:t>Attori</w:t>
      </w:r>
      <w:proofErr w:type="spellEnd"/>
      <w:r w:rsidRPr="00771E6E">
        <w:t xml:space="preserve"> con le Ali: </w:t>
      </w:r>
      <w:proofErr w:type="spellStart"/>
      <w:r w:rsidRPr="00771E6E">
        <w:t>Gli</w:t>
      </w:r>
      <w:proofErr w:type="spellEnd"/>
      <w:r w:rsidRPr="00771E6E">
        <w:t xml:space="preserve"> </w:t>
      </w:r>
      <w:proofErr w:type="spellStart"/>
      <w:r w:rsidRPr="00771E6E">
        <w:t>Angeli</w:t>
      </w:r>
      <w:proofErr w:type="spellEnd"/>
      <w:r w:rsidRPr="00771E6E">
        <w:t xml:space="preserve"> </w:t>
      </w:r>
      <w:proofErr w:type="spellStart"/>
      <w:r w:rsidRPr="00771E6E">
        <w:t>negli</w:t>
      </w:r>
      <w:proofErr w:type="spellEnd"/>
      <w:r w:rsidRPr="00771E6E">
        <w:t xml:space="preserve"> </w:t>
      </w:r>
      <w:proofErr w:type="spellStart"/>
      <w:r w:rsidRPr="00771E6E">
        <w:t>Spettacoli</w:t>
      </w:r>
      <w:proofErr w:type="spellEnd"/>
      <w:r w:rsidRPr="00771E6E">
        <w:t xml:space="preserve"> </w:t>
      </w:r>
      <w:proofErr w:type="spellStart"/>
      <w:r w:rsidRPr="00771E6E">
        <w:t>Teatrali</w:t>
      </w:r>
      <w:proofErr w:type="spellEnd"/>
      <w:r w:rsidRPr="00771E6E">
        <w:t xml:space="preserve"> e </w:t>
      </w:r>
      <w:proofErr w:type="spellStart"/>
      <w:r w:rsidRPr="00771E6E">
        <w:t>Cinematografici</w:t>
      </w:r>
      <w:proofErr w:type="spellEnd"/>
      <w:r w:rsidRPr="00771E6E">
        <w:t xml:space="preserve">.” In </w:t>
      </w:r>
      <w:proofErr w:type="spellStart"/>
      <w:r w:rsidRPr="00771E6E">
        <w:rPr>
          <w:i/>
          <w:iCs/>
        </w:rPr>
        <w:t>Angeli</w:t>
      </w:r>
      <w:proofErr w:type="spellEnd"/>
      <w:r w:rsidRPr="00771E6E">
        <w:rPr>
          <w:i/>
          <w:iCs/>
        </w:rPr>
        <w:t xml:space="preserve">: </w:t>
      </w:r>
      <w:proofErr w:type="spellStart"/>
      <w:r w:rsidRPr="00771E6E">
        <w:rPr>
          <w:i/>
          <w:iCs/>
        </w:rPr>
        <w:t>volti</w:t>
      </w:r>
      <w:proofErr w:type="spellEnd"/>
      <w:r w:rsidRPr="00771E6E">
        <w:rPr>
          <w:i/>
          <w:iCs/>
        </w:rPr>
        <w:t xml:space="preserve"> </w:t>
      </w:r>
      <w:proofErr w:type="spellStart"/>
      <w:r w:rsidRPr="00771E6E">
        <w:rPr>
          <w:i/>
          <w:iCs/>
        </w:rPr>
        <w:t>dell’invisibile</w:t>
      </w:r>
      <w:proofErr w:type="spellEnd"/>
      <w:r w:rsidRPr="00771E6E">
        <w:rPr>
          <w:i/>
          <w:iCs/>
        </w:rPr>
        <w:t xml:space="preserve">, </w:t>
      </w:r>
      <w:r w:rsidRPr="00771E6E">
        <w:t xml:space="preserve">exh.cat., edited by Serenella </w:t>
      </w:r>
      <w:proofErr w:type="spellStart"/>
      <w:r w:rsidRPr="00771E6E">
        <w:t>Castri</w:t>
      </w:r>
      <w:proofErr w:type="spellEnd"/>
      <w:r w:rsidRPr="00771E6E">
        <w:t xml:space="preserve">, 73–88. Turin: Umberto </w:t>
      </w:r>
      <w:proofErr w:type="spellStart"/>
      <w:r w:rsidRPr="00771E6E">
        <w:t>Allemandi</w:t>
      </w:r>
      <w:proofErr w:type="spellEnd"/>
      <w:r w:rsidRPr="00771E6E">
        <w:t>, 2010.</w:t>
      </w:r>
    </w:p>
    <w:p w14:paraId="411A81D1" w14:textId="77777777" w:rsidR="00F33779" w:rsidRPr="00771E6E" w:rsidRDefault="00F33779" w:rsidP="00F33779">
      <w:pPr>
        <w:pStyle w:val="Bibliography"/>
      </w:pPr>
      <w:r w:rsidRPr="00771E6E">
        <w:t xml:space="preserve">Thornton, Dora. </w:t>
      </w:r>
      <w:r w:rsidRPr="00771E6E">
        <w:rPr>
          <w:i/>
          <w:iCs/>
        </w:rPr>
        <w:t>The Scholar in His Study: Ownership and Experience in Renaissance Italy</w:t>
      </w:r>
      <w:r w:rsidRPr="00771E6E">
        <w:t>. New Haven: Yale University Press, 1997.</w:t>
      </w:r>
    </w:p>
    <w:p w14:paraId="30F31834" w14:textId="77777777" w:rsidR="00F33779" w:rsidRPr="00771E6E" w:rsidRDefault="00F33779" w:rsidP="00F33779">
      <w:pPr>
        <w:pStyle w:val="Bibliography"/>
      </w:pPr>
      <w:r w:rsidRPr="00771E6E">
        <w:t xml:space="preserve">Thornton, Dora, and Timothy Wilson. </w:t>
      </w:r>
      <w:r w:rsidRPr="00771E6E">
        <w:rPr>
          <w:i/>
          <w:iCs/>
        </w:rPr>
        <w:t>Italian Renaissance Ceramics: A Catalogue of the British Museum Collection</w:t>
      </w:r>
      <w:r w:rsidRPr="00771E6E">
        <w:t>. London: British Museum Press, 2009.</w:t>
      </w:r>
    </w:p>
    <w:p w14:paraId="78F43E3B" w14:textId="77777777" w:rsidR="00F33779" w:rsidRPr="00771E6E" w:rsidRDefault="00F33779" w:rsidP="00F33779">
      <w:pPr>
        <w:pStyle w:val="Bibliography"/>
      </w:pPr>
      <w:r w:rsidRPr="00771E6E">
        <w:t xml:space="preserve">Thornton, Peter. “Cassoni, </w:t>
      </w:r>
      <w:proofErr w:type="spellStart"/>
      <w:r w:rsidRPr="00771E6E">
        <w:t>Forzieri</w:t>
      </w:r>
      <w:proofErr w:type="spellEnd"/>
      <w:r w:rsidRPr="00771E6E">
        <w:t xml:space="preserve">, </w:t>
      </w:r>
      <w:proofErr w:type="spellStart"/>
      <w:r w:rsidRPr="00771E6E">
        <w:t>Goffani</w:t>
      </w:r>
      <w:proofErr w:type="spellEnd"/>
      <w:r w:rsidRPr="00771E6E">
        <w:t xml:space="preserve"> and Cassette: Terminology and Its Problems.” </w:t>
      </w:r>
      <w:r w:rsidRPr="00771E6E">
        <w:rPr>
          <w:i/>
          <w:iCs/>
        </w:rPr>
        <w:t>Apollo.</w:t>
      </w:r>
      <w:r w:rsidRPr="00771E6E">
        <w:t xml:space="preserve"> CXX, no. 272 (1984): 246–51.</w:t>
      </w:r>
    </w:p>
    <w:p w14:paraId="4D04583E" w14:textId="77777777" w:rsidR="00F33779" w:rsidRPr="00771E6E" w:rsidRDefault="00F33779" w:rsidP="00F33779">
      <w:pPr>
        <w:pStyle w:val="Bibliography"/>
      </w:pPr>
      <w:r w:rsidRPr="00771E6E">
        <w:t xml:space="preserve">———. </w:t>
      </w:r>
      <w:r w:rsidRPr="00771E6E">
        <w:rPr>
          <w:i/>
          <w:iCs/>
        </w:rPr>
        <w:t>The Italian Renaissance interior: 1400-1600</w:t>
      </w:r>
      <w:r w:rsidRPr="00771E6E">
        <w:t>. London: Weidenfeld and Nicolson, 1991.</w:t>
      </w:r>
    </w:p>
    <w:p w14:paraId="3ABA1146" w14:textId="77777777" w:rsidR="00F33779" w:rsidRPr="00771E6E" w:rsidRDefault="00F33779" w:rsidP="00F33779">
      <w:pPr>
        <w:pStyle w:val="Bibliography"/>
      </w:pPr>
      <w:proofErr w:type="spellStart"/>
      <w:r w:rsidRPr="00771E6E">
        <w:t>Tinagli</w:t>
      </w:r>
      <w:proofErr w:type="spellEnd"/>
      <w:r w:rsidRPr="00771E6E">
        <w:t xml:space="preserve">, Paola. </w:t>
      </w:r>
      <w:r w:rsidRPr="00771E6E">
        <w:rPr>
          <w:i/>
          <w:iCs/>
        </w:rPr>
        <w:t>Women in Italian Renaissance Art: Gender, Representation, Identity</w:t>
      </w:r>
      <w:r w:rsidRPr="00771E6E">
        <w:t>. Manchester: Manchester University Press, 1997.</w:t>
      </w:r>
    </w:p>
    <w:p w14:paraId="0F35809A" w14:textId="77777777" w:rsidR="00F33779" w:rsidRPr="00771E6E" w:rsidRDefault="00F33779" w:rsidP="00F33779">
      <w:pPr>
        <w:pStyle w:val="Bibliography"/>
      </w:pPr>
      <w:proofErr w:type="spellStart"/>
      <w:r w:rsidRPr="00771E6E">
        <w:t>Tognon</w:t>
      </w:r>
      <w:proofErr w:type="spellEnd"/>
      <w:r w:rsidRPr="00771E6E">
        <w:t>, Giuseppe. “</w:t>
      </w:r>
      <w:proofErr w:type="spellStart"/>
      <w:r w:rsidRPr="00771E6E">
        <w:t>Intellettuali</w:t>
      </w:r>
      <w:proofErr w:type="spellEnd"/>
      <w:r w:rsidRPr="00771E6E">
        <w:t xml:space="preserve"> ed </w:t>
      </w:r>
      <w:proofErr w:type="spellStart"/>
      <w:r w:rsidRPr="00771E6E">
        <w:t>educazione</w:t>
      </w:r>
      <w:proofErr w:type="spellEnd"/>
      <w:r w:rsidRPr="00771E6E">
        <w:t xml:space="preserve"> del </w:t>
      </w:r>
      <w:proofErr w:type="spellStart"/>
      <w:r w:rsidRPr="00771E6E">
        <w:t>principe</w:t>
      </w:r>
      <w:proofErr w:type="spellEnd"/>
      <w:r w:rsidRPr="00771E6E">
        <w:t xml:space="preserve"> </w:t>
      </w:r>
      <w:proofErr w:type="spellStart"/>
      <w:r w:rsidRPr="00771E6E">
        <w:t>nel</w:t>
      </w:r>
      <w:proofErr w:type="spellEnd"/>
      <w:r w:rsidRPr="00771E6E">
        <w:t xml:space="preserve"> Quattrocento </w:t>
      </w:r>
      <w:proofErr w:type="spellStart"/>
      <w:r w:rsidRPr="00771E6E">
        <w:t>Italiano</w:t>
      </w:r>
      <w:proofErr w:type="spellEnd"/>
      <w:r w:rsidRPr="00771E6E">
        <w:t xml:space="preserve">. Il </w:t>
      </w:r>
      <w:proofErr w:type="spellStart"/>
      <w:r w:rsidRPr="00771E6E">
        <w:t>formarsi</w:t>
      </w:r>
      <w:proofErr w:type="spellEnd"/>
      <w:r w:rsidRPr="00771E6E">
        <w:t xml:space="preserve"> di una </w:t>
      </w:r>
      <w:proofErr w:type="spellStart"/>
      <w:r w:rsidRPr="00771E6E">
        <w:t>nuova</w:t>
      </w:r>
      <w:proofErr w:type="spellEnd"/>
      <w:r w:rsidRPr="00771E6E">
        <w:t xml:space="preserve"> </w:t>
      </w:r>
      <w:proofErr w:type="spellStart"/>
      <w:r w:rsidRPr="00771E6E">
        <w:t>pedagogia</w:t>
      </w:r>
      <w:proofErr w:type="spellEnd"/>
      <w:r w:rsidRPr="00771E6E">
        <w:t xml:space="preserve"> </w:t>
      </w:r>
      <w:proofErr w:type="spellStart"/>
      <w:r w:rsidRPr="00771E6E">
        <w:t>politica</w:t>
      </w:r>
      <w:proofErr w:type="spellEnd"/>
      <w:r w:rsidRPr="00771E6E">
        <w:t xml:space="preserve">.” </w:t>
      </w:r>
      <w:r w:rsidRPr="00771E6E">
        <w:rPr>
          <w:i/>
          <w:iCs/>
        </w:rPr>
        <w:t xml:space="preserve">Mélanges de </w:t>
      </w:r>
      <w:proofErr w:type="spellStart"/>
      <w:r w:rsidRPr="00771E6E">
        <w:rPr>
          <w:i/>
          <w:iCs/>
        </w:rPr>
        <w:t>l’Ecole</w:t>
      </w:r>
      <w:proofErr w:type="spellEnd"/>
      <w:r w:rsidRPr="00771E6E">
        <w:rPr>
          <w:i/>
          <w:iCs/>
        </w:rPr>
        <w:t xml:space="preserve"> </w:t>
      </w:r>
      <w:proofErr w:type="spellStart"/>
      <w:r w:rsidRPr="00771E6E">
        <w:rPr>
          <w:i/>
          <w:iCs/>
        </w:rPr>
        <w:t>française</w:t>
      </w:r>
      <w:proofErr w:type="spellEnd"/>
      <w:r w:rsidRPr="00771E6E">
        <w:rPr>
          <w:i/>
          <w:iCs/>
        </w:rPr>
        <w:t xml:space="preserve"> de Rome. </w:t>
      </w:r>
      <w:proofErr w:type="spellStart"/>
      <w:r w:rsidRPr="00771E6E">
        <w:rPr>
          <w:i/>
          <w:iCs/>
        </w:rPr>
        <w:t>Moyen</w:t>
      </w:r>
      <w:proofErr w:type="spellEnd"/>
      <w:r w:rsidRPr="00771E6E">
        <w:rPr>
          <w:i/>
          <w:iCs/>
        </w:rPr>
        <w:t xml:space="preserve">-Age, Temps </w:t>
      </w:r>
      <w:proofErr w:type="spellStart"/>
      <w:r w:rsidRPr="00771E6E">
        <w:rPr>
          <w:i/>
          <w:iCs/>
        </w:rPr>
        <w:t>modernes</w:t>
      </w:r>
      <w:proofErr w:type="spellEnd"/>
      <w:r w:rsidRPr="00771E6E">
        <w:t xml:space="preserve"> 99, no. 1 (1987): 405–33.</w:t>
      </w:r>
    </w:p>
    <w:p w14:paraId="12934314" w14:textId="77777777" w:rsidR="00F33779" w:rsidRPr="00771E6E" w:rsidRDefault="00F33779" w:rsidP="00F33779">
      <w:pPr>
        <w:pStyle w:val="Bibliography"/>
      </w:pPr>
      <w:r w:rsidRPr="00771E6E">
        <w:t xml:space="preserve">Trexler, Richard C. “Florentine Religious Experience: The Sacred Image.” </w:t>
      </w:r>
      <w:r w:rsidRPr="00771E6E">
        <w:rPr>
          <w:i/>
          <w:iCs/>
        </w:rPr>
        <w:t>Studies in the Renaissance</w:t>
      </w:r>
      <w:r w:rsidRPr="00771E6E">
        <w:t xml:space="preserve"> 19 (1972): 7–41.</w:t>
      </w:r>
    </w:p>
    <w:p w14:paraId="36811368" w14:textId="77777777" w:rsidR="00F33779" w:rsidRPr="00771E6E" w:rsidRDefault="00F33779" w:rsidP="00F33779">
      <w:pPr>
        <w:pStyle w:val="Bibliography"/>
      </w:pPr>
      <w:r w:rsidRPr="00771E6E">
        <w:t xml:space="preserve">Trexler, Richard C. </w:t>
      </w:r>
      <w:r w:rsidRPr="00771E6E">
        <w:rPr>
          <w:i/>
          <w:iCs/>
        </w:rPr>
        <w:t>Public Life in Renaissance Florence</w:t>
      </w:r>
      <w:r w:rsidRPr="00771E6E">
        <w:t>. Ithaca: Cornell University Press, 1991.</w:t>
      </w:r>
    </w:p>
    <w:p w14:paraId="10D25F04" w14:textId="77777777" w:rsidR="00F33779" w:rsidRPr="00771E6E" w:rsidRDefault="00F33779" w:rsidP="00F33779">
      <w:pPr>
        <w:pStyle w:val="Bibliography"/>
      </w:pPr>
      <w:r w:rsidRPr="00771E6E">
        <w:lastRenderedPageBreak/>
        <w:t xml:space="preserve">———. </w:t>
      </w:r>
      <w:r w:rsidRPr="00771E6E">
        <w:rPr>
          <w:i/>
          <w:iCs/>
        </w:rPr>
        <w:t>The Journey of the Magi: Meanings in History of a Christian Story: Meanings in History of a Christian Story</w:t>
      </w:r>
      <w:r w:rsidRPr="00771E6E">
        <w:t>. Princeton, New Jersey: Princeton University Press, 1997.</w:t>
      </w:r>
    </w:p>
    <w:p w14:paraId="7193D4F2" w14:textId="77777777" w:rsidR="00F33779" w:rsidRPr="00771E6E" w:rsidRDefault="00F33779" w:rsidP="00F33779">
      <w:pPr>
        <w:pStyle w:val="Bibliography"/>
      </w:pPr>
      <w:proofErr w:type="spellStart"/>
      <w:r w:rsidRPr="00771E6E">
        <w:t>Trinchieri</w:t>
      </w:r>
      <w:proofErr w:type="spellEnd"/>
      <w:r w:rsidRPr="00771E6E">
        <w:t xml:space="preserve"> </w:t>
      </w:r>
      <w:proofErr w:type="spellStart"/>
      <w:r w:rsidRPr="00771E6E">
        <w:t>Camiz</w:t>
      </w:r>
      <w:proofErr w:type="spellEnd"/>
      <w:r w:rsidRPr="00771E6E">
        <w:t xml:space="preserve">, Franca. “Music Settings to Poems by Michelangelo and Vittoria Colonna.” In </w:t>
      </w:r>
      <w:r w:rsidRPr="00771E6E">
        <w:rPr>
          <w:i/>
          <w:iCs/>
        </w:rPr>
        <w:t xml:space="preserve">Art and Music in the Early Modern Period: Essays in </w:t>
      </w:r>
      <w:proofErr w:type="spellStart"/>
      <w:r w:rsidRPr="00771E6E">
        <w:rPr>
          <w:i/>
          <w:iCs/>
        </w:rPr>
        <w:t>Honor</w:t>
      </w:r>
      <w:proofErr w:type="spellEnd"/>
      <w:r w:rsidRPr="00771E6E">
        <w:rPr>
          <w:i/>
          <w:iCs/>
        </w:rPr>
        <w:t xml:space="preserve"> of Franca </w:t>
      </w:r>
      <w:proofErr w:type="spellStart"/>
      <w:r w:rsidRPr="00771E6E">
        <w:rPr>
          <w:i/>
          <w:iCs/>
        </w:rPr>
        <w:t>Trinchieri</w:t>
      </w:r>
      <w:proofErr w:type="spellEnd"/>
      <w:r w:rsidRPr="00771E6E">
        <w:rPr>
          <w:i/>
          <w:iCs/>
        </w:rPr>
        <w:t xml:space="preserve"> </w:t>
      </w:r>
      <w:proofErr w:type="spellStart"/>
      <w:r w:rsidRPr="00771E6E">
        <w:rPr>
          <w:i/>
          <w:iCs/>
        </w:rPr>
        <w:t>Camiz</w:t>
      </w:r>
      <w:proofErr w:type="spellEnd"/>
      <w:r w:rsidRPr="00771E6E">
        <w:t>, edited by Katherine McIver, 377–88. Farnham, Surrey, England; Burlington, VT: Ashgate, 2003.</w:t>
      </w:r>
    </w:p>
    <w:p w14:paraId="4F5D4678" w14:textId="77777777" w:rsidR="00F33779" w:rsidRPr="00771E6E" w:rsidRDefault="00F33779" w:rsidP="00F33779">
      <w:pPr>
        <w:pStyle w:val="Bibliography"/>
      </w:pPr>
      <w:proofErr w:type="spellStart"/>
      <w:r w:rsidRPr="00771E6E">
        <w:t>Tripodi</w:t>
      </w:r>
      <w:proofErr w:type="spellEnd"/>
      <w:r w:rsidRPr="00771E6E">
        <w:t xml:space="preserve">, Claudia. “Il padre a Firenze </w:t>
      </w:r>
      <w:proofErr w:type="spellStart"/>
      <w:r w:rsidRPr="00771E6E">
        <w:t>nel</w:t>
      </w:r>
      <w:proofErr w:type="spellEnd"/>
      <w:r w:rsidRPr="00771E6E">
        <w:t xml:space="preserve"> Quattrocento. </w:t>
      </w:r>
      <w:proofErr w:type="spellStart"/>
      <w:r w:rsidRPr="00771E6E">
        <w:t>L’educazione</w:t>
      </w:r>
      <w:proofErr w:type="spellEnd"/>
      <w:r w:rsidRPr="00771E6E">
        <w:t xml:space="preserve"> del </w:t>
      </w:r>
      <w:proofErr w:type="spellStart"/>
      <w:r w:rsidRPr="00771E6E">
        <w:t>pupillo</w:t>
      </w:r>
      <w:proofErr w:type="spellEnd"/>
      <w:r w:rsidRPr="00771E6E">
        <w:t xml:space="preserve"> in Giovanni Morelli.” </w:t>
      </w:r>
      <w:proofErr w:type="spellStart"/>
      <w:r w:rsidRPr="00771E6E">
        <w:rPr>
          <w:i/>
          <w:iCs/>
        </w:rPr>
        <w:t>Annali</w:t>
      </w:r>
      <w:proofErr w:type="spellEnd"/>
      <w:r w:rsidRPr="00771E6E">
        <w:rPr>
          <w:i/>
          <w:iCs/>
        </w:rPr>
        <w:t xml:space="preserve"> di Storia di Firenze</w:t>
      </w:r>
      <w:r w:rsidRPr="00771E6E">
        <w:t xml:space="preserve"> 3 (October 2011): 29–63.</w:t>
      </w:r>
    </w:p>
    <w:p w14:paraId="48653B7D" w14:textId="77777777" w:rsidR="00F33779" w:rsidRPr="00771E6E" w:rsidRDefault="00F33779" w:rsidP="00F33779">
      <w:pPr>
        <w:pStyle w:val="Bibliography"/>
      </w:pPr>
      <w:proofErr w:type="spellStart"/>
      <w:r w:rsidRPr="00771E6E">
        <w:t>Tycz</w:t>
      </w:r>
      <w:proofErr w:type="spellEnd"/>
      <w:r w:rsidRPr="00771E6E">
        <w:t xml:space="preserve">, Katherine. “Daily Devotions.” In </w:t>
      </w:r>
      <w:proofErr w:type="spellStart"/>
      <w:r w:rsidRPr="00771E6E">
        <w:rPr>
          <w:i/>
          <w:iCs/>
        </w:rPr>
        <w:t>Madonnas</w:t>
      </w:r>
      <w:proofErr w:type="spellEnd"/>
      <w:r w:rsidRPr="00771E6E">
        <w:rPr>
          <w:i/>
          <w:iCs/>
        </w:rPr>
        <w:t xml:space="preserve"> &amp; Miracles: The Holy Home in Renaissance Italy</w:t>
      </w:r>
      <w:r w:rsidRPr="00771E6E">
        <w:t xml:space="preserve">, </w:t>
      </w:r>
      <w:proofErr w:type="spellStart"/>
      <w:r w:rsidRPr="00771E6E">
        <w:t>Exh.Cat</w:t>
      </w:r>
      <w:proofErr w:type="spellEnd"/>
      <w:r w:rsidRPr="00771E6E">
        <w:t xml:space="preserve">., edited by Maya Corry, Deborah Howard, and Mary </w:t>
      </w:r>
      <w:proofErr w:type="spellStart"/>
      <w:r w:rsidRPr="00771E6E">
        <w:t>Laven</w:t>
      </w:r>
      <w:proofErr w:type="spellEnd"/>
      <w:r w:rsidRPr="00771E6E">
        <w:t>, 16–19. Cambridge: The Fitzwilliam Museum, 2017.</w:t>
      </w:r>
    </w:p>
    <w:p w14:paraId="6EA818B4" w14:textId="77777777" w:rsidR="00F33779" w:rsidRPr="00771E6E" w:rsidRDefault="00F33779" w:rsidP="00F33779">
      <w:pPr>
        <w:pStyle w:val="Bibliography"/>
      </w:pPr>
      <w:r w:rsidRPr="00771E6E">
        <w:t xml:space="preserve">———. “Praying for Protection.” In </w:t>
      </w:r>
      <w:proofErr w:type="spellStart"/>
      <w:r w:rsidRPr="00771E6E">
        <w:rPr>
          <w:i/>
          <w:iCs/>
        </w:rPr>
        <w:t>Madonnas</w:t>
      </w:r>
      <w:proofErr w:type="spellEnd"/>
      <w:r w:rsidRPr="00771E6E">
        <w:rPr>
          <w:i/>
          <w:iCs/>
        </w:rPr>
        <w:t xml:space="preserve"> &amp; Miracles: The Holy Home in Renaissance Italy</w:t>
      </w:r>
      <w:r w:rsidRPr="00771E6E">
        <w:t xml:space="preserve">, </w:t>
      </w:r>
      <w:proofErr w:type="spellStart"/>
      <w:r w:rsidRPr="00771E6E">
        <w:t>Exh.Cat</w:t>
      </w:r>
      <w:proofErr w:type="spellEnd"/>
      <w:r w:rsidRPr="00771E6E">
        <w:t xml:space="preserve">., edited by Maya Corry, Deborah Howard, and Mary </w:t>
      </w:r>
      <w:proofErr w:type="spellStart"/>
      <w:r w:rsidRPr="00771E6E">
        <w:t>Laven</w:t>
      </w:r>
      <w:proofErr w:type="spellEnd"/>
      <w:r w:rsidRPr="00771E6E">
        <w:t>, 110–17. Cambridge: The Fitzwilliam Museum, 2017.</w:t>
      </w:r>
    </w:p>
    <w:p w14:paraId="41C8999E" w14:textId="77777777" w:rsidR="00F33779" w:rsidRPr="00771E6E" w:rsidRDefault="00F33779" w:rsidP="00F33779">
      <w:pPr>
        <w:pStyle w:val="Bibliography"/>
      </w:pPr>
      <w:r w:rsidRPr="00771E6E">
        <w:t xml:space="preserve">Vela, Maria </w:t>
      </w:r>
      <w:proofErr w:type="spellStart"/>
      <w:r w:rsidRPr="00771E6E">
        <w:t>Caraci</w:t>
      </w:r>
      <w:proofErr w:type="spellEnd"/>
      <w:r w:rsidRPr="00771E6E">
        <w:t xml:space="preserve">. “La </w:t>
      </w:r>
      <w:proofErr w:type="spellStart"/>
      <w:r w:rsidRPr="00771E6E">
        <w:t>dama</w:t>
      </w:r>
      <w:proofErr w:type="spellEnd"/>
      <w:r w:rsidRPr="00771E6E">
        <w:t xml:space="preserve"> di palazzo e </w:t>
      </w:r>
      <w:proofErr w:type="spellStart"/>
      <w:r w:rsidRPr="00771E6E">
        <w:t>il</w:t>
      </w:r>
      <w:proofErr w:type="spellEnd"/>
      <w:r w:rsidRPr="00771E6E">
        <w:t xml:space="preserve"> </w:t>
      </w:r>
      <w:proofErr w:type="spellStart"/>
      <w:r w:rsidRPr="00771E6E">
        <w:rPr>
          <w:i/>
          <w:iCs/>
        </w:rPr>
        <w:t>nobile</w:t>
      </w:r>
      <w:proofErr w:type="spellEnd"/>
      <w:r w:rsidRPr="00771E6E">
        <w:rPr>
          <w:i/>
          <w:iCs/>
        </w:rPr>
        <w:t xml:space="preserve"> </w:t>
      </w:r>
      <w:proofErr w:type="spellStart"/>
      <w:r w:rsidRPr="00771E6E">
        <w:rPr>
          <w:i/>
          <w:iCs/>
        </w:rPr>
        <w:t>ornamento</w:t>
      </w:r>
      <w:proofErr w:type="spellEnd"/>
      <w:r w:rsidRPr="00771E6E">
        <w:t xml:space="preserve">: </w:t>
      </w:r>
      <w:proofErr w:type="spellStart"/>
      <w:r w:rsidRPr="00771E6E">
        <w:t>L’esercizio</w:t>
      </w:r>
      <w:proofErr w:type="spellEnd"/>
      <w:r w:rsidRPr="00771E6E">
        <w:t xml:space="preserve"> </w:t>
      </w:r>
      <w:proofErr w:type="spellStart"/>
      <w:r w:rsidRPr="00771E6E">
        <w:t>della</w:t>
      </w:r>
      <w:proofErr w:type="spellEnd"/>
      <w:r w:rsidRPr="00771E6E">
        <w:t xml:space="preserve"> </w:t>
      </w:r>
      <w:proofErr w:type="spellStart"/>
      <w:r w:rsidRPr="00771E6E">
        <w:t>musica</w:t>
      </w:r>
      <w:proofErr w:type="spellEnd"/>
      <w:r w:rsidRPr="00771E6E">
        <w:t xml:space="preserve"> come </w:t>
      </w:r>
      <w:proofErr w:type="spellStart"/>
      <w:r w:rsidRPr="00771E6E">
        <w:t>spazio</w:t>
      </w:r>
      <w:proofErr w:type="spellEnd"/>
      <w:r w:rsidRPr="00771E6E">
        <w:t xml:space="preserve"> di </w:t>
      </w:r>
      <w:proofErr w:type="spellStart"/>
      <w:r w:rsidRPr="00771E6E">
        <w:t>libertà</w:t>
      </w:r>
      <w:proofErr w:type="spellEnd"/>
      <w:r w:rsidRPr="00771E6E">
        <w:t xml:space="preserve"> e </w:t>
      </w:r>
      <w:proofErr w:type="spellStart"/>
      <w:r w:rsidRPr="00771E6E">
        <w:t>cultura</w:t>
      </w:r>
      <w:proofErr w:type="spellEnd"/>
      <w:r w:rsidRPr="00771E6E">
        <w:t xml:space="preserve">.” In </w:t>
      </w:r>
      <w:proofErr w:type="spellStart"/>
      <w:r w:rsidRPr="00771E6E">
        <w:rPr>
          <w:i/>
          <w:iCs/>
        </w:rPr>
        <w:t>Costumi</w:t>
      </w:r>
      <w:proofErr w:type="spellEnd"/>
      <w:r w:rsidRPr="00771E6E">
        <w:rPr>
          <w:i/>
          <w:iCs/>
        </w:rPr>
        <w:t xml:space="preserve"> educative </w:t>
      </w:r>
      <w:proofErr w:type="spellStart"/>
      <w:r w:rsidRPr="00771E6E">
        <w:rPr>
          <w:i/>
          <w:iCs/>
        </w:rPr>
        <w:t>nelle</w:t>
      </w:r>
      <w:proofErr w:type="spellEnd"/>
      <w:r w:rsidRPr="00771E6E">
        <w:rPr>
          <w:i/>
          <w:iCs/>
        </w:rPr>
        <w:t xml:space="preserve"> </w:t>
      </w:r>
      <w:proofErr w:type="spellStart"/>
      <w:r w:rsidRPr="00771E6E">
        <w:rPr>
          <w:i/>
          <w:iCs/>
        </w:rPr>
        <w:t>corti</w:t>
      </w:r>
      <w:proofErr w:type="spellEnd"/>
      <w:r w:rsidRPr="00771E6E">
        <w:rPr>
          <w:i/>
          <w:iCs/>
        </w:rPr>
        <w:t xml:space="preserve"> </w:t>
      </w:r>
      <w:proofErr w:type="spellStart"/>
      <w:r w:rsidRPr="00771E6E">
        <w:rPr>
          <w:i/>
          <w:iCs/>
        </w:rPr>
        <w:t>Europee</w:t>
      </w:r>
      <w:proofErr w:type="spellEnd"/>
      <w:r w:rsidRPr="00771E6E">
        <w:rPr>
          <w:i/>
          <w:iCs/>
        </w:rPr>
        <w:t xml:space="preserve"> (XIV-XVIII </w:t>
      </w:r>
      <w:proofErr w:type="spellStart"/>
      <w:r w:rsidRPr="00771E6E">
        <w:rPr>
          <w:i/>
          <w:iCs/>
        </w:rPr>
        <w:t>secolo</w:t>
      </w:r>
      <w:proofErr w:type="spellEnd"/>
      <w:r w:rsidRPr="00771E6E">
        <w:rPr>
          <w:i/>
          <w:iCs/>
        </w:rPr>
        <w:t>)</w:t>
      </w:r>
      <w:r w:rsidRPr="00771E6E">
        <w:t>, edited by Monica Ferrari. Pavia: Pavia University Press, 2010.</w:t>
      </w:r>
    </w:p>
    <w:p w14:paraId="47BA0F5A" w14:textId="77777777" w:rsidR="00F33779" w:rsidRPr="00771E6E" w:rsidRDefault="00F33779" w:rsidP="00F33779">
      <w:pPr>
        <w:pStyle w:val="Bibliography"/>
      </w:pPr>
      <w:r w:rsidRPr="00771E6E">
        <w:t xml:space="preserve">Venturi, </w:t>
      </w:r>
      <w:proofErr w:type="spellStart"/>
      <w:r w:rsidRPr="00771E6E">
        <w:t>Lionello</w:t>
      </w:r>
      <w:proofErr w:type="spellEnd"/>
      <w:r w:rsidRPr="00771E6E">
        <w:t xml:space="preserve">. </w:t>
      </w:r>
      <w:r w:rsidRPr="00771E6E">
        <w:rPr>
          <w:i/>
          <w:iCs/>
        </w:rPr>
        <w:t>Piero Della Francesca: Biographical and Critical Studies</w:t>
      </w:r>
      <w:r w:rsidRPr="00771E6E">
        <w:t xml:space="preserve">. Translated by James Emmons. Lausanne: </w:t>
      </w:r>
      <w:proofErr w:type="spellStart"/>
      <w:r w:rsidRPr="00771E6E">
        <w:t>Skira</w:t>
      </w:r>
      <w:proofErr w:type="spellEnd"/>
      <w:r w:rsidRPr="00771E6E">
        <w:t>, 1955.</w:t>
      </w:r>
    </w:p>
    <w:p w14:paraId="47EBB813" w14:textId="77777777" w:rsidR="00F33779" w:rsidRPr="00771E6E" w:rsidRDefault="00F33779" w:rsidP="00F33779">
      <w:pPr>
        <w:pStyle w:val="Bibliography"/>
      </w:pPr>
      <w:proofErr w:type="spellStart"/>
      <w:r w:rsidRPr="00771E6E">
        <w:t>Vikan</w:t>
      </w:r>
      <w:proofErr w:type="spellEnd"/>
      <w:r w:rsidRPr="00771E6E">
        <w:t xml:space="preserve">, Gary. “Sacred Images, Sacred Power.” In </w:t>
      </w:r>
      <w:r w:rsidRPr="00771E6E">
        <w:rPr>
          <w:i/>
          <w:iCs/>
        </w:rPr>
        <w:t>Late Antique and Medieval Art of the Mediterranean World</w:t>
      </w:r>
      <w:r w:rsidRPr="00771E6E">
        <w:t>, edited by Eva R Hoffman, 135–46. Malden, MA: Blackwell, 2007.</w:t>
      </w:r>
    </w:p>
    <w:p w14:paraId="39019C93" w14:textId="77777777" w:rsidR="00F33779" w:rsidRPr="00771E6E" w:rsidRDefault="00F33779" w:rsidP="00F33779">
      <w:pPr>
        <w:pStyle w:val="Bibliography"/>
      </w:pPr>
      <w:proofErr w:type="spellStart"/>
      <w:r w:rsidRPr="00771E6E">
        <w:t>Vivarelli</w:t>
      </w:r>
      <w:proofErr w:type="spellEnd"/>
      <w:r w:rsidRPr="00771E6E">
        <w:t xml:space="preserve">, Carla. “Nicola Da Capua.” In </w:t>
      </w:r>
      <w:proofErr w:type="spellStart"/>
      <w:r w:rsidRPr="00771E6E">
        <w:rPr>
          <w:i/>
          <w:iCs/>
        </w:rPr>
        <w:t>Dizionario</w:t>
      </w:r>
      <w:proofErr w:type="spellEnd"/>
      <w:r w:rsidRPr="00771E6E">
        <w:rPr>
          <w:i/>
          <w:iCs/>
        </w:rPr>
        <w:t xml:space="preserve"> </w:t>
      </w:r>
      <w:proofErr w:type="spellStart"/>
      <w:r w:rsidRPr="00771E6E">
        <w:rPr>
          <w:i/>
          <w:iCs/>
        </w:rPr>
        <w:t>Biografico</w:t>
      </w:r>
      <w:proofErr w:type="spellEnd"/>
      <w:r w:rsidRPr="00771E6E">
        <w:rPr>
          <w:i/>
          <w:iCs/>
        </w:rPr>
        <w:t xml:space="preserve"> </w:t>
      </w:r>
      <w:proofErr w:type="spellStart"/>
      <w:r w:rsidRPr="00771E6E">
        <w:rPr>
          <w:i/>
          <w:iCs/>
        </w:rPr>
        <w:t>Degli</w:t>
      </w:r>
      <w:proofErr w:type="spellEnd"/>
      <w:r w:rsidRPr="00771E6E">
        <w:rPr>
          <w:i/>
          <w:iCs/>
        </w:rPr>
        <w:t xml:space="preserve"> </w:t>
      </w:r>
      <w:proofErr w:type="spellStart"/>
      <w:r w:rsidRPr="00771E6E">
        <w:rPr>
          <w:i/>
          <w:iCs/>
        </w:rPr>
        <w:t>Italiani</w:t>
      </w:r>
      <w:proofErr w:type="spellEnd"/>
      <w:r w:rsidRPr="00771E6E">
        <w:t>, 2013. accessed online on 15th December 2017: http://www.treccani.it/enciclopedia/nicola-da-capua_(Dizionario-Biografico)/.</w:t>
      </w:r>
    </w:p>
    <w:p w14:paraId="0DE08DEB" w14:textId="77777777" w:rsidR="00F33779" w:rsidRPr="00771E6E" w:rsidRDefault="00F33779" w:rsidP="00F33779">
      <w:pPr>
        <w:pStyle w:val="Bibliography"/>
      </w:pPr>
      <w:r w:rsidRPr="00771E6E">
        <w:t xml:space="preserve">Voss, Angela. “Magic, Astrology and Music: The Background to </w:t>
      </w:r>
      <w:proofErr w:type="spellStart"/>
      <w:r w:rsidRPr="00771E6E">
        <w:t>Marsilio</w:t>
      </w:r>
      <w:proofErr w:type="spellEnd"/>
      <w:r w:rsidRPr="00771E6E">
        <w:t xml:space="preserve"> Ficino’s Astrological Music Therapy and His Role as a Renaissance Magus.” PhD diss, City University London, 1992.</w:t>
      </w:r>
    </w:p>
    <w:p w14:paraId="7AB13407" w14:textId="77777777" w:rsidR="00F33779" w:rsidRPr="00771E6E" w:rsidRDefault="00F33779" w:rsidP="00F33779">
      <w:pPr>
        <w:pStyle w:val="Bibliography"/>
      </w:pPr>
      <w:r w:rsidRPr="00771E6E">
        <w:t xml:space="preserve">Walker, Daniel Pickering. </w:t>
      </w:r>
      <w:r w:rsidRPr="00771E6E">
        <w:rPr>
          <w:i/>
          <w:iCs/>
        </w:rPr>
        <w:t>Spiritual and Demonic Magic: From Ficino to Campanella</w:t>
      </w:r>
      <w:r w:rsidRPr="00771E6E">
        <w:t>. University Park, PA: Pennsylvania State University Press, 2000.</w:t>
      </w:r>
    </w:p>
    <w:p w14:paraId="7B25F191" w14:textId="77777777" w:rsidR="00F33779" w:rsidRPr="00771E6E" w:rsidRDefault="00F33779" w:rsidP="00F33779">
      <w:pPr>
        <w:pStyle w:val="Bibliography"/>
      </w:pPr>
      <w:r w:rsidRPr="00771E6E">
        <w:t xml:space="preserve">Weddle, Saundra. “Women’s Place in the Family and the Convent: A Reconsideration of Public and Private in Renaissance Florence.” </w:t>
      </w:r>
      <w:r w:rsidRPr="00771E6E">
        <w:rPr>
          <w:i/>
          <w:iCs/>
        </w:rPr>
        <w:t>Journal of Architectural Education (1984-)</w:t>
      </w:r>
      <w:r w:rsidRPr="00771E6E">
        <w:t xml:space="preserve"> 55, no. 2 (2001): 64–72.</w:t>
      </w:r>
    </w:p>
    <w:p w14:paraId="79B13FC8" w14:textId="77777777" w:rsidR="00F33779" w:rsidRPr="00771E6E" w:rsidRDefault="00F33779" w:rsidP="00F33779">
      <w:pPr>
        <w:pStyle w:val="Bibliography"/>
      </w:pPr>
      <w:r w:rsidRPr="00771E6E">
        <w:t>Weil-</w:t>
      </w:r>
      <w:proofErr w:type="spellStart"/>
      <w:r w:rsidRPr="00771E6E">
        <w:t>Garris</w:t>
      </w:r>
      <w:proofErr w:type="spellEnd"/>
      <w:r w:rsidRPr="00771E6E">
        <w:t xml:space="preserve">, Kathleen, and John F. D’Amico. “The Renaissance Cardinal’s Ideal Palace: A Chapter from </w:t>
      </w:r>
      <w:proofErr w:type="spellStart"/>
      <w:r w:rsidRPr="00771E6E">
        <w:t>Cortesi’s</w:t>
      </w:r>
      <w:proofErr w:type="spellEnd"/>
      <w:r w:rsidRPr="00771E6E">
        <w:t xml:space="preserve"> </w:t>
      </w:r>
      <w:r w:rsidRPr="00771E6E">
        <w:rPr>
          <w:i/>
          <w:iCs/>
        </w:rPr>
        <w:t xml:space="preserve">De </w:t>
      </w:r>
      <w:proofErr w:type="spellStart"/>
      <w:r w:rsidRPr="00771E6E">
        <w:rPr>
          <w:i/>
          <w:iCs/>
        </w:rPr>
        <w:t>Cardinalatu</w:t>
      </w:r>
      <w:proofErr w:type="spellEnd"/>
      <w:r w:rsidRPr="00771E6E">
        <w:t xml:space="preserve">.” </w:t>
      </w:r>
      <w:r w:rsidRPr="00771E6E">
        <w:rPr>
          <w:i/>
          <w:iCs/>
        </w:rPr>
        <w:t>Memoirs of the American Academy in Rome. Studies in Italian Art History 1: Studies in Italian Art and Architecture 15th through 18th Centuries.</w:t>
      </w:r>
      <w:r w:rsidRPr="00771E6E">
        <w:t xml:space="preserve"> 35 (1980): 45–123. </w:t>
      </w:r>
    </w:p>
    <w:p w14:paraId="1FE8E274" w14:textId="77777777" w:rsidR="00F33779" w:rsidRPr="00771E6E" w:rsidRDefault="00F33779" w:rsidP="00F33779">
      <w:pPr>
        <w:pStyle w:val="Bibliography"/>
      </w:pPr>
      <w:r w:rsidRPr="00771E6E">
        <w:t xml:space="preserve">Weiss, Susan </w:t>
      </w:r>
      <w:proofErr w:type="spellStart"/>
      <w:r w:rsidRPr="00771E6E">
        <w:t>Forscher</w:t>
      </w:r>
      <w:proofErr w:type="spellEnd"/>
      <w:r w:rsidRPr="00771E6E">
        <w:t>. “</w:t>
      </w:r>
      <w:proofErr w:type="spellStart"/>
      <w:r w:rsidRPr="00771E6E">
        <w:t>Disce</w:t>
      </w:r>
      <w:proofErr w:type="spellEnd"/>
      <w:r w:rsidRPr="00771E6E">
        <w:t xml:space="preserve"> </w:t>
      </w:r>
      <w:proofErr w:type="spellStart"/>
      <w:r w:rsidRPr="00771E6E">
        <w:t>Manum</w:t>
      </w:r>
      <w:proofErr w:type="spellEnd"/>
      <w:r w:rsidRPr="00771E6E">
        <w:t xml:space="preserve"> </w:t>
      </w:r>
      <w:proofErr w:type="spellStart"/>
      <w:r w:rsidRPr="00771E6E">
        <w:t>Tuam</w:t>
      </w:r>
      <w:proofErr w:type="spellEnd"/>
      <w:r w:rsidRPr="00771E6E">
        <w:t xml:space="preserve"> Si Vis Bene </w:t>
      </w:r>
      <w:proofErr w:type="spellStart"/>
      <w:r w:rsidRPr="00771E6E">
        <w:t>Discere</w:t>
      </w:r>
      <w:proofErr w:type="spellEnd"/>
      <w:r w:rsidRPr="00771E6E">
        <w:t xml:space="preserve"> </w:t>
      </w:r>
      <w:proofErr w:type="spellStart"/>
      <w:r w:rsidRPr="00771E6E">
        <w:t>Cantum</w:t>
      </w:r>
      <w:proofErr w:type="spellEnd"/>
      <w:r w:rsidRPr="00771E6E">
        <w:t xml:space="preserve">: Symbols of Learning Music in Early Modern Europe.” </w:t>
      </w:r>
      <w:r w:rsidRPr="00771E6E">
        <w:rPr>
          <w:i/>
          <w:iCs/>
        </w:rPr>
        <w:t>Music in Art</w:t>
      </w:r>
      <w:r w:rsidRPr="00771E6E">
        <w:t xml:space="preserve"> 30, no. 1/2 (2005): 35–74.</w:t>
      </w:r>
    </w:p>
    <w:p w14:paraId="44444D4A" w14:textId="77777777" w:rsidR="00F33779" w:rsidRPr="00771E6E" w:rsidRDefault="00F33779" w:rsidP="00F33779">
      <w:pPr>
        <w:pStyle w:val="Bibliography"/>
      </w:pPr>
      <w:r w:rsidRPr="00771E6E">
        <w:t xml:space="preserve">———. “Vandals, Students, or Scholars? Handwritten Clues in Renaissance Music Textbooks.” In </w:t>
      </w:r>
      <w:r w:rsidRPr="00771E6E">
        <w:rPr>
          <w:i/>
          <w:iCs/>
        </w:rPr>
        <w:t>Music Education in the Middle Ages and the Renaissance</w:t>
      </w:r>
      <w:r w:rsidRPr="00771E6E">
        <w:t xml:space="preserve">, edited by Russell E. Murray Jr., Susan </w:t>
      </w:r>
      <w:proofErr w:type="spellStart"/>
      <w:r w:rsidRPr="00771E6E">
        <w:t>Forscher</w:t>
      </w:r>
      <w:proofErr w:type="spellEnd"/>
      <w:r w:rsidRPr="00771E6E">
        <w:t xml:space="preserve"> Weiss, and Cynthia J. Cyrus, 207–46. Bloomington and Indianapolis, IN: Indiana University Press, 2010.</w:t>
      </w:r>
    </w:p>
    <w:p w14:paraId="0B55DEDC" w14:textId="77777777" w:rsidR="00F33779" w:rsidRPr="00771E6E" w:rsidRDefault="00F33779" w:rsidP="00F33779">
      <w:pPr>
        <w:pStyle w:val="Bibliography"/>
      </w:pPr>
      <w:r w:rsidRPr="00771E6E">
        <w:t xml:space="preserve">Weiss, Susan </w:t>
      </w:r>
      <w:proofErr w:type="spellStart"/>
      <w:r w:rsidRPr="00771E6E">
        <w:t>Forscher</w:t>
      </w:r>
      <w:proofErr w:type="spellEnd"/>
      <w:r w:rsidRPr="00771E6E">
        <w:t xml:space="preserve">, Russell E. Murray Jr, and Cynthia J. Cyrus, eds. </w:t>
      </w:r>
      <w:r w:rsidRPr="00771E6E">
        <w:rPr>
          <w:i/>
          <w:iCs/>
        </w:rPr>
        <w:t>Music Education in the Middle Ages and the Renaissance</w:t>
      </w:r>
      <w:r w:rsidRPr="00771E6E">
        <w:t>. Bloomington and Indianapolis: Indiana University Press, 2010.</w:t>
      </w:r>
    </w:p>
    <w:p w14:paraId="785362A1" w14:textId="77777777" w:rsidR="00F33779" w:rsidRPr="00771E6E" w:rsidRDefault="00F33779" w:rsidP="00F33779">
      <w:pPr>
        <w:pStyle w:val="Bibliography"/>
      </w:pPr>
      <w:r w:rsidRPr="00771E6E">
        <w:t xml:space="preserve">Welch, Evelyn. </w:t>
      </w:r>
      <w:r w:rsidRPr="00771E6E">
        <w:rPr>
          <w:i/>
          <w:iCs/>
        </w:rPr>
        <w:t>Art in Renaissance Italy, 1350-1500</w:t>
      </w:r>
      <w:r w:rsidRPr="00771E6E">
        <w:t>. Oxford: Oxford University Press, 1997.</w:t>
      </w:r>
    </w:p>
    <w:p w14:paraId="31FBA9FC" w14:textId="77777777" w:rsidR="00F33779" w:rsidRPr="00771E6E" w:rsidRDefault="00F33779" w:rsidP="00F33779">
      <w:pPr>
        <w:pStyle w:val="Bibliography"/>
      </w:pPr>
      <w:r w:rsidRPr="00771E6E">
        <w:lastRenderedPageBreak/>
        <w:t xml:space="preserve">———. “Public Magnificence and Private Display: Giovanni </w:t>
      </w:r>
      <w:proofErr w:type="spellStart"/>
      <w:r w:rsidRPr="00771E6E">
        <w:t>Pontano’s</w:t>
      </w:r>
      <w:proofErr w:type="spellEnd"/>
      <w:r w:rsidRPr="00771E6E">
        <w:t xml:space="preserve"> </w:t>
      </w:r>
      <w:r w:rsidRPr="00771E6E">
        <w:rPr>
          <w:i/>
          <w:iCs/>
        </w:rPr>
        <w:t xml:space="preserve">De </w:t>
      </w:r>
      <w:proofErr w:type="spellStart"/>
      <w:r w:rsidRPr="00771E6E">
        <w:rPr>
          <w:i/>
          <w:iCs/>
        </w:rPr>
        <w:t>Splendore</w:t>
      </w:r>
      <w:proofErr w:type="spellEnd"/>
      <w:r w:rsidRPr="00771E6E">
        <w:t xml:space="preserve"> (1498) and the Domestic Arts.” </w:t>
      </w:r>
      <w:r w:rsidRPr="00771E6E">
        <w:rPr>
          <w:i/>
          <w:iCs/>
        </w:rPr>
        <w:t>Journal of Design History Journal of Design History</w:t>
      </w:r>
      <w:r w:rsidRPr="00771E6E">
        <w:t xml:space="preserve"> 15, no. 4 (2002): 211–21.</w:t>
      </w:r>
    </w:p>
    <w:p w14:paraId="1EB4E6D1" w14:textId="77777777" w:rsidR="00F33779" w:rsidRPr="00771E6E" w:rsidRDefault="00F33779" w:rsidP="00F33779">
      <w:pPr>
        <w:pStyle w:val="Bibliography"/>
      </w:pPr>
      <w:r w:rsidRPr="00771E6E">
        <w:t xml:space="preserve">Williamson, Beth. “Altarpieces, Liturgy, and Devotion.” </w:t>
      </w:r>
      <w:r w:rsidRPr="00771E6E">
        <w:rPr>
          <w:i/>
          <w:iCs/>
        </w:rPr>
        <w:t>Speculum</w:t>
      </w:r>
      <w:r w:rsidRPr="00771E6E">
        <w:t xml:space="preserve"> 79, no. 2 (2004): 341–406.</w:t>
      </w:r>
    </w:p>
    <w:p w14:paraId="1D07913B" w14:textId="77777777" w:rsidR="00F33779" w:rsidRPr="00771E6E" w:rsidRDefault="00F33779" w:rsidP="00F33779">
      <w:pPr>
        <w:pStyle w:val="Bibliography"/>
      </w:pPr>
      <w:r w:rsidRPr="00771E6E">
        <w:t xml:space="preserve">———. “Sensory Experience in Medieval Devotion: Sound and Vision, Invisibility and Silence.” </w:t>
      </w:r>
      <w:r w:rsidRPr="00771E6E">
        <w:rPr>
          <w:i/>
          <w:iCs/>
        </w:rPr>
        <w:t>Speculum</w:t>
      </w:r>
      <w:r w:rsidRPr="00771E6E">
        <w:t xml:space="preserve"> 88, no. 1 (January 2013): 1–43.</w:t>
      </w:r>
    </w:p>
    <w:p w14:paraId="465B4BD7" w14:textId="77777777" w:rsidR="00F33779" w:rsidRPr="00771E6E" w:rsidRDefault="00F33779" w:rsidP="00F33779">
      <w:pPr>
        <w:pStyle w:val="Bibliography"/>
      </w:pPr>
      <w:r w:rsidRPr="00771E6E">
        <w:t xml:space="preserve">Wilson, Blake. “If Monuments Could Sing: Image, Song, and Civic Devotion inside </w:t>
      </w:r>
      <w:proofErr w:type="spellStart"/>
      <w:r w:rsidRPr="00771E6E">
        <w:t>Orsanmichele</w:t>
      </w:r>
      <w:proofErr w:type="spellEnd"/>
      <w:r w:rsidRPr="00771E6E">
        <w:t xml:space="preserve">.” Edited by Carl </w:t>
      </w:r>
      <w:proofErr w:type="spellStart"/>
      <w:r w:rsidRPr="00771E6E">
        <w:t>Strehke</w:t>
      </w:r>
      <w:proofErr w:type="spellEnd"/>
      <w:r w:rsidRPr="00771E6E">
        <w:t xml:space="preserve">. </w:t>
      </w:r>
      <w:r w:rsidRPr="00771E6E">
        <w:rPr>
          <w:i/>
          <w:iCs/>
        </w:rPr>
        <w:t xml:space="preserve">Studies in the History of Art 76: Symposium Papers LIII: </w:t>
      </w:r>
      <w:proofErr w:type="spellStart"/>
      <w:r w:rsidRPr="00771E6E">
        <w:rPr>
          <w:i/>
          <w:iCs/>
        </w:rPr>
        <w:t>Orsanmichele</w:t>
      </w:r>
      <w:proofErr w:type="spellEnd"/>
      <w:r w:rsidRPr="00771E6E">
        <w:rPr>
          <w:i/>
          <w:iCs/>
        </w:rPr>
        <w:t xml:space="preserve"> and the History and Preservation of the Civic Monument</w:t>
      </w:r>
      <w:r w:rsidRPr="00771E6E">
        <w:t>, 2012, 139–68.</w:t>
      </w:r>
    </w:p>
    <w:p w14:paraId="377954EB" w14:textId="77777777" w:rsidR="00F33779" w:rsidRPr="00771E6E" w:rsidRDefault="00F33779" w:rsidP="00F33779">
      <w:pPr>
        <w:pStyle w:val="Bibliography"/>
      </w:pPr>
      <w:r w:rsidRPr="00771E6E">
        <w:t xml:space="preserve">———. </w:t>
      </w:r>
      <w:r w:rsidRPr="00771E6E">
        <w:rPr>
          <w:i/>
          <w:iCs/>
        </w:rPr>
        <w:t xml:space="preserve">Music and Merchants: The </w:t>
      </w:r>
      <w:proofErr w:type="spellStart"/>
      <w:r w:rsidRPr="00771E6E">
        <w:rPr>
          <w:i/>
          <w:iCs/>
        </w:rPr>
        <w:t>Laudesi</w:t>
      </w:r>
      <w:proofErr w:type="spellEnd"/>
      <w:r w:rsidRPr="00771E6E">
        <w:rPr>
          <w:i/>
          <w:iCs/>
        </w:rPr>
        <w:t xml:space="preserve"> Companies of Republican Florence</w:t>
      </w:r>
      <w:r w:rsidRPr="00771E6E">
        <w:t>. New York: Oxford University Press, 1992.</w:t>
      </w:r>
    </w:p>
    <w:p w14:paraId="44BB7EBB" w14:textId="77777777" w:rsidR="00F33779" w:rsidRPr="00771E6E" w:rsidRDefault="00F33779" w:rsidP="00F33779">
      <w:pPr>
        <w:pStyle w:val="Bibliography"/>
      </w:pPr>
      <w:r w:rsidRPr="00771E6E">
        <w:t xml:space="preserve">———. </w:t>
      </w:r>
      <w:r w:rsidRPr="00771E6E">
        <w:rPr>
          <w:i/>
          <w:iCs/>
        </w:rPr>
        <w:t xml:space="preserve">Singing Poetry in Renaissance Florence: The </w:t>
      </w:r>
      <w:proofErr w:type="spellStart"/>
      <w:r w:rsidRPr="00771E6E">
        <w:rPr>
          <w:i/>
          <w:iCs/>
        </w:rPr>
        <w:t>Cantasi</w:t>
      </w:r>
      <w:proofErr w:type="spellEnd"/>
      <w:r w:rsidRPr="00771E6E">
        <w:rPr>
          <w:i/>
          <w:iCs/>
        </w:rPr>
        <w:t xml:space="preserve"> Come Tradition (1375-1550)</w:t>
      </w:r>
      <w:r w:rsidRPr="00771E6E">
        <w:t xml:space="preserve">. Florence: </w:t>
      </w:r>
      <w:proofErr w:type="spellStart"/>
      <w:r w:rsidRPr="00771E6E">
        <w:t>Fontecolombo</w:t>
      </w:r>
      <w:proofErr w:type="spellEnd"/>
      <w:r w:rsidRPr="00771E6E">
        <w:t xml:space="preserve"> Institute, 2009.</w:t>
      </w:r>
    </w:p>
    <w:p w14:paraId="67F9B116" w14:textId="77777777" w:rsidR="00F33779" w:rsidRPr="00771E6E" w:rsidRDefault="00F33779" w:rsidP="00F33779">
      <w:pPr>
        <w:pStyle w:val="Bibliography"/>
      </w:pPr>
      <w:r w:rsidRPr="00771E6E">
        <w:t xml:space="preserve">Wilson, Timothy, and Luke Syson. </w:t>
      </w:r>
      <w:r w:rsidRPr="00771E6E">
        <w:rPr>
          <w:i/>
          <w:iCs/>
        </w:rPr>
        <w:t>Maiolica: Italian Renaissance Ceramics in the Metropolitan Museum of Art</w:t>
      </w:r>
      <w:r w:rsidRPr="00771E6E">
        <w:t>. New York: Metropolitan Museum of Art, 2016.</w:t>
      </w:r>
    </w:p>
    <w:p w14:paraId="710B7B12" w14:textId="77777777" w:rsidR="00F33779" w:rsidRPr="00771E6E" w:rsidRDefault="00F33779" w:rsidP="00F33779">
      <w:pPr>
        <w:pStyle w:val="Bibliography"/>
      </w:pPr>
      <w:proofErr w:type="spellStart"/>
      <w:r w:rsidRPr="00771E6E">
        <w:t>Winternitz</w:t>
      </w:r>
      <w:proofErr w:type="spellEnd"/>
      <w:r w:rsidRPr="00771E6E">
        <w:t xml:space="preserve">, Emanuel. </w:t>
      </w:r>
      <w:r w:rsidRPr="00771E6E">
        <w:rPr>
          <w:i/>
          <w:iCs/>
        </w:rPr>
        <w:t>Musical Instruments and Their Symbolism in Western Art</w:t>
      </w:r>
      <w:r w:rsidRPr="00771E6E">
        <w:t>. 1st ed. London: Faber and Faber, 1967.</w:t>
      </w:r>
    </w:p>
    <w:p w14:paraId="607D58D3" w14:textId="77777777" w:rsidR="00F33779" w:rsidRPr="00771E6E" w:rsidRDefault="00F33779" w:rsidP="00F33779">
      <w:pPr>
        <w:pStyle w:val="Bibliography"/>
      </w:pPr>
      <w:r w:rsidRPr="00771E6E">
        <w:t xml:space="preserve">———. “Musical Instruments for the Stage in Paintings by Filippino Lippi, Piero Di Cosimo, and Lorenzo Costa.” In </w:t>
      </w:r>
      <w:r w:rsidRPr="00771E6E">
        <w:rPr>
          <w:i/>
          <w:iCs/>
        </w:rPr>
        <w:t>Musical Instruments and Their Symbolism in Western Art: Studies in Musical Iconology</w:t>
      </w:r>
      <w:r w:rsidRPr="00771E6E">
        <w:t>, 211–25. New Haven and London: Yale University Press, 1979.</w:t>
      </w:r>
    </w:p>
    <w:p w14:paraId="43C57716" w14:textId="77777777" w:rsidR="00F33779" w:rsidRPr="00771E6E" w:rsidRDefault="00F33779" w:rsidP="00F33779">
      <w:pPr>
        <w:pStyle w:val="Bibliography"/>
      </w:pPr>
      <w:r w:rsidRPr="00771E6E">
        <w:t xml:space="preserve">———. “On Angel Concerts in the 15th Century: A Critical Approach to Realism and Symbolism in Sacred Painting.” </w:t>
      </w:r>
      <w:r w:rsidRPr="00771E6E">
        <w:rPr>
          <w:i/>
          <w:iCs/>
        </w:rPr>
        <w:t>The Musical Quarterly</w:t>
      </w:r>
      <w:r w:rsidRPr="00771E6E">
        <w:t xml:space="preserve"> 49, no. 4 (1963): 450–63.</w:t>
      </w:r>
    </w:p>
    <w:p w14:paraId="09765811" w14:textId="77777777" w:rsidR="00F33779" w:rsidRPr="00771E6E" w:rsidRDefault="00F33779" w:rsidP="00F33779">
      <w:pPr>
        <w:pStyle w:val="Bibliography"/>
      </w:pPr>
      <w:r w:rsidRPr="00771E6E">
        <w:t xml:space="preserve">Witt, Ronald. “What Did </w:t>
      </w:r>
      <w:proofErr w:type="spellStart"/>
      <w:r w:rsidRPr="00771E6E">
        <w:t>Giovannino</w:t>
      </w:r>
      <w:proofErr w:type="spellEnd"/>
      <w:r w:rsidRPr="00771E6E">
        <w:t xml:space="preserve"> Read and Write? Literacy in Early Renaissance Florence.” </w:t>
      </w:r>
      <w:r w:rsidRPr="00771E6E">
        <w:rPr>
          <w:i/>
          <w:iCs/>
        </w:rPr>
        <w:t xml:space="preserve">I </w:t>
      </w:r>
      <w:proofErr w:type="spellStart"/>
      <w:r w:rsidRPr="00771E6E">
        <w:rPr>
          <w:i/>
          <w:iCs/>
        </w:rPr>
        <w:t>Tatti</w:t>
      </w:r>
      <w:proofErr w:type="spellEnd"/>
      <w:r w:rsidRPr="00771E6E">
        <w:rPr>
          <w:i/>
          <w:iCs/>
        </w:rPr>
        <w:t xml:space="preserve"> Studies in the Italian Renaissance</w:t>
      </w:r>
      <w:r w:rsidRPr="00771E6E">
        <w:t xml:space="preserve"> 6 (1995): 83–114.</w:t>
      </w:r>
    </w:p>
    <w:p w14:paraId="1C1D4C2F" w14:textId="77777777" w:rsidR="00F33779" w:rsidRPr="00771E6E" w:rsidRDefault="00F33779" w:rsidP="00F33779">
      <w:pPr>
        <w:pStyle w:val="Bibliography"/>
      </w:pPr>
      <w:proofErr w:type="spellStart"/>
      <w:r w:rsidRPr="00771E6E">
        <w:t>Wittkower</w:t>
      </w:r>
      <w:proofErr w:type="spellEnd"/>
      <w:r w:rsidRPr="00771E6E">
        <w:t xml:space="preserve">, Rudolf. “Transformations of Minerva in Renaissance Imagery.” </w:t>
      </w:r>
      <w:r w:rsidRPr="00771E6E">
        <w:rPr>
          <w:i/>
          <w:iCs/>
        </w:rPr>
        <w:t>Journal of the Warburg Institute</w:t>
      </w:r>
      <w:r w:rsidRPr="00771E6E">
        <w:t xml:space="preserve"> 2, no. 3 (1939): 194–205.</w:t>
      </w:r>
    </w:p>
    <w:p w14:paraId="2B006FE8" w14:textId="77777777" w:rsidR="00F33779" w:rsidRPr="00771E6E" w:rsidRDefault="00F33779" w:rsidP="00F33779">
      <w:pPr>
        <w:pStyle w:val="Bibliography"/>
      </w:pPr>
      <w:r w:rsidRPr="00771E6E">
        <w:t xml:space="preserve">Woodward, William H. </w:t>
      </w:r>
      <w:r w:rsidRPr="00771E6E">
        <w:rPr>
          <w:i/>
          <w:iCs/>
        </w:rPr>
        <w:t>Studies in Education during the Age of the Renaissance 1400-1600</w:t>
      </w:r>
      <w:r w:rsidRPr="00771E6E">
        <w:t>. Cambridge: University Press, 1906.</w:t>
      </w:r>
    </w:p>
    <w:p w14:paraId="4AD1E009" w14:textId="77777777" w:rsidR="00F33779" w:rsidRPr="00771E6E" w:rsidRDefault="00F33779" w:rsidP="00F33779">
      <w:pPr>
        <w:pStyle w:val="Bibliography"/>
      </w:pPr>
      <w:r w:rsidRPr="00771E6E">
        <w:t xml:space="preserve">———. </w:t>
      </w:r>
      <w:proofErr w:type="spellStart"/>
      <w:r w:rsidRPr="00771E6E">
        <w:rPr>
          <w:i/>
          <w:iCs/>
        </w:rPr>
        <w:t>Vittorino</w:t>
      </w:r>
      <w:proofErr w:type="spellEnd"/>
      <w:r w:rsidRPr="00771E6E">
        <w:rPr>
          <w:i/>
          <w:iCs/>
        </w:rPr>
        <w:t xml:space="preserve"> da Feltre and other humanist educators</w:t>
      </w:r>
      <w:r w:rsidRPr="00771E6E">
        <w:t>. Cambridge: Cambridge University Press, 1897. Reprint, Toronto: University of Toronto Press, 1996.</w:t>
      </w:r>
    </w:p>
    <w:p w14:paraId="708CA16B" w14:textId="77777777" w:rsidR="00F33779" w:rsidRPr="00771E6E" w:rsidRDefault="00F33779" w:rsidP="00F33779">
      <w:pPr>
        <w:pStyle w:val="Bibliography"/>
      </w:pPr>
      <w:proofErr w:type="spellStart"/>
      <w:r w:rsidRPr="00771E6E">
        <w:t>Yoran</w:t>
      </w:r>
      <w:proofErr w:type="spellEnd"/>
      <w:r w:rsidRPr="00771E6E">
        <w:t xml:space="preserve">, Hanan. “Florentine Civic Humanism and the Emergence of Modern Ideology.” </w:t>
      </w:r>
      <w:r w:rsidRPr="00771E6E">
        <w:rPr>
          <w:i/>
          <w:iCs/>
        </w:rPr>
        <w:t>History and Theory</w:t>
      </w:r>
      <w:r w:rsidRPr="00771E6E">
        <w:t xml:space="preserve"> 46, no. 3 (October 2007): 326–44.</w:t>
      </w:r>
    </w:p>
    <w:p w14:paraId="5E197224" w14:textId="77777777" w:rsidR="00F33779" w:rsidRPr="00771E6E" w:rsidRDefault="00F33779" w:rsidP="00F33779">
      <w:pPr>
        <w:pStyle w:val="Bibliography"/>
      </w:pPr>
      <w:r w:rsidRPr="00771E6E">
        <w:t xml:space="preserve">Zambrano, </w:t>
      </w:r>
      <w:proofErr w:type="spellStart"/>
      <w:r w:rsidRPr="00771E6E">
        <w:t>Patrizia</w:t>
      </w:r>
      <w:proofErr w:type="spellEnd"/>
      <w:r w:rsidRPr="00771E6E">
        <w:t>. “</w:t>
      </w:r>
      <w:proofErr w:type="spellStart"/>
      <w:r w:rsidRPr="00771E6E">
        <w:t>Catalogo</w:t>
      </w:r>
      <w:proofErr w:type="spellEnd"/>
      <w:r w:rsidRPr="00771E6E">
        <w:t xml:space="preserve"> </w:t>
      </w:r>
      <w:proofErr w:type="spellStart"/>
      <w:r w:rsidRPr="00771E6E">
        <w:t>Delle</w:t>
      </w:r>
      <w:proofErr w:type="spellEnd"/>
      <w:r w:rsidRPr="00771E6E">
        <w:t xml:space="preserve"> Opera </w:t>
      </w:r>
      <w:proofErr w:type="spellStart"/>
      <w:r w:rsidRPr="00771E6E">
        <w:t>Respinte</w:t>
      </w:r>
      <w:proofErr w:type="spellEnd"/>
      <w:r w:rsidRPr="00771E6E">
        <w:t xml:space="preserve"> </w:t>
      </w:r>
      <w:proofErr w:type="spellStart"/>
      <w:r w:rsidRPr="00771E6E">
        <w:t>Già</w:t>
      </w:r>
      <w:proofErr w:type="spellEnd"/>
      <w:r w:rsidRPr="00771E6E">
        <w:t xml:space="preserve"> </w:t>
      </w:r>
      <w:proofErr w:type="spellStart"/>
      <w:r w:rsidRPr="00771E6E">
        <w:t>Attribuite</w:t>
      </w:r>
      <w:proofErr w:type="spellEnd"/>
      <w:r w:rsidRPr="00771E6E">
        <w:t xml:space="preserve"> a Filippino Lippi.” In </w:t>
      </w:r>
      <w:r w:rsidRPr="00771E6E">
        <w:rPr>
          <w:i/>
          <w:iCs/>
        </w:rPr>
        <w:t>Filippino Lippi</w:t>
      </w:r>
      <w:r w:rsidRPr="00771E6E">
        <w:t xml:space="preserve">. Milan: </w:t>
      </w:r>
      <w:proofErr w:type="spellStart"/>
      <w:r w:rsidRPr="00771E6E">
        <w:t>Electa</w:t>
      </w:r>
      <w:proofErr w:type="spellEnd"/>
      <w:r w:rsidRPr="00771E6E">
        <w:t>, 2004.</w:t>
      </w:r>
    </w:p>
    <w:p w14:paraId="113CBB0E" w14:textId="77777777" w:rsidR="00F33779" w:rsidRPr="00771E6E" w:rsidRDefault="00F33779" w:rsidP="00F33779">
      <w:pPr>
        <w:pStyle w:val="Bibliography"/>
      </w:pPr>
      <w:r w:rsidRPr="00771E6E">
        <w:t xml:space="preserve">Zambrano, </w:t>
      </w:r>
      <w:proofErr w:type="spellStart"/>
      <w:r w:rsidRPr="00771E6E">
        <w:t>Patrizia</w:t>
      </w:r>
      <w:proofErr w:type="spellEnd"/>
      <w:r w:rsidRPr="00771E6E">
        <w:t xml:space="preserve">, and Jonathan Katz Nelson. </w:t>
      </w:r>
      <w:r w:rsidRPr="00771E6E">
        <w:rPr>
          <w:i/>
          <w:iCs/>
        </w:rPr>
        <w:t>Filippino Lippi</w:t>
      </w:r>
      <w:r w:rsidRPr="00771E6E">
        <w:t xml:space="preserve">. Milan: </w:t>
      </w:r>
      <w:proofErr w:type="spellStart"/>
      <w:r w:rsidRPr="00771E6E">
        <w:t>Electa</w:t>
      </w:r>
      <w:proofErr w:type="spellEnd"/>
      <w:r w:rsidRPr="00771E6E">
        <w:t>, 2004.</w:t>
      </w:r>
    </w:p>
    <w:p w14:paraId="61E0B1BF" w14:textId="77777777" w:rsidR="00F33779" w:rsidRPr="00771E6E" w:rsidRDefault="00F33779" w:rsidP="00F33779">
      <w:pPr>
        <w:pStyle w:val="Bibliography"/>
      </w:pPr>
      <w:proofErr w:type="spellStart"/>
      <w:r w:rsidRPr="00771E6E">
        <w:t>Zeri</w:t>
      </w:r>
      <w:proofErr w:type="spellEnd"/>
      <w:r w:rsidRPr="00771E6E">
        <w:t xml:space="preserve">, Federico, and Mauro Natale. “I Dipinti </w:t>
      </w:r>
      <w:proofErr w:type="spellStart"/>
      <w:r w:rsidRPr="00771E6E">
        <w:t>Toscani</w:t>
      </w:r>
      <w:proofErr w:type="spellEnd"/>
      <w:r w:rsidRPr="00771E6E">
        <w:t xml:space="preserve">.” In </w:t>
      </w:r>
      <w:r w:rsidRPr="00771E6E">
        <w:rPr>
          <w:i/>
          <w:iCs/>
        </w:rPr>
        <w:t xml:space="preserve">Dipinti </w:t>
      </w:r>
      <w:proofErr w:type="spellStart"/>
      <w:r w:rsidRPr="00771E6E">
        <w:rPr>
          <w:i/>
          <w:iCs/>
        </w:rPr>
        <w:t>toscani</w:t>
      </w:r>
      <w:proofErr w:type="spellEnd"/>
      <w:r w:rsidRPr="00771E6E">
        <w:rPr>
          <w:i/>
          <w:iCs/>
        </w:rPr>
        <w:t xml:space="preserve"> e </w:t>
      </w:r>
      <w:proofErr w:type="spellStart"/>
      <w:r w:rsidRPr="00771E6E">
        <w:rPr>
          <w:i/>
          <w:iCs/>
        </w:rPr>
        <w:t>oggetti</w:t>
      </w:r>
      <w:proofErr w:type="spellEnd"/>
      <w:r w:rsidRPr="00771E6E">
        <w:rPr>
          <w:i/>
          <w:iCs/>
        </w:rPr>
        <w:t xml:space="preserve"> </w:t>
      </w:r>
      <w:proofErr w:type="spellStart"/>
      <w:r w:rsidRPr="00771E6E">
        <w:rPr>
          <w:i/>
          <w:iCs/>
        </w:rPr>
        <w:t>d’arte</w:t>
      </w:r>
      <w:proofErr w:type="spellEnd"/>
      <w:r w:rsidRPr="00771E6E">
        <w:rPr>
          <w:i/>
          <w:iCs/>
        </w:rPr>
        <w:t xml:space="preserve"> </w:t>
      </w:r>
      <w:proofErr w:type="spellStart"/>
      <w:r w:rsidRPr="00771E6E">
        <w:rPr>
          <w:i/>
          <w:iCs/>
        </w:rPr>
        <w:t>dalla</w:t>
      </w:r>
      <w:proofErr w:type="spellEnd"/>
      <w:r w:rsidRPr="00771E6E">
        <w:rPr>
          <w:i/>
          <w:iCs/>
        </w:rPr>
        <w:t xml:space="preserve"> </w:t>
      </w:r>
      <w:proofErr w:type="spellStart"/>
      <w:r w:rsidRPr="00771E6E">
        <w:rPr>
          <w:i/>
          <w:iCs/>
        </w:rPr>
        <w:t>collezione</w:t>
      </w:r>
      <w:proofErr w:type="spellEnd"/>
      <w:r w:rsidRPr="00771E6E">
        <w:rPr>
          <w:i/>
          <w:iCs/>
        </w:rPr>
        <w:t xml:space="preserve"> Vittorio </w:t>
      </w:r>
      <w:proofErr w:type="spellStart"/>
      <w:r w:rsidRPr="00771E6E">
        <w:rPr>
          <w:i/>
          <w:iCs/>
        </w:rPr>
        <w:t>Cini</w:t>
      </w:r>
      <w:proofErr w:type="spellEnd"/>
      <w:r w:rsidRPr="00771E6E">
        <w:t xml:space="preserve">, edited by Federico </w:t>
      </w:r>
      <w:proofErr w:type="spellStart"/>
      <w:r w:rsidRPr="00771E6E">
        <w:t>Zeri</w:t>
      </w:r>
      <w:proofErr w:type="spellEnd"/>
      <w:r w:rsidRPr="00771E6E">
        <w:t xml:space="preserve">, Alessandra </w:t>
      </w:r>
      <w:proofErr w:type="spellStart"/>
      <w:r w:rsidRPr="00771E6E">
        <w:t>Mottola</w:t>
      </w:r>
      <w:proofErr w:type="spellEnd"/>
      <w:r w:rsidRPr="00771E6E">
        <w:t xml:space="preserve"> </w:t>
      </w:r>
      <w:proofErr w:type="spellStart"/>
      <w:r w:rsidRPr="00771E6E">
        <w:t>Molfino</w:t>
      </w:r>
      <w:proofErr w:type="spellEnd"/>
      <w:r w:rsidRPr="00771E6E">
        <w:t xml:space="preserve">, and Mauro Natale, 1–50. </w:t>
      </w:r>
      <w:proofErr w:type="spellStart"/>
      <w:r w:rsidRPr="00771E6E">
        <w:t>Neri</w:t>
      </w:r>
      <w:proofErr w:type="spellEnd"/>
      <w:r w:rsidRPr="00771E6E">
        <w:t xml:space="preserve"> </w:t>
      </w:r>
      <w:proofErr w:type="spellStart"/>
      <w:r w:rsidRPr="00771E6E">
        <w:t>Pozza</w:t>
      </w:r>
      <w:proofErr w:type="spellEnd"/>
      <w:r w:rsidRPr="00771E6E">
        <w:t>, 1984.</w:t>
      </w:r>
    </w:p>
    <w:p w14:paraId="040FC5EE" w14:textId="77777777" w:rsidR="00F33779" w:rsidRPr="00771E6E" w:rsidRDefault="00F33779" w:rsidP="00F33779">
      <w:pPr>
        <w:pStyle w:val="Bibliography"/>
      </w:pPr>
      <w:proofErr w:type="spellStart"/>
      <w:r w:rsidRPr="00771E6E">
        <w:t>Zöllner</w:t>
      </w:r>
      <w:proofErr w:type="spellEnd"/>
      <w:r w:rsidRPr="00771E6E">
        <w:t xml:space="preserve">, Frank. </w:t>
      </w:r>
      <w:r w:rsidRPr="00771E6E">
        <w:rPr>
          <w:i/>
          <w:iCs/>
        </w:rPr>
        <w:t>Sandro Botticelli</w:t>
      </w:r>
      <w:r w:rsidRPr="00771E6E">
        <w:t>. Munich; London; New York: Prestel, 2005.</w:t>
      </w:r>
    </w:p>
    <w:p w14:paraId="6C28F142" w14:textId="77777777" w:rsidR="00F33779" w:rsidRPr="00EB52E3" w:rsidRDefault="00F33779" w:rsidP="00F33779">
      <w:pPr>
        <w:pStyle w:val="Bibliography"/>
      </w:pPr>
      <w:proofErr w:type="spellStart"/>
      <w:r w:rsidRPr="00771E6E">
        <w:t>Zuccolin</w:t>
      </w:r>
      <w:proofErr w:type="spellEnd"/>
      <w:r w:rsidRPr="00771E6E">
        <w:t xml:space="preserve">, Gabriella. “Princely Virtues in </w:t>
      </w:r>
      <w:r w:rsidRPr="00771E6E">
        <w:rPr>
          <w:i/>
          <w:iCs/>
        </w:rPr>
        <w:t xml:space="preserve">De </w:t>
      </w:r>
      <w:proofErr w:type="spellStart"/>
      <w:r w:rsidRPr="00771E6E">
        <w:rPr>
          <w:i/>
          <w:iCs/>
        </w:rPr>
        <w:t>Felici</w:t>
      </w:r>
      <w:proofErr w:type="spellEnd"/>
      <w:r w:rsidRPr="00771E6E">
        <w:rPr>
          <w:i/>
          <w:iCs/>
        </w:rPr>
        <w:t xml:space="preserve"> </w:t>
      </w:r>
      <w:proofErr w:type="spellStart"/>
      <w:r w:rsidRPr="00771E6E">
        <w:rPr>
          <w:i/>
          <w:iCs/>
        </w:rPr>
        <w:t>Progressu</w:t>
      </w:r>
      <w:proofErr w:type="spellEnd"/>
      <w:r w:rsidRPr="00771E6E">
        <w:t xml:space="preserve"> of Michele Savonarola, Court Physician of the House of Este.” In </w:t>
      </w:r>
      <w:r w:rsidRPr="00771E6E">
        <w:rPr>
          <w:i/>
          <w:iCs/>
        </w:rPr>
        <w:t>Princely Virtues in the Middle Ages: 1200-1500</w:t>
      </w:r>
      <w:r w:rsidRPr="00771E6E">
        <w:t xml:space="preserve">, edited by </w:t>
      </w:r>
      <w:proofErr w:type="spellStart"/>
      <w:r w:rsidRPr="00771E6E">
        <w:t>István</w:t>
      </w:r>
      <w:proofErr w:type="spellEnd"/>
      <w:r w:rsidRPr="00771E6E">
        <w:t xml:space="preserve"> </w:t>
      </w:r>
      <w:proofErr w:type="spellStart"/>
      <w:r w:rsidRPr="00771E6E">
        <w:t>Bejczy</w:t>
      </w:r>
      <w:proofErr w:type="spellEnd"/>
      <w:r w:rsidRPr="00771E6E">
        <w:t xml:space="preserve"> and Cary J. </w:t>
      </w:r>
      <w:proofErr w:type="spellStart"/>
      <w:r w:rsidRPr="00771E6E">
        <w:t>Nederman</w:t>
      </w:r>
      <w:proofErr w:type="spellEnd"/>
      <w:r w:rsidRPr="00771E6E">
        <w:t xml:space="preserve">, 237–58. Turnhout: </w:t>
      </w:r>
      <w:proofErr w:type="spellStart"/>
      <w:r w:rsidRPr="00771E6E">
        <w:t>Brepols</w:t>
      </w:r>
      <w:proofErr w:type="spellEnd"/>
      <w:r w:rsidRPr="00771E6E">
        <w:t>, 2007.</w:t>
      </w:r>
      <w:bookmarkStart w:id="87" w:name="_GoBack"/>
      <w:bookmarkEnd w:id="87"/>
    </w:p>
    <w:p w14:paraId="79BC5AD9" w14:textId="77777777" w:rsidR="00F33779" w:rsidRPr="003338A9" w:rsidRDefault="00F33779" w:rsidP="00F33779">
      <w:pPr>
        <w:ind w:firstLine="720"/>
        <w:rPr>
          <w:rStyle w:val="a-size-medium"/>
        </w:rPr>
      </w:pPr>
    </w:p>
    <w:p w14:paraId="49F629FF" w14:textId="77777777" w:rsidR="00F33779" w:rsidRPr="00094F64" w:rsidRDefault="00F33779" w:rsidP="00182EED">
      <w:pPr>
        <w:rPr>
          <w:rStyle w:val="a-size-medium"/>
        </w:rPr>
      </w:pPr>
    </w:p>
    <w:sectPr w:rsidR="00F33779" w:rsidRPr="00094F64" w:rsidSect="00182EED">
      <w:footnotePr>
        <w:numRestart w:val="eachSect"/>
      </w:footnotePr>
      <w:pgSz w:w="11900" w:h="16840"/>
      <w:pgMar w:top="1440" w:right="1418"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3F8D" w14:textId="77777777" w:rsidR="00973FDA" w:rsidRDefault="00973FDA" w:rsidP="00F60192">
      <w:r>
        <w:separator/>
      </w:r>
    </w:p>
  </w:endnote>
  <w:endnote w:type="continuationSeparator" w:id="0">
    <w:p w14:paraId="0F5BE0CC" w14:textId="77777777" w:rsidR="00973FDA" w:rsidRDefault="00973FDA" w:rsidP="00F6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Brill">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6820358"/>
      <w:docPartObj>
        <w:docPartGallery w:val="Page Numbers (Bottom of Page)"/>
        <w:docPartUnique/>
      </w:docPartObj>
    </w:sdtPr>
    <w:sdtEndPr>
      <w:rPr>
        <w:rStyle w:val="PageNumber"/>
      </w:rPr>
    </w:sdtEndPr>
    <w:sdtContent>
      <w:p w14:paraId="3138B8E6" w14:textId="77777777" w:rsidR="00182EED" w:rsidRDefault="00182EED" w:rsidP="003D00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42704398"/>
      <w:docPartObj>
        <w:docPartGallery w:val="Page Numbers (Bottom of Page)"/>
        <w:docPartUnique/>
      </w:docPartObj>
    </w:sdtPr>
    <w:sdtEndPr>
      <w:rPr>
        <w:rStyle w:val="PageNumber"/>
      </w:rPr>
    </w:sdtEndPr>
    <w:sdtContent>
      <w:p w14:paraId="681A0ECB" w14:textId="77777777" w:rsidR="00182EED" w:rsidRDefault="00182EED" w:rsidP="00AF799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B66746" w14:textId="77777777" w:rsidR="00182EED" w:rsidRDefault="00182EED" w:rsidP="00AF7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BA98" w14:textId="77777777" w:rsidR="00182EED" w:rsidRDefault="00182EED" w:rsidP="00AF79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ABB9" w14:textId="77777777" w:rsidR="00182EED" w:rsidRDefault="00182EED" w:rsidP="001840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5AC46" w14:textId="77777777" w:rsidR="00182EED" w:rsidRDefault="00182EED" w:rsidP="001840E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5AB7" w14:textId="77777777" w:rsidR="00182EED" w:rsidRDefault="00182EED" w:rsidP="001840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21C2F639" w14:textId="77777777" w:rsidR="00182EED" w:rsidRDefault="00182EED" w:rsidP="001840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FB86D" w14:textId="77777777" w:rsidR="00973FDA" w:rsidRDefault="00973FDA" w:rsidP="00F60192">
      <w:r>
        <w:separator/>
      </w:r>
    </w:p>
  </w:footnote>
  <w:footnote w:type="continuationSeparator" w:id="0">
    <w:p w14:paraId="6ADCD05A" w14:textId="77777777" w:rsidR="00973FDA" w:rsidRDefault="00973FDA" w:rsidP="00F60192">
      <w:r>
        <w:continuationSeparator/>
      </w:r>
    </w:p>
  </w:footnote>
  <w:footnote w:id="1">
    <w:p w14:paraId="78395F85" w14:textId="77777777" w:rsidR="00182EED" w:rsidRPr="009F2FAE" w:rsidRDefault="00182EED" w:rsidP="001475BD">
      <w:pPr>
        <w:pStyle w:val="Footnote"/>
      </w:pPr>
      <w:r w:rsidRPr="009F2FAE">
        <w:rPr>
          <w:rStyle w:val="FootnoteReference"/>
        </w:rPr>
        <w:footnoteRef/>
      </w:r>
      <w:r w:rsidRPr="009F2FAE">
        <w:t xml:space="preserve"> “</w:t>
      </w:r>
      <w:proofErr w:type="spellStart"/>
      <w:r w:rsidRPr="009F2FAE">
        <w:t>Sono</w:t>
      </w:r>
      <w:proofErr w:type="spellEnd"/>
      <w:r w:rsidRPr="009F2FAE">
        <w:t xml:space="preserve"> </w:t>
      </w:r>
      <w:proofErr w:type="spellStart"/>
      <w:r w:rsidRPr="009F2FAE">
        <w:t>permesse</w:t>
      </w:r>
      <w:proofErr w:type="spellEnd"/>
      <w:r w:rsidRPr="009F2FAE">
        <w:t xml:space="preserve"> ed ordinate le </w:t>
      </w:r>
      <w:proofErr w:type="spellStart"/>
      <w:r w:rsidRPr="009F2FAE">
        <w:t>dipinture</w:t>
      </w:r>
      <w:proofErr w:type="spellEnd"/>
      <w:r w:rsidRPr="009F2FAE">
        <w:t xml:space="preserve"> </w:t>
      </w:r>
      <w:proofErr w:type="spellStart"/>
      <w:r w:rsidRPr="009F2FAE">
        <w:t>degli</w:t>
      </w:r>
      <w:proofErr w:type="spellEnd"/>
      <w:r w:rsidRPr="009F2FAE">
        <w:t xml:space="preserve"> </w:t>
      </w:r>
      <w:proofErr w:type="spellStart"/>
      <w:r w:rsidRPr="009F2FAE">
        <w:t>Angeli</w:t>
      </w:r>
      <w:proofErr w:type="spellEnd"/>
      <w:r w:rsidRPr="009F2FAE">
        <w:t xml:space="preserve"> e Santi, per </w:t>
      </w:r>
      <w:proofErr w:type="spellStart"/>
      <w:r w:rsidRPr="009F2FAE">
        <w:t>utilità</w:t>
      </w:r>
      <w:proofErr w:type="spellEnd"/>
      <w:r w:rsidRPr="009F2FAE">
        <w:t xml:space="preserve"> </w:t>
      </w:r>
      <w:proofErr w:type="spellStart"/>
      <w:r w:rsidRPr="009F2FAE">
        <w:t>mentale</w:t>
      </w:r>
      <w:proofErr w:type="spellEnd"/>
      <w:r w:rsidRPr="009F2FAE">
        <w:t xml:space="preserve"> de’ </w:t>
      </w:r>
      <w:proofErr w:type="spellStart"/>
      <w:r w:rsidRPr="009F2FAE">
        <w:t>più</w:t>
      </w:r>
      <w:proofErr w:type="spellEnd"/>
      <w:r w:rsidRPr="009F2FAE">
        <w:t xml:space="preserve"> </w:t>
      </w:r>
      <w:proofErr w:type="spellStart"/>
      <w:r w:rsidRPr="009F2FAE">
        <w:t>bassi</w:t>
      </w:r>
      <w:proofErr w:type="spellEnd"/>
      <w:r w:rsidRPr="009F2FAE">
        <w:t xml:space="preserve"> … Nel primo </w:t>
      </w:r>
      <w:proofErr w:type="spellStart"/>
      <w:r w:rsidRPr="009F2FAE">
        <w:t>specchio</w:t>
      </w:r>
      <w:proofErr w:type="spellEnd"/>
      <w:r w:rsidRPr="009F2FAE">
        <w:t xml:space="preserve"> fa’ </w:t>
      </w:r>
      <w:proofErr w:type="spellStart"/>
      <w:r w:rsidRPr="009F2FAE">
        <w:t>specchiare</w:t>
      </w:r>
      <w:proofErr w:type="spellEnd"/>
      <w:r w:rsidRPr="009F2FAE">
        <w:t xml:space="preserve"> </w:t>
      </w:r>
      <w:proofErr w:type="spellStart"/>
      <w:r w:rsidRPr="009F2FAE">
        <w:t>i</w:t>
      </w:r>
      <w:proofErr w:type="spellEnd"/>
      <w:r w:rsidRPr="009F2FAE">
        <w:t xml:space="preserve"> </w:t>
      </w:r>
      <w:proofErr w:type="spellStart"/>
      <w:r w:rsidRPr="009F2FAE">
        <w:t>tuoi</w:t>
      </w:r>
      <w:proofErr w:type="spellEnd"/>
      <w:r w:rsidRPr="009F2FAE">
        <w:t xml:space="preserve"> </w:t>
      </w:r>
      <w:proofErr w:type="spellStart"/>
      <w:r w:rsidRPr="009F2FAE">
        <w:t>figliuoli</w:t>
      </w:r>
      <w:proofErr w:type="spellEnd"/>
      <w:r w:rsidRPr="009F2FAE">
        <w:t xml:space="preserve">, come </w:t>
      </w:r>
      <w:proofErr w:type="spellStart"/>
      <w:r w:rsidRPr="009F2FAE">
        <w:t>aprono</w:t>
      </w:r>
      <w:proofErr w:type="spellEnd"/>
      <w:r w:rsidRPr="009F2FAE">
        <w:t xml:space="preserve"> </w:t>
      </w:r>
      <w:proofErr w:type="spellStart"/>
      <w:r w:rsidRPr="009F2FAE">
        <w:t>gli</w:t>
      </w:r>
      <w:proofErr w:type="spellEnd"/>
      <w:r w:rsidRPr="009F2FAE">
        <w:t xml:space="preserve"> </w:t>
      </w:r>
      <w:proofErr w:type="spellStart"/>
      <w:r w:rsidRPr="009F2FAE">
        <w:t>occhi</w:t>
      </w:r>
      <w:proofErr w:type="spellEnd"/>
      <w:r w:rsidRPr="009F2FAE">
        <w:t xml:space="preserve">”. Giovanni </w:t>
      </w:r>
      <w:proofErr w:type="spellStart"/>
      <w:r w:rsidRPr="009F2FAE">
        <w:t>Dominici</w:t>
      </w:r>
      <w:proofErr w:type="spellEnd"/>
      <w:r w:rsidRPr="009F2FAE">
        <w:t xml:space="preserve">, </w:t>
      </w:r>
      <w:proofErr w:type="spellStart"/>
      <w:r w:rsidRPr="009F2FAE">
        <w:rPr>
          <w:i/>
        </w:rPr>
        <w:t>Regola</w:t>
      </w:r>
      <w:proofErr w:type="spellEnd"/>
      <w:r w:rsidRPr="009F2FAE">
        <w:rPr>
          <w:i/>
        </w:rPr>
        <w:t xml:space="preserve"> del </w:t>
      </w:r>
      <w:proofErr w:type="spellStart"/>
      <w:r w:rsidRPr="009F2FAE">
        <w:rPr>
          <w:i/>
        </w:rPr>
        <w:t>governo</w:t>
      </w:r>
      <w:proofErr w:type="spellEnd"/>
      <w:r w:rsidRPr="009F2FAE">
        <w:rPr>
          <w:i/>
        </w:rPr>
        <w:t xml:space="preserve"> di </w:t>
      </w:r>
      <w:proofErr w:type="spellStart"/>
      <w:r w:rsidRPr="009F2FAE">
        <w:rPr>
          <w:i/>
        </w:rPr>
        <w:t>cura</w:t>
      </w:r>
      <w:proofErr w:type="spellEnd"/>
      <w:r w:rsidRPr="009F2FAE">
        <w:rPr>
          <w:i/>
        </w:rPr>
        <w:t xml:space="preserve"> </w:t>
      </w:r>
      <w:proofErr w:type="spellStart"/>
      <w:r w:rsidRPr="009F2FAE">
        <w:rPr>
          <w:i/>
        </w:rPr>
        <w:t>familiare</w:t>
      </w:r>
      <w:proofErr w:type="spellEnd"/>
      <w:r w:rsidRPr="009F2FAE">
        <w:t>, ed. Donato Salvi (</w:t>
      </w:r>
      <w:r>
        <w:t>Florence</w:t>
      </w:r>
      <w:r w:rsidRPr="009F2FAE">
        <w:t xml:space="preserve">: </w:t>
      </w:r>
      <w:proofErr w:type="spellStart"/>
      <w:r w:rsidRPr="009F2FAE">
        <w:t>Angiolo</w:t>
      </w:r>
      <w:proofErr w:type="spellEnd"/>
      <w:r w:rsidRPr="009F2FAE">
        <w:t xml:space="preserve"> </w:t>
      </w:r>
      <w:proofErr w:type="spellStart"/>
      <w:r w:rsidRPr="009F2FAE">
        <w:t>Garinei</w:t>
      </w:r>
      <w:proofErr w:type="spellEnd"/>
      <w:r w:rsidRPr="009F2FAE">
        <w:t xml:space="preserve"> </w:t>
      </w:r>
      <w:proofErr w:type="spellStart"/>
      <w:r w:rsidRPr="009F2FAE">
        <w:t>Libraio</w:t>
      </w:r>
      <w:proofErr w:type="spellEnd"/>
      <w:r w:rsidRPr="009F2FAE">
        <w:t>,</w:t>
      </w:r>
      <w:r>
        <w:t xml:space="preserve"> </w:t>
      </w:r>
      <w:r w:rsidRPr="009F2FAE">
        <w:t>1860), 132.</w:t>
      </w:r>
    </w:p>
  </w:footnote>
  <w:footnote w:id="2">
    <w:p w14:paraId="4C127950" w14:textId="77777777" w:rsidR="00182EED" w:rsidRDefault="00182EED" w:rsidP="001840E8">
      <w:pPr>
        <w:pStyle w:val="FootnoteText"/>
      </w:pPr>
      <w:r w:rsidRPr="00391186">
        <w:rPr>
          <w:rStyle w:val="FootnoteReference"/>
        </w:rPr>
        <w:footnoteRef/>
      </w:r>
      <w:r>
        <w:t xml:space="preserve"> </w:t>
      </w:r>
      <w:r w:rsidRPr="00180774">
        <w:rPr>
          <w:lang w:val="en-US"/>
        </w:rPr>
        <w:t xml:space="preserve">Julia L. Hairston, “The Economics of Milk and Blood in Alberti’s Libri Della </w:t>
      </w:r>
      <w:proofErr w:type="spellStart"/>
      <w:r w:rsidRPr="00180774">
        <w:rPr>
          <w:lang w:val="en-US"/>
        </w:rPr>
        <w:t>Famiglia</w:t>
      </w:r>
      <w:proofErr w:type="spellEnd"/>
      <w:r w:rsidRPr="00180774">
        <w:rPr>
          <w:lang w:val="en-US"/>
        </w:rPr>
        <w:t xml:space="preserve">: Maternal versus Wet-Nursing,” in </w:t>
      </w:r>
      <w:r w:rsidRPr="00180774">
        <w:rPr>
          <w:i/>
          <w:iCs/>
          <w:lang w:val="en-US"/>
        </w:rPr>
        <w:t xml:space="preserve">Medieval and Renaissance Lactations. Images, </w:t>
      </w:r>
      <w:proofErr w:type="spellStart"/>
      <w:r w:rsidRPr="00180774">
        <w:rPr>
          <w:i/>
          <w:iCs/>
          <w:lang w:val="en-US"/>
        </w:rPr>
        <w:t>Rhetorics</w:t>
      </w:r>
      <w:proofErr w:type="spellEnd"/>
      <w:r w:rsidRPr="00180774">
        <w:rPr>
          <w:i/>
          <w:iCs/>
          <w:lang w:val="en-US"/>
        </w:rPr>
        <w:t>, Practices</w:t>
      </w:r>
      <w:r w:rsidRPr="00180774">
        <w:rPr>
          <w:lang w:val="en-US"/>
        </w:rPr>
        <w:t>, ed. Jutta Gisela Sperling (</w:t>
      </w:r>
      <w:proofErr w:type="spellStart"/>
      <w:r w:rsidRPr="00180774">
        <w:rPr>
          <w:lang w:val="en-US"/>
        </w:rPr>
        <w:t>Farnham</w:t>
      </w:r>
      <w:proofErr w:type="spellEnd"/>
      <w:r w:rsidRPr="00180774">
        <w:rPr>
          <w:lang w:val="en-US"/>
        </w:rPr>
        <w:t xml:space="preserve"> and Burlington, VT: Ashgate, 2013), 190, n.11; Margaret L. King, “The School of Infancy: The Emergence of Mother as Teacher in Early Modern Times,” in </w:t>
      </w:r>
      <w:r w:rsidRPr="00180774">
        <w:rPr>
          <w:i/>
          <w:iCs/>
          <w:lang w:val="en-US"/>
        </w:rPr>
        <w:t xml:space="preserve">The Renaissance in the Streets, Schools, and Studies: Essays in </w:t>
      </w:r>
      <w:proofErr w:type="spellStart"/>
      <w:r w:rsidRPr="00180774">
        <w:rPr>
          <w:i/>
          <w:iCs/>
          <w:lang w:val="en-US"/>
        </w:rPr>
        <w:t>Honour</w:t>
      </w:r>
      <w:proofErr w:type="spellEnd"/>
      <w:r w:rsidRPr="00180774">
        <w:rPr>
          <w:i/>
          <w:iCs/>
          <w:lang w:val="en-US"/>
        </w:rPr>
        <w:t xml:space="preserve"> of Paul F. </w:t>
      </w:r>
      <w:proofErr w:type="spellStart"/>
      <w:r w:rsidRPr="00180774">
        <w:rPr>
          <w:i/>
          <w:iCs/>
          <w:lang w:val="en-US"/>
        </w:rPr>
        <w:t>Grendler</w:t>
      </w:r>
      <w:proofErr w:type="spellEnd"/>
      <w:r w:rsidRPr="00180774">
        <w:rPr>
          <w:lang w:val="en-US"/>
        </w:rPr>
        <w:t xml:space="preserve">, ed. Konrad </w:t>
      </w:r>
      <w:proofErr w:type="spellStart"/>
      <w:r w:rsidRPr="00180774">
        <w:rPr>
          <w:lang w:val="en-US"/>
        </w:rPr>
        <w:t>Eisenbichler</w:t>
      </w:r>
      <w:proofErr w:type="spellEnd"/>
      <w:r w:rsidRPr="00180774">
        <w:rPr>
          <w:lang w:val="en-US"/>
        </w:rPr>
        <w:t xml:space="preserve"> and Nicholas Terpstra (Toronto: Centre for Reformation and Renaissance Studies, 2008), 52.</w:t>
      </w:r>
    </w:p>
  </w:footnote>
  <w:footnote w:id="3">
    <w:p w14:paraId="7BC4BF9C" w14:textId="77777777" w:rsidR="00182EED" w:rsidRDefault="00182EED" w:rsidP="001840E8">
      <w:pPr>
        <w:pStyle w:val="FootnoteText"/>
      </w:pPr>
      <w:r w:rsidRPr="00391186">
        <w:rPr>
          <w:rStyle w:val="FootnoteReference"/>
        </w:rPr>
        <w:footnoteRef/>
      </w:r>
      <w:r>
        <w:t xml:space="preserve"> </w:t>
      </w:r>
      <w:proofErr w:type="spellStart"/>
      <w:r w:rsidRPr="003B2B92">
        <w:rPr>
          <w:lang w:val="en-US"/>
        </w:rPr>
        <w:t>Aulus</w:t>
      </w:r>
      <w:proofErr w:type="spellEnd"/>
      <w:r w:rsidRPr="003B2B92">
        <w:rPr>
          <w:lang w:val="en-US"/>
        </w:rPr>
        <w:t xml:space="preserve"> </w:t>
      </w:r>
      <w:proofErr w:type="spellStart"/>
      <w:r w:rsidRPr="003B2B92">
        <w:rPr>
          <w:lang w:val="en-US"/>
        </w:rPr>
        <w:t>Gellius</w:t>
      </w:r>
      <w:proofErr w:type="spellEnd"/>
      <w:r w:rsidRPr="003B2B92">
        <w:rPr>
          <w:lang w:val="en-US"/>
        </w:rPr>
        <w:t xml:space="preserve">, </w:t>
      </w:r>
      <w:r w:rsidRPr="003B2B92">
        <w:rPr>
          <w:i/>
          <w:iCs/>
          <w:lang w:val="en-US"/>
        </w:rPr>
        <w:t xml:space="preserve">The Attic Nights of </w:t>
      </w:r>
      <w:proofErr w:type="spellStart"/>
      <w:r w:rsidRPr="003B2B92">
        <w:rPr>
          <w:i/>
          <w:iCs/>
          <w:lang w:val="en-US"/>
        </w:rPr>
        <w:t>Aulus</w:t>
      </w:r>
      <w:proofErr w:type="spellEnd"/>
      <w:r w:rsidRPr="003B2B92">
        <w:rPr>
          <w:i/>
          <w:iCs/>
          <w:lang w:val="en-US"/>
        </w:rPr>
        <w:t xml:space="preserve"> </w:t>
      </w:r>
      <w:proofErr w:type="spellStart"/>
      <w:r w:rsidRPr="003B2B92">
        <w:rPr>
          <w:i/>
          <w:iCs/>
          <w:lang w:val="en-US"/>
        </w:rPr>
        <w:t>Gellius</w:t>
      </w:r>
      <w:proofErr w:type="spellEnd"/>
      <w:r w:rsidRPr="003B2B92">
        <w:rPr>
          <w:lang w:val="en-US"/>
        </w:rPr>
        <w:t xml:space="preserve">, trans. John C. Rolfe (Cambridge, Mass.: Harvard University Press, 1927), 357; Marcus Tullius Cicero, </w:t>
      </w:r>
      <w:proofErr w:type="spellStart"/>
      <w:r w:rsidRPr="003B2B92">
        <w:rPr>
          <w:i/>
          <w:iCs/>
          <w:lang w:val="en-US"/>
        </w:rPr>
        <w:t>Tusculan</w:t>
      </w:r>
      <w:proofErr w:type="spellEnd"/>
      <w:r w:rsidRPr="003B2B92">
        <w:rPr>
          <w:i/>
          <w:iCs/>
          <w:lang w:val="en-US"/>
        </w:rPr>
        <w:t xml:space="preserve"> Disputations: Also, Treatises On The Nature Of The Gods, And On The Commonwealth</w:t>
      </w:r>
      <w:r w:rsidRPr="003B2B92">
        <w:rPr>
          <w:lang w:val="en-US"/>
        </w:rPr>
        <w:t>, trans. Charles Duke Yonge (New York: Harper &amp; Brothers Publishers, 1877), 92, http://www.gutenberg.org/etext/14988; See also King, “The School of Infancy,” 52.</w:t>
      </w:r>
    </w:p>
  </w:footnote>
  <w:footnote w:id="4">
    <w:p w14:paraId="45F7C3CD" w14:textId="77777777" w:rsidR="00182EED" w:rsidRDefault="00182EED" w:rsidP="001840E8">
      <w:pPr>
        <w:pStyle w:val="FootnoteText"/>
      </w:pPr>
      <w:r w:rsidRPr="00391186">
        <w:rPr>
          <w:rStyle w:val="FootnoteReference"/>
        </w:rPr>
        <w:footnoteRef/>
      </w:r>
      <w:r>
        <w:t xml:space="preserve"> </w:t>
      </w:r>
      <w:r w:rsidRPr="003B2B92">
        <w:rPr>
          <w:lang w:val="en-US"/>
        </w:rPr>
        <w:t>Hairston, “The Economics of Milk and Blood,” 192–93.</w:t>
      </w:r>
    </w:p>
  </w:footnote>
  <w:footnote w:id="5">
    <w:p w14:paraId="4D1F5A53" w14:textId="77777777" w:rsidR="00182EED" w:rsidRDefault="00182EED" w:rsidP="001840E8">
      <w:pPr>
        <w:pStyle w:val="FootnoteText"/>
      </w:pPr>
      <w:r w:rsidRPr="00391186">
        <w:rPr>
          <w:rStyle w:val="FootnoteReference"/>
        </w:rPr>
        <w:footnoteRef/>
      </w:r>
      <w:r>
        <w:t xml:space="preserve"> </w:t>
      </w:r>
      <w:r w:rsidRPr="003B2B92">
        <w:rPr>
          <w:lang w:val="en-US"/>
        </w:rPr>
        <w:t xml:space="preserve">English translation from Plutarch, “The Education of Children. De </w:t>
      </w:r>
      <w:proofErr w:type="spellStart"/>
      <w:r w:rsidRPr="003B2B92">
        <w:rPr>
          <w:lang w:val="en-US"/>
        </w:rPr>
        <w:t>Liberis</w:t>
      </w:r>
      <w:proofErr w:type="spellEnd"/>
      <w:r w:rsidRPr="003B2B92">
        <w:rPr>
          <w:lang w:val="en-US"/>
        </w:rPr>
        <w:t xml:space="preserve"> </w:t>
      </w:r>
      <w:proofErr w:type="spellStart"/>
      <w:r w:rsidRPr="003B2B92">
        <w:rPr>
          <w:lang w:val="en-US"/>
        </w:rPr>
        <w:t>Educandis</w:t>
      </w:r>
      <w:proofErr w:type="spellEnd"/>
      <w:r w:rsidRPr="003B2B92">
        <w:rPr>
          <w:lang w:val="en-US"/>
        </w:rPr>
        <w:t xml:space="preserve">,” in </w:t>
      </w:r>
      <w:r w:rsidRPr="003B2B92">
        <w:rPr>
          <w:i/>
          <w:iCs/>
          <w:lang w:val="en-US"/>
        </w:rPr>
        <w:t xml:space="preserve">Plutarch’s </w:t>
      </w:r>
      <w:proofErr w:type="spellStart"/>
      <w:r w:rsidRPr="003B2B92">
        <w:rPr>
          <w:i/>
          <w:iCs/>
          <w:lang w:val="en-US"/>
        </w:rPr>
        <w:t>Moralia</w:t>
      </w:r>
      <w:proofErr w:type="spellEnd"/>
      <w:r w:rsidRPr="003B2B92">
        <w:rPr>
          <w:lang w:val="en-US"/>
        </w:rPr>
        <w:t xml:space="preserve">, trans. Frank Cole Babbitt, vol. 1 (London: William Heinemann Ltd, 1927), 13, 15 (original Greek: 12, 14); See also David Herlihy, </w:t>
      </w:r>
      <w:r w:rsidRPr="003B2B92">
        <w:rPr>
          <w:i/>
          <w:iCs/>
          <w:lang w:val="en-US"/>
        </w:rPr>
        <w:t>Medieval Households</w:t>
      </w:r>
      <w:r w:rsidRPr="003B2B92">
        <w:rPr>
          <w:lang w:val="en-US"/>
        </w:rPr>
        <w:t xml:space="preserve"> (Harvard University Press, 1985), 120; Hairston, “The Economics of Milk and Blood,” 193; King, “The School of Infancy,” 43.</w:t>
      </w:r>
    </w:p>
  </w:footnote>
  <w:footnote w:id="6">
    <w:p w14:paraId="46D90D99" w14:textId="77777777" w:rsidR="00182EED" w:rsidRDefault="00182EED" w:rsidP="001840E8">
      <w:pPr>
        <w:pStyle w:val="FootnoteText"/>
      </w:pPr>
      <w:r w:rsidRPr="00391186">
        <w:rPr>
          <w:rStyle w:val="FootnoteReference"/>
        </w:rPr>
        <w:footnoteRef/>
      </w:r>
      <w:r>
        <w:t xml:space="preserve"> </w:t>
      </w:r>
      <w:r w:rsidRPr="003B2B92">
        <w:rPr>
          <w:lang w:val="en-US"/>
        </w:rPr>
        <w:t xml:space="preserve">Francesco </w:t>
      </w:r>
      <w:proofErr w:type="spellStart"/>
      <w:r w:rsidRPr="003B2B92">
        <w:rPr>
          <w:lang w:val="en-US"/>
        </w:rPr>
        <w:t>Barbaro</w:t>
      </w:r>
      <w:proofErr w:type="spellEnd"/>
      <w:r w:rsidRPr="003B2B92">
        <w:rPr>
          <w:lang w:val="en-US"/>
        </w:rPr>
        <w:t xml:space="preserve">, “On Wifely Duties,” in </w:t>
      </w:r>
      <w:r w:rsidRPr="003B2B92">
        <w:rPr>
          <w:i/>
          <w:iCs/>
          <w:lang w:val="en-US"/>
        </w:rPr>
        <w:t>The Earthly Republic: Italian Humanists on Government and Society</w:t>
      </w:r>
      <w:r w:rsidRPr="003B2B92">
        <w:rPr>
          <w:lang w:val="en-US"/>
        </w:rPr>
        <w:t xml:space="preserve">, trans. Benjamin G. Kohl (Manchester: Manchester University Press, 1978), 221–22; See also Herlihy, </w:t>
      </w:r>
      <w:r w:rsidRPr="003B2B92">
        <w:rPr>
          <w:i/>
          <w:iCs/>
          <w:lang w:val="en-US"/>
        </w:rPr>
        <w:t>Medieval Households</w:t>
      </w:r>
      <w:r w:rsidRPr="003B2B92">
        <w:rPr>
          <w:lang w:val="en-US"/>
        </w:rPr>
        <w:t>, 120; See also Margaret L. King, “</w:t>
      </w:r>
      <w:proofErr w:type="spellStart"/>
      <w:r w:rsidRPr="003B2B92">
        <w:rPr>
          <w:lang w:val="en-US"/>
        </w:rPr>
        <w:t>Caldiera</w:t>
      </w:r>
      <w:proofErr w:type="spellEnd"/>
      <w:r w:rsidRPr="003B2B92">
        <w:rPr>
          <w:lang w:val="en-US"/>
        </w:rPr>
        <w:t xml:space="preserve"> and the </w:t>
      </w:r>
      <w:proofErr w:type="spellStart"/>
      <w:r w:rsidRPr="003B2B92">
        <w:rPr>
          <w:lang w:val="en-US"/>
        </w:rPr>
        <w:t>Barbaros</w:t>
      </w:r>
      <w:proofErr w:type="spellEnd"/>
      <w:r w:rsidRPr="003B2B92">
        <w:rPr>
          <w:lang w:val="en-US"/>
        </w:rPr>
        <w:t xml:space="preserve"> on Marriage and the Family: Humanist Reflections of Venetian Realities,” </w:t>
      </w:r>
      <w:r w:rsidRPr="003B2B92">
        <w:rPr>
          <w:i/>
          <w:iCs/>
          <w:lang w:val="en-US"/>
        </w:rPr>
        <w:t>The Journal of Medieval and Renaissance Studies</w:t>
      </w:r>
      <w:r w:rsidRPr="003B2B92">
        <w:rPr>
          <w:lang w:val="en-US"/>
        </w:rPr>
        <w:t xml:space="preserve"> 6 (1976): 33–34. </w:t>
      </w:r>
      <w:proofErr w:type="spellStart"/>
      <w:r w:rsidRPr="003B2B92">
        <w:rPr>
          <w:lang w:val="en-US"/>
        </w:rPr>
        <w:t>Barbaro</w:t>
      </w:r>
      <w:proofErr w:type="spellEnd"/>
      <w:r w:rsidRPr="003B2B92">
        <w:rPr>
          <w:lang w:val="en-US"/>
        </w:rPr>
        <w:t xml:space="preserve"> compares a woman or wife to a general who leads her soldiers; See also King, “The School of Infancy,” 59.</w:t>
      </w:r>
    </w:p>
  </w:footnote>
  <w:footnote w:id="7">
    <w:p w14:paraId="0FEB928F" w14:textId="77777777" w:rsidR="00182EED" w:rsidRDefault="00182EED" w:rsidP="001840E8">
      <w:pPr>
        <w:pStyle w:val="FootnoteText"/>
      </w:pPr>
      <w:r w:rsidRPr="00391186">
        <w:rPr>
          <w:rStyle w:val="FootnoteReference"/>
        </w:rPr>
        <w:footnoteRef/>
      </w:r>
      <w:r>
        <w:t xml:space="preserve"> </w:t>
      </w:r>
      <w:r w:rsidRPr="003B2B92">
        <w:rPr>
          <w:lang w:val="en-US"/>
        </w:rPr>
        <w:t>King, “</w:t>
      </w:r>
      <w:proofErr w:type="spellStart"/>
      <w:r w:rsidRPr="003B2B92">
        <w:rPr>
          <w:lang w:val="en-US"/>
        </w:rPr>
        <w:t>Caldiera</w:t>
      </w:r>
      <w:proofErr w:type="spellEnd"/>
      <w:r w:rsidRPr="003B2B92">
        <w:rPr>
          <w:lang w:val="en-US"/>
        </w:rPr>
        <w:t xml:space="preserve"> and the </w:t>
      </w:r>
      <w:proofErr w:type="spellStart"/>
      <w:r w:rsidRPr="003B2B92">
        <w:rPr>
          <w:lang w:val="en-US"/>
        </w:rPr>
        <w:t>Barbaros</w:t>
      </w:r>
      <w:proofErr w:type="spellEnd"/>
      <w:r w:rsidRPr="003B2B92">
        <w:rPr>
          <w:lang w:val="en-US"/>
        </w:rPr>
        <w:t xml:space="preserve"> on Marriage and the Family: Humanist Reflections of Venetian Realities,” 32; King, “The School of Infancy,” 57–58.</w:t>
      </w:r>
    </w:p>
  </w:footnote>
  <w:footnote w:id="8">
    <w:p w14:paraId="5B62219C" w14:textId="77777777" w:rsidR="00182EED" w:rsidRDefault="00182EED" w:rsidP="001840E8">
      <w:pPr>
        <w:pStyle w:val="FootnoteText"/>
      </w:pPr>
      <w:r w:rsidRPr="00391186">
        <w:rPr>
          <w:rStyle w:val="FootnoteReference"/>
        </w:rPr>
        <w:footnoteRef/>
      </w:r>
      <w:r>
        <w:t xml:space="preserve"> “</w:t>
      </w:r>
      <w:proofErr w:type="spellStart"/>
      <w:r w:rsidRPr="00391186">
        <w:rPr>
          <w:lang w:val="en-US"/>
        </w:rPr>
        <w:t>Cuius</w:t>
      </w:r>
      <w:proofErr w:type="spellEnd"/>
      <w:r w:rsidRPr="00391186">
        <w:rPr>
          <w:lang w:val="en-US"/>
        </w:rPr>
        <w:t xml:space="preserve"> </w:t>
      </w:r>
      <w:proofErr w:type="spellStart"/>
      <w:r w:rsidRPr="00391186">
        <w:rPr>
          <w:lang w:val="en-US"/>
        </w:rPr>
        <w:t>ea</w:t>
      </w:r>
      <w:proofErr w:type="spellEnd"/>
      <w:r w:rsidRPr="00391186">
        <w:rPr>
          <w:lang w:val="en-US"/>
        </w:rPr>
        <w:t xml:space="preserve"> </w:t>
      </w:r>
      <w:proofErr w:type="spellStart"/>
      <w:r w:rsidRPr="00391186">
        <w:rPr>
          <w:lang w:val="en-US"/>
        </w:rPr>
        <w:t>potentia</w:t>
      </w:r>
      <w:proofErr w:type="spellEnd"/>
      <w:r w:rsidRPr="00391186">
        <w:rPr>
          <w:lang w:val="en-US"/>
        </w:rPr>
        <w:t xml:space="preserve"> </w:t>
      </w:r>
      <w:proofErr w:type="spellStart"/>
      <w:r w:rsidRPr="00391186">
        <w:rPr>
          <w:lang w:val="en-US"/>
        </w:rPr>
        <w:t>est</w:t>
      </w:r>
      <w:proofErr w:type="spellEnd"/>
      <w:r w:rsidRPr="00391186">
        <w:rPr>
          <w:lang w:val="en-US"/>
        </w:rPr>
        <w:t xml:space="preserve">, </w:t>
      </w:r>
      <w:proofErr w:type="spellStart"/>
      <w:r w:rsidRPr="00391186">
        <w:rPr>
          <w:lang w:val="en-US"/>
        </w:rPr>
        <w:t>ut</w:t>
      </w:r>
      <w:proofErr w:type="spellEnd"/>
      <w:r w:rsidRPr="00391186">
        <w:rPr>
          <w:lang w:val="en-US"/>
        </w:rPr>
        <w:t xml:space="preserve"> in </w:t>
      </w:r>
      <w:proofErr w:type="spellStart"/>
      <w:r w:rsidRPr="00391186">
        <w:rPr>
          <w:lang w:val="en-US"/>
        </w:rPr>
        <w:t>effingendis</w:t>
      </w:r>
      <w:proofErr w:type="spellEnd"/>
      <w:r w:rsidRPr="00391186">
        <w:rPr>
          <w:lang w:val="en-US"/>
        </w:rPr>
        <w:t xml:space="preserve"> corporis et animi </w:t>
      </w:r>
      <w:proofErr w:type="spellStart"/>
      <w:r w:rsidRPr="00391186">
        <w:rPr>
          <w:lang w:val="en-US"/>
        </w:rPr>
        <w:t>proprietatibus</w:t>
      </w:r>
      <w:proofErr w:type="spellEnd"/>
      <w:r w:rsidRPr="00391186">
        <w:rPr>
          <w:lang w:val="en-US"/>
        </w:rPr>
        <w:t xml:space="preserve"> </w:t>
      </w:r>
      <w:proofErr w:type="spellStart"/>
      <w:r w:rsidRPr="00391186">
        <w:rPr>
          <w:lang w:val="en-US"/>
        </w:rPr>
        <w:t>ad</w:t>
      </w:r>
      <w:proofErr w:type="spellEnd"/>
      <w:r w:rsidRPr="00391186">
        <w:rPr>
          <w:lang w:val="en-US"/>
        </w:rPr>
        <w:t xml:space="preserve"> </w:t>
      </w:r>
      <w:proofErr w:type="spellStart"/>
      <w:r w:rsidRPr="00391186">
        <w:rPr>
          <w:lang w:val="en-US"/>
        </w:rPr>
        <w:t>seminis</w:t>
      </w:r>
      <w:proofErr w:type="spellEnd"/>
      <w:r w:rsidRPr="00391186">
        <w:rPr>
          <w:lang w:val="en-US"/>
        </w:rPr>
        <w:t xml:space="preserve"> </w:t>
      </w:r>
      <w:proofErr w:type="spellStart"/>
      <w:r w:rsidRPr="00391186">
        <w:rPr>
          <w:lang w:val="en-US"/>
        </w:rPr>
        <w:t>virtutem</w:t>
      </w:r>
      <w:proofErr w:type="spellEnd"/>
      <w:r w:rsidRPr="00391186">
        <w:rPr>
          <w:lang w:val="en-US"/>
        </w:rPr>
        <w:t xml:space="preserve"> </w:t>
      </w:r>
      <w:proofErr w:type="spellStart"/>
      <w:r w:rsidRPr="00391186">
        <w:rPr>
          <w:lang w:val="en-US"/>
        </w:rPr>
        <w:t>propiissime</w:t>
      </w:r>
      <w:proofErr w:type="spellEnd"/>
      <w:r w:rsidRPr="00391186">
        <w:rPr>
          <w:lang w:val="en-US"/>
        </w:rPr>
        <w:t xml:space="preserve"> </w:t>
      </w:r>
      <w:proofErr w:type="spellStart"/>
      <w:r w:rsidRPr="00391186">
        <w:rPr>
          <w:lang w:val="en-US"/>
        </w:rPr>
        <w:t>accedat</w:t>
      </w:r>
      <w:proofErr w:type="spellEnd"/>
      <w:r>
        <w:rPr>
          <w:lang w:val="en-US"/>
        </w:rPr>
        <w:t>.</w:t>
      </w:r>
      <w:r w:rsidRPr="00391186">
        <w:rPr>
          <w:lang w:val="en-US"/>
        </w:rPr>
        <w:t>”</w:t>
      </w:r>
      <w:r>
        <w:rPr>
          <w:lang w:val="en-US"/>
        </w:rPr>
        <w:t xml:space="preserve"> </w:t>
      </w:r>
      <w:r w:rsidRPr="00391186">
        <w:rPr>
          <w:lang w:val="en-US"/>
        </w:rPr>
        <w:t xml:space="preserve">Francesco </w:t>
      </w:r>
      <w:proofErr w:type="spellStart"/>
      <w:r w:rsidRPr="00391186">
        <w:rPr>
          <w:lang w:val="en-US"/>
        </w:rPr>
        <w:t>Barbaro</w:t>
      </w:r>
      <w:proofErr w:type="spellEnd"/>
      <w:r w:rsidRPr="00391186">
        <w:rPr>
          <w:lang w:val="en-US"/>
        </w:rPr>
        <w:t>, “</w:t>
      </w:r>
      <w:r w:rsidRPr="00391186">
        <w:rPr>
          <w:i/>
          <w:iCs/>
          <w:lang w:val="en-US"/>
        </w:rPr>
        <w:t xml:space="preserve">De </w:t>
      </w:r>
      <w:proofErr w:type="spellStart"/>
      <w:r w:rsidRPr="00391186">
        <w:rPr>
          <w:i/>
          <w:iCs/>
          <w:lang w:val="en-US"/>
        </w:rPr>
        <w:t>Liberorum</w:t>
      </w:r>
      <w:proofErr w:type="spellEnd"/>
      <w:r w:rsidRPr="00391186">
        <w:rPr>
          <w:i/>
          <w:iCs/>
          <w:lang w:val="en-US"/>
        </w:rPr>
        <w:t xml:space="preserve"> </w:t>
      </w:r>
      <w:proofErr w:type="spellStart"/>
      <w:r w:rsidRPr="00391186">
        <w:rPr>
          <w:i/>
          <w:iCs/>
          <w:lang w:val="en-US"/>
        </w:rPr>
        <w:t>Educatione</w:t>
      </w:r>
      <w:proofErr w:type="spellEnd"/>
      <w:r w:rsidRPr="00391186">
        <w:rPr>
          <w:lang w:val="en-US"/>
        </w:rPr>
        <w:t xml:space="preserve"> Dal </w:t>
      </w:r>
      <w:r w:rsidRPr="00391186">
        <w:rPr>
          <w:i/>
          <w:iCs/>
          <w:lang w:val="en-US"/>
        </w:rPr>
        <w:t xml:space="preserve">De Re </w:t>
      </w:r>
      <w:proofErr w:type="spellStart"/>
      <w:r w:rsidRPr="00391186">
        <w:rPr>
          <w:i/>
          <w:iCs/>
          <w:lang w:val="en-US"/>
        </w:rPr>
        <w:t>Uxoria</w:t>
      </w:r>
      <w:proofErr w:type="spellEnd"/>
      <w:r w:rsidRPr="00391186">
        <w:rPr>
          <w:lang w:val="en-US"/>
        </w:rPr>
        <w:t xml:space="preserve">,” in </w:t>
      </w:r>
      <w:r w:rsidRPr="00391186">
        <w:rPr>
          <w:i/>
          <w:iCs/>
          <w:lang w:val="en-US"/>
        </w:rPr>
        <w:t xml:space="preserve">Il </w:t>
      </w:r>
      <w:proofErr w:type="spellStart"/>
      <w:r w:rsidRPr="00391186">
        <w:rPr>
          <w:i/>
          <w:iCs/>
          <w:lang w:val="en-US"/>
        </w:rPr>
        <w:t>Pensiero</w:t>
      </w:r>
      <w:proofErr w:type="spellEnd"/>
      <w:r w:rsidRPr="00391186">
        <w:rPr>
          <w:i/>
          <w:iCs/>
          <w:lang w:val="en-US"/>
        </w:rPr>
        <w:t xml:space="preserve"> </w:t>
      </w:r>
      <w:proofErr w:type="spellStart"/>
      <w:r w:rsidRPr="00391186">
        <w:rPr>
          <w:i/>
          <w:iCs/>
          <w:lang w:val="en-US"/>
        </w:rPr>
        <w:t>Pedagogico</w:t>
      </w:r>
      <w:proofErr w:type="spellEnd"/>
      <w:r w:rsidRPr="00391186">
        <w:rPr>
          <w:i/>
          <w:iCs/>
          <w:lang w:val="en-US"/>
        </w:rPr>
        <w:t xml:space="preserve"> </w:t>
      </w:r>
      <w:proofErr w:type="spellStart"/>
      <w:r w:rsidRPr="00391186">
        <w:rPr>
          <w:i/>
          <w:iCs/>
          <w:lang w:val="en-US"/>
        </w:rPr>
        <w:t>Dello</w:t>
      </w:r>
      <w:proofErr w:type="spellEnd"/>
      <w:r w:rsidRPr="00391186">
        <w:rPr>
          <w:i/>
          <w:iCs/>
          <w:lang w:val="en-US"/>
        </w:rPr>
        <w:t xml:space="preserve"> </w:t>
      </w:r>
      <w:proofErr w:type="spellStart"/>
      <w:r w:rsidRPr="00391186">
        <w:rPr>
          <w:i/>
          <w:iCs/>
          <w:lang w:val="en-US"/>
        </w:rPr>
        <w:t>Umanesimo</w:t>
      </w:r>
      <w:proofErr w:type="spellEnd"/>
      <w:r w:rsidRPr="00391186">
        <w:rPr>
          <w:lang w:val="en-US"/>
        </w:rPr>
        <w:t xml:space="preserve">, trans. </w:t>
      </w:r>
      <w:proofErr w:type="spellStart"/>
      <w:r w:rsidRPr="00391186">
        <w:rPr>
          <w:lang w:val="en-US"/>
        </w:rPr>
        <w:t>Garin</w:t>
      </w:r>
      <w:proofErr w:type="spellEnd"/>
      <w:r w:rsidRPr="00391186">
        <w:rPr>
          <w:lang w:val="en-US"/>
        </w:rPr>
        <w:t xml:space="preserve"> Eugenio (Florence: </w:t>
      </w:r>
      <w:proofErr w:type="spellStart"/>
      <w:r w:rsidRPr="00391186">
        <w:rPr>
          <w:lang w:val="en-US"/>
        </w:rPr>
        <w:t>Coedizioni</w:t>
      </w:r>
      <w:proofErr w:type="spellEnd"/>
      <w:r w:rsidRPr="00391186">
        <w:rPr>
          <w:lang w:val="en-US"/>
        </w:rPr>
        <w:t xml:space="preserve"> </w:t>
      </w:r>
      <w:proofErr w:type="spellStart"/>
      <w:r w:rsidRPr="00391186">
        <w:rPr>
          <w:lang w:val="en-US"/>
        </w:rPr>
        <w:t>Giuntine</w:t>
      </w:r>
      <w:proofErr w:type="spellEnd"/>
      <w:r w:rsidRPr="00391186">
        <w:rPr>
          <w:lang w:val="en-US"/>
        </w:rPr>
        <w:t xml:space="preserve"> </w:t>
      </w:r>
      <w:proofErr w:type="spellStart"/>
      <w:r w:rsidRPr="00391186">
        <w:rPr>
          <w:lang w:val="en-US"/>
        </w:rPr>
        <w:t>Sansoni</w:t>
      </w:r>
      <w:proofErr w:type="spellEnd"/>
      <w:r w:rsidRPr="00391186">
        <w:rPr>
          <w:lang w:val="en-US"/>
        </w:rPr>
        <w:t>, 1958), 140</w:t>
      </w:r>
      <w:r>
        <w:rPr>
          <w:lang w:val="en-US"/>
        </w:rPr>
        <w:t xml:space="preserve"> </w:t>
      </w:r>
      <w:r w:rsidRPr="00391186">
        <w:rPr>
          <w:lang w:val="en-US"/>
        </w:rPr>
        <w:t>(</w:t>
      </w:r>
      <w:r>
        <w:rPr>
          <w:lang w:val="en-US"/>
        </w:rPr>
        <w:t>the L</w:t>
      </w:r>
      <w:r w:rsidRPr="00391186">
        <w:rPr>
          <w:lang w:val="en-US"/>
        </w:rPr>
        <w:t xml:space="preserve">atin extracts in </w:t>
      </w:r>
      <w:proofErr w:type="spellStart"/>
      <w:r w:rsidRPr="00391186">
        <w:rPr>
          <w:lang w:val="en-US"/>
        </w:rPr>
        <w:t>Garin</w:t>
      </w:r>
      <w:r>
        <w:rPr>
          <w:lang w:val="en-US"/>
        </w:rPr>
        <w:t>’s</w:t>
      </w:r>
      <w:proofErr w:type="spellEnd"/>
      <w:r>
        <w:rPr>
          <w:lang w:val="en-US"/>
        </w:rPr>
        <w:t xml:space="preserve"> text</w:t>
      </w:r>
      <w:r w:rsidRPr="00391186">
        <w:rPr>
          <w:lang w:val="en-US"/>
        </w:rPr>
        <w:t xml:space="preserve"> </w:t>
      </w:r>
      <w:r>
        <w:rPr>
          <w:lang w:val="en-US"/>
        </w:rPr>
        <w:t xml:space="preserve">are </w:t>
      </w:r>
      <w:r w:rsidRPr="00391186">
        <w:rPr>
          <w:lang w:val="en-US"/>
        </w:rPr>
        <w:t xml:space="preserve">taken from the version edited by Attilio </w:t>
      </w:r>
      <w:proofErr w:type="spellStart"/>
      <w:r w:rsidRPr="00391186">
        <w:rPr>
          <w:lang w:val="en-US"/>
        </w:rPr>
        <w:t>Gnesotto</w:t>
      </w:r>
      <w:proofErr w:type="spellEnd"/>
      <w:r w:rsidRPr="00391186">
        <w:rPr>
          <w:lang w:val="en-US"/>
        </w:rPr>
        <w:t xml:space="preserve"> in 1915). English translation from </w:t>
      </w:r>
      <w:proofErr w:type="spellStart"/>
      <w:r w:rsidRPr="00391186">
        <w:rPr>
          <w:lang w:val="en-US"/>
        </w:rPr>
        <w:t>Barbaro</w:t>
      </w:r>
      <w:proofErr w:type="spellEnd"/>
      <w:r w:rsidRPr="00391186">
        <w:rPr>
          <w:lang w:val="en-US"/>
        </w:rPr>
        <w:t>, “On Wifely Duties”, 223; Also quoted in Hairston, “The Economics of Milk and Blood,” 201; and King, “The School of Infancy,” 59.</w:t>
      </w:r>
    </w:p>
  </w:footnote>
  <w:footnote w:id="9">
    <w:p w14:paraId="5EB03736" w14:textId="77777777" w:rsidR="00182EED" w:rsidRDefault="00182EED" w:rsidP="001840E8">
      <w:pPr>
        <w:pStyle w:val="FootnoteText"/>
      </w:pPr>
      <w:r w:rsidRPr="00391186">
        <w:rPr>
          <w:rStyle w:val="FootnoteReference"/>
        </w:rPr>
        <w:footnoteRef/>
      </w:r>
      <w:r>
        <w:t xml:space="preserve"> </w:t>
      </w:r>
      <w:r w:rsidRPr="00391186">
        <w:rPr>
          <w:lang w:val="en-US"/>
        </w:rPr>
        <w:t>“</w:t>
      </w:r>
      <w:proofErr w:type="spellStart"/>
      <w:r w:rsidRPr="00391186">
        <w:rPr>
          <w:lang w:val="en-US"/>
        </w:rPr>
        <w:t>Quemadmodum</w:t>
      </w:r>
      <w:proofErr w:type="spellEnd"/>
      <w:r w:rsidRPr="00391186">
        <w:rPr>
          <w:lang w:val="en-US"/>
        </w:rPr>
        <w:t xml:space="preserve"> </w:t>
      </w:r>
      <w:proofErr w:type="spellStart"/>
      <w:r w:rsidRPr="00391186">
        <w:rPr>
          <w:lang w:val="en-US"/>
        </w:rPr>
        <w:t>enim</w:t>
      </w:r>
      <w:proofErr w:type="spellEnd"/>
      <w:r w:rsidRPr="00391186">
        <w:rPr>
          <w:lang w:val="en-US"/>
        </w:rPr>
        <w:t xml:space="preserve"> </w:t>
      </w:r>
      <w:proofErr w:type="spellStart"/>
      <w:r w:rsidRPr="00391186">
        <w:rPr>
          <w:lang w:val="en-US"/>
        </w:rPr>
        <w:t>infantis</w:t>
      </w:r>
      <w:proofErr w:type="spellEnd"/>
      <w:r w:rsidRPr="00391186">
        <w:rPr>
          <w:lang w:val="en-US"/>
        </w:rPr>
        <w:t xml:space="preserve"> </w:t>
      </w:r>
      <w:proofErr w:type="spellStart"/>
      <w:r w:rsidRPr="00391186">
        <w:rPr>
          <w:lang w:val="en-US"/>
        </w:rPr>
        <w:t>artus</w:t>
      </w:r>
      <w:proofErr w:type="spellEnd"/>
      <w:r w:rsidRPr="00391186">
        <w:rPr>
          <w:lang w:val="en-US"/>
        </w:rPr>
        <w:t xml:space="preserve"> </w:t>
      </w:r>
      <w:proofErr w:type="spellStart"/>
      <w:r w:rsidRPr="00391186">
        <w:rPr>
          <w:lang w:val="en-US"/>
        </w:rPr>
        <w:t>recte</w:t>
      </w:r>
      <w:proofErr w:type="spellEnd"/>
      <w:r w:rsidRPr="00391186">
        <w:rPr>
          <w:lang w:val="en-US"/>
        </w:rPr>
        <w:t xml:space="preserve"> </w:t>
      </w:r>
      <w:proofErr w:type="spellStart"/>
      <w:r w:rsidRPr="00391186">
        <w:rPr>
          <w:lang w:val="en-US"/>
        </w:rPr>
        <w:t>formari</w:t>
      </w:r>
      <w:proofErr w:type="spellEnd"/>
      <w:r w:rsidRPr="00391186">
        <w:rPr>
          <w:lang w:val="en-US"/>
        </w:rPr>
        <w:t xml:space="preserve"> et </w:t>
      </w:r>
      <w:proofErr w:type="spellStart"/>
      <w:r w:rsidRPr="00391186">
        <w:rPr>
          <w:lang w:val="en-US"/>
        </w:rPr>
        <w:t>componi</w:t>
      </w:r>
      <w:proofErr w:type="spellEnd"/>
      <w:r w:rsidRPr="00391186">
        <w:rPr>
          <w:lang w:val="en-US"/>
        </w:rPr>
        <w:t xml:space="preserve"> facile </w:t>
      </w:r>
      <w:proofErr w:type="spellStart"/>
      <w:r w:rsidRPr="00391186">
        <w:rPr>
          <w:lang w:val="en-US"/>
        </w:rPr>
        <w:t>possunt</w:t>
      </w:r>
      <w:proofErr w:type="spellEnd"/>
      <w:r w:rsidRPr="00391186">
        <w:rPr>
          <w:lang w:val="en-US"/>
        </w:rPr>
        <w:t xml:space="preserve">, </w:t>
      </w:r>
      <w:proofErr w:type="spellStart"/>
      <w:r w:rsidRPr="00391186">
        <w:rPr>
          <w:lang w:val="en-US"/>
        </w:rPr>
        <w:t>ita</w:t>
      </w:r>
      <w:proofErr w:type="spellEnd"/>
      <w:r w:rsidRPr="00391186">
        <w:rPr>
          <w:lang w:val="en-US"/>
        </w:rPr>
        <w:t xml:space="preserve"> ab </w:t>
      </w:r>
      <w:proofErr w:type="spellStart"/>
      <w:r w:rsidRPr="00391186">
        <w:rPr>
          <w:lang w:val="en-US"/>
        </w:rPr>
        <w:t>ineunte</w:t>
      </w:r>
      <w:proofErr w:type="spellEnd"/>
      <w:r w:rsidRPr="00391186">
        <w:rPr>
          <w:lang w:val="en-US"/>
        </w:rPr>
        <w:t xml:space="preserve"> aetate mores </w:t>
      </w:r>
      <w:proofErr w:type="spellStart"/>
      <w:r w:rsidRPr="00391186">
        <w:rPr>
          <w:lang w:val="en-US"/>
        </w:rPr>
        <w:t>apte</w:t>
      </w:r>
      <w:proofErr w:type="spellEnd"/>
      <w:r w:rsidRPr="00391186">
        <w:rPr>
          <w:lang w:val="en-US"/>
        </w:rPr>
        <w:t xml:space="preserve"> </w:t>
      </w:r>
      <w:proofErr w:type="spellStart"/>
      <w:r w:rsidRPr="00391186">
        <w:rPr>
          <w:lang w:val="en-US"/>
        </w:rPr>
        <w:t>concinneque</w:t>
      </w:r>
      <w:proofErr w:type="spellEnd"/>
      <w:r w:rsidRPr="00391186">
        <w:rPr>
          <w:lang w:val="en-US"/>
        </w:rPr>
        <w:t xml:space="preserve"> </w:t>
      </w:r>
      <w:proofErr w:type="spellStart"/>
      <w:r w:rsidRPr="00391186">
        <w:rPr>
          <w:lang w:val="en-US"/>
        </w:rPr>
        <w:t>fingentur</w:t>
      </w:r>
      <w:proofErr w:type="spellEnd"/>
      <w:r w:rsidRPr="00391186">
        <w:rPr>
          <w:lang w:val="en-US"/>
        </w:rPr>
        <w:t xml:space="preserve">.” </w:t>
      </w:r>
      <w:proofErr w:type="spellStart"/>
      <w:r w:rsidRPr="00391186">
        <w:rPr>
          <w:lang w:val="en-US"/>
        </w:rPr>
        <w:t>Barbaro</w:t>
      </w:r>
      <w:proofErr w:type="spellEnd"/>
      <w:r w:rsidRPr="00391186">
        <w:rPr>
          <w:lang w:val="en-US"/>
        </w:rPr>
        <w:t>, “</w:t>
      </w:r>
      <w:r w:rsidRPr="00391186">
        <w:rPr>
          <w:i/>
          <w:iCs/>
          <w:lang w:val="en-US"/>
        </w:rPr>
        <w:t xml:space="preserve">De </w:t>
      </w:r>
      <w:proofErr w:type="spellStart"/>
      <w:r w:rsidRPr="00391186">
        <w:rPr>
          <w:i/>
          <w:iCs/>
          <w:lang w:val="en-US"/>
        </w:rPr>
        <w:t>Liberorum</w:t>
      </w:r>
      <w:proofErr w:type="spellEnd"/>
      <w:r w:rsidRPr="00391186">
        <w:rPr>
          <w:i/>
          <w:iCs/>
          <w:lang w:val="en-US"/>
        </w:rPr>
        <w:t xml:space="preserve"> </w:t>
      </w:r>
      <w:proofErr w:type="spellStart"/>
      <w:r w:rsidRPr="00391186">
        <w:rPr>
          <w:i/>
          <w:iCs/>
          <w:lang w:val="en-US"/>
        </w:rPr>
        <w:t>Educatione</w:t>
      </w:r>
      <w:proofErr w:type="spellEnd"/>
      <w:r w:rsidRPr="00391186">
        <w:rPr>
          <w:lang w:val="en-US"/>
        </w:rPr>
        <w:t xml:space="preserve"> Dal </w:t>
      </w:r>
      <w:r w:rsidRPr="00391186">
        <w:rPr>
          <w:i/>
          <w:iCs/>
          <w:lang w:val="en-US"/>
        </w:rPr>
        <w:t xml:space="preserve">De Re </w:t>
      </w:r>
      <w:proofErr w:type="spellStart"/>
      <w:r w:rsidRPr="00391186">
        <w:rPr>
          <w:i/>
          <w:iCs/>
          <w:lang w:val="en-US"/>
        </w:rPr>
        <w:t>Uxoria</w:t>
      </w:r>
      <w:proofErr w:type="spellEnd"/>
      <w:r w:rsidRPr="00391186">
        <w:rPr>
          <w:lang w:val="en-US"/>
        </w:rPr>
        <w:t xml:space="preserve">,” 140 English translation from </w:t>
      </w:r>
      <w:proofErr w:type="spellStart"/>
      <w:r w:rsidRPr="00391186">
        <w:rPr>
          <w:lang w:val="en-US"/>
        </w:rPr>
        <w:t>Barbaro</w:t>
      </w:r>
      <w:proofErr w:type="spellEnd"/>
      <w:r w:rsidRPr="00391186">
        <w:rPr>
          <w:lang w:val="en-US"/>
        </w:rPr>
        <w:t xml:space="preserve">, “On Wifely Duties”, 223. ; Also quoted in Hairston, “The Economics of Milk and Blood,” 202; See also William H. Woodward, </w:t>
      </w:r>
      <w:proofErr w:type="spellStart"/>
      <w:r w:rsidRPr="00391186">
        <w:rPr>
          <w:i/>
          <w:iCs/>
          <w:lang w:val="en-US"/>
        </w:rPr>
        <w:t>Vittorino</w:t>
      </w:r>
      <w:proofErr w:type="spellEnd"/>
      <w:r w:rsidRPr="00391186">
        <w:rPr>
          <w:i/>
          <w:iCs/>
          <w:lang w:val="en-US"/>
        </w:rPr>
        <w:t xml:space="preserve"> da Feltre and other humanist educators</w:t>
      </w:r>
      <w:r w:rsidRPr="00391186">
        <w:rPr>
          <w:lang w:val="en-US"/>
        </w:rPr>
        <w:t xml:space="preserve"> (Cambridge: Cambridge University Press, 1897; Toronto: University of Toronto Press, 1996), 192–93; The same concept appears in Plutarch, “The Education of Children,” 15 (original Greek, 14).</w:t>
      </w:r>
    </w:p>
  </w:footnote>
  <w:footnote w:id="10">
    <w:p w14:paraId="2942EEC8" w14:textId="77777777" w:rsidR="00182EED" w:rsidRDefault="00182EED" w:rsidP="001840E8">
      <w:pPr>
        <w:pStyle w:val="FootnoteText"/>
      </w:pPr>
      <w:r w:rsidRPr="00391186">
        <w:rPr>
          <w:rStyle w:val="FootnoteReference"/>
        </w:rPr>
        <w:footnoteRef/>
      </w:r>
      <w:r>
        <w:t xml:space="preserve"> </w:t>
      </w:r>
      <w:proofErr w:type="spellStart"/>
      <w:r w:rsidRPr="00E658CD">
        <w:rPr>
          <w:lang w:val="en-US"/>
        </w:rPr>
        <w:t>Barbaro’s</w:t>
      </w:r>
      <w:proofErr w:type="spellEnd"/>
      <w:r w:rsidRPr="00E658CD">
        <w:rPr>
          <w:lang w:val="en-US"/>
        </w:rPr>
        <w:t xml:space="preserve"> </w:t>
      </w:r>
      <w:r w:rsidRPr="00E658CD">
        <w:rPr>
          <w:i/>
          <w:iCs/>
          <w:lang w:val="en-US"/>
        </w:rPr>
        <w:t xml:space="preserve">De re </w:t>
      </w:r>
      <w:proofErr w:type="spellStart"/>
      <w:r w:rsidRPr="00E658CD">
        <w:rPr>
          <w:i/>
          <w:iCs/>
          <w:lang w:val="en-US"/>
        </w:rPr>
        <w:t>uxoria</w:t>
      </w:r>
      <w:proofErr w:type="spellEnd"/>
      <w:r w:rsidRPr="00E658CD">
        <w:rPr>
          <w:lang w:val="en-US"/>
        </w:rPr>
        <w:t xml:space="preserve"> was prepared for circulation in manuscript form in Verona in 1428. More than fifty manuscript copies survive, most of which are from the fifteenth century. Only in 1548 was it translated into Italian by Alberto </w:t>
      </w:r>
      <w:proofErr w:type="spellStart"/>
      <w:r w:rsidRPr="00E658CD">
        <w:rPr>
          <w:lang w:val="en-US"/>
        </w:rPr>
        <w:t>Lollio</w:t>
      </w:r>
      <w:proofErr w:type="spellEnd"/>
      <w:r w:rsidRPr="00E658CD">
        <w:rPr>
          <w:lang w:val="en-US"/>
        </w:rPr>
        <w:t xml:space="preserve">, with the title </w:t>
      </w:r>
      <w:proofErr w:type="spellStart"/>
      <w:r w:rsidRPr="00E658CD">
        <w:rPr>
          <w:i/>
          <w:iCs/>
          <w:lang w:val="en-US"/>
        </w:rPr>
        <w:t>Prudentissimi</w:t>
      </w:r>
      <w:proofErr w:type="spellEnd"/>
      <w:r w:rsidRPr="00E658CD">
        <w:rPr>
          <w:i/>
          <w:iCs/>
          <w:lang w:val="en-US"/>
        </w:rPr>
        <w:t xml:space="preserve"> et </w:t>
      </w:r>
      <w:proofErr w:type="spellStart"/>
      <w:r w:rsidRPr="00E658CD">
        <w:rPr>
          <w:i/>
          <w:iCs/>
          <w:lang w:val="en-US"/>
        </w:rPr>
        <w:t>Gravi</w:t>
      </w:r>
      <w:proofErr w:type="spellEnd"/>
      <w:r w:rsidRPr="00E658CD">
        <w:rPr>
          <w:i/>
          <w:iCs/>
          <w:lang w:val="en-US"/>
        </w:rPr>
        <w:t xml:space="preserve"> </w:t>
      </w:r>
      <w:proofErr w:type="spellStart"/>
      <w:r w:rsidRPr="00E658CD">
        <w:rPr>
          <w:i/>
          <w:iCs/>
          <w:lang w:val="en-US"/>
        </w:rPr>
        <w:t>Documenti</w:t>
      </w:r>
      <w:proofErr w:type="spellEnd"/>
      <w:r w:rsidRPr="00E658CD">
        <w:rPr>
          <w:i/>
          <w:iCs/>
          <w:lang w:val="en-US"/>
        </w:rPr>
        <w:t xml:space="preserve"> circa la </w:t>
      </w:r>
      <w:proofErr w:type="spellStart"/>
      <w:r w:rsidRPr="00E658CD">
        <w:rPr>
          <w:i/>
          <w:iCs/>
          <w:lang w:val="en-US"/>
        </w:rPr>
        <w:t>Elettion</w:t>
      </w:r>
      <w:proofErr w:type="spellEnd"/>
      <w:r w:rsidRPr="00E658CD">
        <w:rPr>
          <w:i/>
          <w:iCs/>
          <w:lang w:val="en-US"/>
        </w:rPr>
        <w:t xml:space="preserve"> </w:t>
      </w:r>
      <w:proofErr w:type="spellStart"/>
      <w:r w:rsidRPr="00E658CD">
        <w:rPr>
          <w:i/>
          <w:iCs/>
          <w:lang w:val="en-US"/>
        </w:rPr>
        <w:t>della</w:t>
      </w:r>
      <w:proofErr w:type="spellEnd"/>
      <w:r w:rsidRPr="00E658CD">
        <w:rPr>
          <w:i/>
          <w:iCs/>
          <w:lang w:val="en-US"/>
        </w:rPr>
        <w:t xml:space="preserve"> </w:t>
      </w:r>
      <w:proofErr w:type="spellStart"/>
      <w:r w:rsidRPr="00E658CD">
        <w:rPr>
          <w:i/>
          <w:iCs/>
          <w:lang w:val="en-US"/>
        </w:rPr>
        <w:t>Moglie</w:t>
      </w:r>
      <w:proofErr w:type="spellEnd"/>
      <w:r w:rsidRPr="00E658CD">
        <w:rPr>
          <w:lang w:val="en-US"/>
        </w:rPr>
        <w:t xml:space="preserve">, and was subsequently printed in Venice. See also Carole Collier Frick, “The Downcast Eyes of the Women of the Upper Class in Francesco </w:t>
      </w:r>
      <w:proofErr w:type="spellStart"/>
      <w:r w:rsidRPr="00E658CD">
        <w:rPr>
          <w:lang w:val="en-US"/>
        </w:rPr>
        <w:t>Barbaro’s</w:t>
      </w:r>
      <w:proofErr w:type="spellEnd"/>
      <w:r w:rsidRPr="00E658CD">
        <w:rPr>
          <w:lang w:val="en-US"/>
        </w:rPr>
        <w:t xml:space="preserve"> </w:t>
      </w:r>
      <w:r w:rsidRPr="00E658CD">
        <w:rPr>
          <w:i/>
          <w:iCs/>
          <w:lang w:val="en-US"/>
        </w:rPr>
        <w:t xml:space="preserve">De Re </w:t>
      </w:r>
      <w:proofErr w:type="spellStart"/>
      <w:r w:rsidRPr="00E658CD">
        <w:rPr>
          <w:i/>
          <w:iCs/>
          <w:lang w:val="en-US"/>
        </w:rPr>
        <w:t>Uxoria</w:t>
      </w:r>
      <w:proofErr w:type="spellEnd"/>
      <w:r w:rsidRPr="00E658CD">
        <w:rPr>
          <w:lang w:val="en-US"/>
        </w:rPr>
        <w:t xml:space="preserve">,” </w:t>
      </w:r>
      <w:r w:rsidRPr="00E658CD">
        <w:rPr>
          <w:i/>
          <w:iCs/>
          <w:lang w:val="en-US"/>
        </w:rPr>
        <w:t>UCLA Historical Journal</w:t>
      </w:r>
      <w:r w:rsidRPr="00E658CD">
        <w:rPr>
          <w:lang w:val="en-US"/>
        </w:rPr>
        <w:t xml:space="preserve">, no. 9 (1989): 26, n.3; Benjamin G. Kohl, </w:t>
      </w:r>
      <w:r w:rsidRPr="00E658CD">
        <w:rPr>
          <w:i/>
          <w:iCs/>
          <w:lang w:val="en-US"/>
        </w:rPr>
        <w:t>The Earthly Republic: Italian Humanists on Government and Society</w:t>
      </w:r>
      <w:r w:rsidRPr="00E658CD">
        <w:rPr>
          <w:lang w:val="en-US"/>
        </w:rPr>
        <w:t xml:space="preserve"> (Manchester: Manchester University Press, 1978), 186; King, “The School of Infancy,” 58; Hairston, “The Economics of Milk and Blood,” 191; </w:t>
      </w:r>
      <w:proofErr w:type="spellStart"/>
      <w:r w:rsidRPr="00E658CD">
        <w:rPr>
          <w:lang w:val="en-US"/>
        </w:rPr>
        <w:t>Barbaro’s</w:t>
      </w:r>
      <w:proofErr w:type="spellEnd"/>
      <w:r w:rsidRPr="00E658CD">
        <w:rPr>
          <w:lang w:val="en-US"/>
        </w:rPr>
        <w:t xml:space="preserve"> desire for popularity is in </w:t>
      </w:r>
      <w:proofErr w:type="spellStart"/>
      <w:r w:rsidRPr="00E658CD">
        <w:rPr>
          <w:lang w:val="en-US"/>
        </w:rPr>
        <w:t>Barbaro</w:t>
      </w:r>
      <w:proofErr w:type="spellEnd"/>
      <w:r w:rsidRPr="00E658CD">
        <w:rPr>
          <w:lang w:val="en-US"/>
        </w:rPr>
        <w:t>, “On Wifely Duties,” 227.</w:t>
      </w:r>
    </w:p>
  </w:footnote>
  <w:footnote w:id="11">
    <w:p w14:paraId="07CF322C" w14:textId="77777777" w:rsidR="00182EED" w:rsidRDefault="00182EED" w:rsidP="001840E8">
      <w:pPr>
        <w:pStyle w:val="FootnoteText"/>
      </w:pPr>
      <w:r w:rsidRPr="00391186">
        <w:rPr>
          <w:rStyle w:val="FootnoteReference"/>
        </w:rPr>
        <w:footnoteRef/>
      </w:r>
      <w:r>
        <w:t xml:space="preserve"> </w:t>
      </w:r>
      <w:r w:rsidRPr="00BD09AC">
        <w:rPr>
          <w:lang w:val="en-US"/>
        </w:rPr>
        <w:t>“</w:t>
      </w:r>
      <w:r>
        <w:rPr>
          <w:lang w:val="en-US"/>
        </w:rPr>
        <w:t>L</w:t>
      </w:r>
      <w:r w:rsidRPr="00BD09AC">
        <w:rPr>
          <w:lang w:val="en-US"/>
        </w:rPr>
        <w:t xml:space="preserve">e </w:t>
      </w:r>
      <w:proofErr w:type="spellStart"/>
      <w:r w:rsidRPr="00BD09AC">
        <w:rPr>
          <w:lang w:val="en-US"/>
        </w:rPr>
        <w:t>nobili</w:t>
      </w:r>
      <w:proofErr w:type="spellEnd"/>
      <w:r w:rsidRPr="00BD09AC">
        <w:rPr>
          <w:lang w:val="en-US"/>
        </w:rPr>
        <w:t xml:space="preserve"> </w:t>
      </w:r>
      <w:proofErr w:type="spellStart"/>
      <w:r w:rsidRPr="00BD09AC">
        <w:rPr>
          <w:lang w:val="en-US"/>
        </w:rPr>
        <w:t>madri</w:t>
      </w:r>
      <w:proofErr w:type="spellEnd"/>
      <w:r w:rsidRPr="00BD09AC">
        <w:rPr>
          <w:lang w:val="en-US"/>
        </w:rPr>
        <w:t xml:space="preserve"> le </w:t>
      </w:r>
      <w:proofErr w:type="spellStart"/>
      <w:r w:rsidRPr="00BD09AC">
        <w:rPr>
          <w:lang w:val="en-US"/>
        </w:rPr>
        <w:t>quali</w:t>
      </w:r>
      <w:proofErr w:type="spellEnd"/>
      <w:r w:rsidRPr="00BD09AC">
        <w:rPr>
          <w:lang w:val="en-US"/>
        </w:rPr>
        <w:t xml:space="preserve"> </w:t>
      </w:r>
      <w:proofErr w:type="spellStart"/>
      <w:r w:rsidRPr="00BD09AC">
        <w:rPr>
          <w:lang w:val="en-US"/>
        </w:rPr>
        <w:t>rifiutano</w:t>
      </w:r>
      <w:proofErr w:type="spellEnd"/>
      <w:r w:rsidRPr="00BD09AC">
        <w:rPr>
          <w:lang w:val="en-US"/>
        </w:rPr>
        <w:t xml:space="preserve"> </w:t>
      </w:r>
      <w:proofErr w:type="spellStart"/>
      <w:r w:rsidRPr="00BD09AC">
        <w:rPr>
          <w:lang w:val="en-US"/>
        </w:rPr>
        <w:t>il</w:t>
      </w:r>
      <w:proofErr w:type="spellEnd"/>
      <w:r w:rsidRPr="00BD09AC">
        <w:rPr>
          <w:lang w:val="en-US"/>
        </w:rPr>
        <w:t xml:space="preserve"> </w:t>
      </w:r>
      <w:proofErr w:type="spellStart"/>
      <w:r w:rsidRPr="00BD09AC">
        <w:rPr>
          <w:lang w:val="en-US"/>
        </w:rPr>
        <w:t>lactare</w:t>
      </w:r>
      <w:proofErr w:type="spellEnd"/>
      <w:r w:rsidRPr="00BD09AC">
        <w:rPr>
          <w:lang w:val="en-US"/>
        </w:rPr>
        <w:t xml:space="preserve"> de’ </w:t>
      </w:r>
      <w:proofErr w:type="spellStart"/>
      <w:r w:rsidRPr="00BD09AC">
        <w:rPr>
          <w:lang w:val="en-US"/>
        </w:rPr>
        <w:t>proprii</w:t>
      </w:r>
      <w:proofErr w:type="spellEnd"/>
      <w:r w:rsidRPr="00BD09AC">
        <w:rPr>
          <w:lang w:val="en-US"/>
        </w:rPr>
        <w:t xml:space="preserve"> </w:t>
      </w:r>
      <w:proofErr w:type="spellStart"/>
      <w:r w:rsidRPr="00BD09AC">
        <w:rPr>
          <w:lang w:val="en-US"/>
        </w:rPr>
        <w:t>figliuoli</w:t>
      </w:r>
      <w:proofErr w:type="spellEnd"/>
      <w:r w:rsidRPr="00BD09AC">
        <w:rPr>
          <w:lang w:val="en-US"/>
        </w:rPr>
        <w:t xml:space="preserve"> </w:t>
      </w:r>
      <w:proofErr w:type="spellStart"/>
      <w:r w:rsidRPr="00BD09AC">
        <w:rPr>
          <w:lang w:val="en-US"/>
        </w:rPr>
        <w:t>meritino</w:t>
      </w:r>
      <w:proofErr w:type="spellEnd"/>
      <w:r w:rsidRPr="00BD09AC">
        <w:rPr>
          <w:lang w:val="en-US"/>
        </w:rPr>
        <w:t xml:space="preserve"> </w:t>
      </w:r>
      <w:proofErr w:type="spellStart"/>
      <w:r w:rsidRPr="00BD09AC">
        <w:rPr>
          <w:lang w:val="en-US"/>
        </w:rPr>
        <w:t>odio</w:t>
      </w:r>
      <w:proofErr w:type="spellEnd"/>
      <w:r w:rsidRPr="00BD09AC">
        <w:rPr>
          <w:lang w:val="en-US"/>
        </w:rPr>
        <w:t xml:space="preserve"> da </w:t>
      </w:r>
      <w:proofErr w:type="spellStart"/>
      <w:r w:rsidRPr="00BD09AC">
        <w:rPr>
          <w:lang w:val="en-US"/>
        </w:rPr>
        <w:t>quegli</w:t>
      </w:r>
      <w:proofErr w:type="spellEnd"/>
      <w:r w:rsidRPr="00BD09AC">
        <w:rPr>
          <w:lang w:val="en-US"/>
        </w:rPr>
        <w:t xml:space="preserve">.” Matteo Palmieri, </w:t>
      </w:r>
      <w:r w:rsidRPr="00BD09AC">
        <w:rPr>
          <w:i/>
          <w:iCs/>
          <w:lang w:val="en-US"/>
        </w:rPr>
        <w:t xml:space="preserve">Vita </w:t>
      </w:r>
      <w:proofErr w:type="spellStart"/>
      <w:r w:rsidRPr="00BD09AC">
        <w:rPr>
          <w:i/>
          <w:iCs/>
          <w:lang w:val="en-US"/>
        </w:rPr>
        <w:t>Civile</w:t>
      </w:r>
      <w:proofErr w:type="spellEnd"/>
      <w:r w:rsidRPr="00BD09AC">
        <w:rPr>
          <w:lang w:val="en-US"/>
        </w:rPr>
        <w:t xml:space="preserve">, ed. Gino </w:t>
      </w:r>
      <w:proofErr w:type="spellStart"/>
      <w:r w:rsidRPr="00BD09AC">
        <w:rPr>
          <w:lang w:val="en-US"/>
        </w:rPr>
        <w:t>Belloni</w:t>
      </w:r>
      <w:proofErr w:type="spellEnd"/>
      <w:r w:rsidRPr="00BD09AC">
        <w:rPr>
          <w:lang w:val="en-US"/>
        </w:rPr>
        <w:t xml:space="preserve"> (Florence: </w:t>
      </w:r>
      <w:proofErr w:type="spellStart"/>
      <w:r w:rsidRPr="00BD09AC">
        <w:rPr>
          <w:lang w:val="en-US"/>
        </w:rPr>
        <w:t>Sansoni</w:t>
      </w:r>
      <w:proofErr w:type="spellEnd"/>
      <w:r w:rsidRPr="00BD09AC">
        <w:rPr>
          <w:lang w:val="en-US"/>
        </w:rPr>
        <w:t>, 1982), 18</w:t>
      </w:r>
      <w:r>
        <w:rPr>
          <w:lang w:val="en-US"/>
        </w:rPr>
        <w:t>.</w:t>
      </w:r>
      <w:r w:rsidRPr="00BD09AC">
        <w:rPr>
          <w:lang w:val="en-US"/>
        </w:rPr>
        <w:t xml:space="preserve"> Palmieri also notes the belief that a lamb, born to a white sheep, would develop dark hair if fed by a black sheep, and likewise would grow thicker hair if fed by a goat; see Palmieri, </w:t>
      </w:r>
      <w:r w:rsidRPr="00BD09AC">
        <w:rPr>
          <w:i/>
          <w:iCs/>
          <w:lang w:val="en-US"/>
        </w:rPr>
        <w:t xml:space="preserve">Vita </w:t>
      </w:r>
      <w:proofErr w:type="spellStart"/>
      <w:r w:rsidRPr="00BD09AC">
        <w:rPr>
          <w:i/>
          <w:iCs/>
          <w:lang w:val="en-US"/>
        </w:rPr>
        <w:t>Civile</w:t>
      </w:r>
      <w:proofErr w:type="spellEnd"/>
      <w:r w:rsidRPr="00BD09AC">
        <w:rPr>
          <w:lang w:val="en-US"/>
        </w:rPr>
        <w:t>, 18.</w:t>
      </w:r>
    </w:p>
  </w:footnote>
  <w:footnote w:id="12">
    <w:p w14:paraId="32C46859" w14:textId="77777777" w:rsidR="00182EED" w:rsidRDefault="00182EED" w:rsidP="001840E8">
      <w:pPr>
        <w:pStyle w:val="FootnoteText"/>
      </w:pPr>
      <w:r w:rsidRPr="00391186">
        <w:rPr>
          <w:rStyle w:val="FootnoteReference"/>
        </w:rPr>
        <w:footnoteRef/>
      </w:r>
      <w:r w:rsidRPr="00F27020">
        <w:rPr>
          <w:szCs w:val="18"/>
        </w:rPr>
        <w:t xml:space="preserve"> At least </w:t>
      </w:r>
      <w:r>
        <w:rPr>
          <w:szCs w:val="18"/>
        </w:rPr>
        <w:t>seven manuscript</w:t>
      </w:r>
      <w:r w:rsidRPr="00F27020">
        <w:rPr>
          <w:szCs w:val="18"/>
        </w:rPr>
        <w:t xml:space="preserve"> copies are recorded in </w:t>
      </w:r>
      <w:proofErr w:type="spellStart"/>
      <w:r w:rsidRPr="00B15559">
        <w:rPr>
          <w:i/>
          <w:iCs/>
          <w:szCs w:val="18"/>
        </w:rPr>
        <w:t>Iter</w:t>
      </w:r>
      <w:proofErr w:type="spellEnd"/>
      <w:r w:rsidRPr="00B15559">
        <w:rPr>
          <w:i/>
          <w:iCs/>
          <w:szCs w:val="18"/>
        </w:rPr>
        <w:t xml:space="preserve"> </w:t>
      </w:r>
      <w:proofErr w:type="spellStart"/>
      <w:r w:rsidRPr="00B15559">
        <w:rPr>
          <w:i/>
          <w:iCs/>
          <w:szCs w:val="18"/>
        </w:rPr>
        <w:t>Italicum</w:t>
      </w:r>
      <w:proofErr w:type="spellEnd"/>
      <w:r w:rsidRPr="00F27020">
        <w:rPr>
          <w:szCs w:val="18"/>
        </w:rPr>
        <w:t xml:space="preserve"> in Italian libraries. It was printed in 1529 in Florence</w:t>
      </w:r>
      <w:r>
        <w:rPr>
          <w:szCs w:val="18"/>
        </w:rPr>
        <w:t>,</w:t>
      </w:r>
      <w:r w:rsidRPr="00F27020">
        <w:rPr>
          <w:szCs w:val="18"/>
        </w:rPr>
        <w:t xml:space="preserve"> and in 1535 in Venice.</w:t>
      </w:r>
    </w:p>
  </w:footnote>
  <w:footnote w:id="13">
    <w:p w14:paraId="33E3F82C" w14:textId="77777777" w:rsidR="00182EED" w:rsidRDefault="00182EED" w:rsidP="001840E8">
      <w:pPr>
        <w:pStyle w:val="FootnoteText"/>
      </w:pPr>
      <w:r w:rsidRPr="00391186">
        <w:rPr>
          <w:rStyle w:val="FootnoteReference"/>
        </w:rPr>
        <w:footnoteRef/>
      </w:r>
      <w:r>
        <w:t xml:space="preserve"> </w:t>
      </w:r>
      <w:r w:rsidRPr="00AA7192">
        <w:rPr>
          <w:lang w:val="en-US"/>
        </w:rPr>
        <w:t xml:space="preserve">Michele Savonarola, </w:t>
      </w:r>
      <w:r w:rsidRPr="00AA7192">
        <w:rPr>
          <w:i/>
          <w:iCs/>
          <w:lang w:val="en-US"/>
        </w:rPr>
        <w:t xml:space="preserve">Il </w:t>
      </w:r>
      <w:proofErr w:type="spellStart"/>
      <w:r w:rsidRPr="00AA7192">
        <w:rPr>
          <w:i/>
          <w:iCs/>
          <w:lang w:val="en-US"/>
        </w:rPr>
        <w:t>Trattato</w:t>
      </w:r>
      <w:proofErr w:type="spellEnd"/>
      <w:r w:rsidRPr="00AA7192">
        <w:rPr>
          <w:i/>
          <w:iCs/>
          <w:lang w:val="en-US"/>
        </w:rPr>
        <w:t xml:space="preserve"> </w:t>
      </w:r>
      <w:proofErr w:type="spellStart"/>
      <w:r w:rsidRPr="00AA7192">
        <w:rPr>
          <w:i/>
          <w:iCs/>
          <w:lang w:val="en-US"/>
        </w:rPr>
        <w:t>Ginecologico-Pediatrico</w:t>
      </w:r>
      <w:proofErr w:type="spellEnd"/>
      <w:r w:rsidRPr="00AA7192">
        <w:rPr>
          <w:i/>
          <w:iCs/>
          <w:lang w:val="en-US"/>
        </w:rPr>
        <w:t xml:space="preserve"> in </w:t>
      </w:r>
      <w:proofErr w:type="spellStart"/>
      <w:r w:rsidRPr="00AA7192">
        <w:rPr>
          <w:i/>
          <w:iCs/>
          <w:lang w:val="en-US"/>
        </w:rPr>
        <w:t>Volgare</w:t>
      </w:r>
      <w:proofErr w:type="spellEnd"/>
      <w:r w:rsidRPr="00AA7192">
        <w:rPr>
          <w:i/>
          <w:iCs/>
          <w:lang w:val="en-US"/>
        </w:rPr>
        <w:t xml:space="preserve">. Ad </w:t>
      </w:r>
      <w:proofErr w:type="spellStart"/>
      <w:r w:rsidRPr="00AA7192">
        <w:rPr>
          <w:i/>
          <w:iCs/>
          <w:lang w:val="en-US"/>
        </w:rPr>
        <w:t>Mulieres</w:t>
      </w:r>
      <w:proofErr w:type="spellEnd"/>
      <w:r w:rsidRPr="00AA7192">
        <w:rPr>
          <w:i/>
          <w:iCs/>
          <w:lang w:val="en-US"/>
        </w:rPr>
        <w:t xml:space="preserve"> </w:t>
      </w:r>
      <w:proofErr w:type="spellStart"/>
      <w:r w:rsidRPr="00AA7192">
        <w:rPr>
          <w:i/>
          <w:iCs/>
          <w:lang w:val="en-US"/>
        </w:rPr>
        <w:t>Ferrarienses</w:t>
      </w:r>
      <w:proofErr w:type="spellEnd"/>
      <w:r w:rsidRPr="00AA7192">
        <w:rPr>
          <w:i/>
          <w:iCs/>
          <w:lang w:val="en-US"/>
        </w:rPr>
        <w:t xml:space="preserve"> de </w:t>
      </w:r>
      <w:proofErr w:type="spellStart"/>
      <w:r w:rsidRPr="00AA7192">
        <w:rPr>
          <w:i/>
          <w:iCs/>
          <w:lang w:val="en-US"/>
        </w:rPr>
        <w:t>Regimine</w:t>
      </w:r>
      <w:proofErr w:type="spellEnd"/>
      <w:r w:rsidRPr="00AA7192">
        <w:rPr>
          <w:i/>
          <w:iCs/>
          <w:lang w:val="en-US"/>
        </w:rPr>
        <w:t xml:space="preserve"> </w:t>
      </w:r>
      <w:proofErr w:type="spellStart"/>
      <w:r w:rsidRPr="00AA7192">
        <w:rPr>
          <w:i/>
          <w:iCs/>
          <w:lang w:val="en-US"/>
        </w:rPr>
        <w:t>Pregnantium</w:t>
      </w:r>
      <w:proofErr w:type="spellEnd"/>
      <w:r w:rsidRPr="00AA7192">
        <w:rPr>
          <w:i/>
          <w:iCs/>
          <w:lang w:val="en-US"/>
        </w:rPr>
        <w:t xml:space="preserve"> et </w:t>
      </w:r>
      <w:proofErr w:type="spellStart"/>
      <w:r w:rsidRPr="00AA7192">
        <w:rPr>
          <w:i/>
          <w:iCs/>
          <w:lang w:val="en-US"/>
        </w:rPr>
        <w:t>Noviter</w:t>
      </w:r>
      <w:proofErr w:type="spellEnd"/>
      <w:r w:rsidRPr="00AA7192">
        <w:rPr>
          <w:i/>
          <w:iCs/>
          <w:lang w:val="en-US"/>
        </w:rPr>
        <w:t xml:space="preserve"> </w:t>
      </w:r>
      <w:proofErr w:type="spellStart"/>
      <w:r w:rsidRPr="00AA7192">
        <w:rPr>
          <w:i/>
          <w:iCs/>
          <w:lang w:val="en-US"/>
        </w:rPr>
        <w:t>Natorum</w:t>
      </w:r>
      <w:proofErr w:type="spellEnd"/>
      <w:r w:rsidRPr="00AA7192">
        <w:rPr>
          <w:i/>
          <w:iCs/>
          <w:lang w:val="en-US"/>
        </w:rPr>
        <w:t xml:space="preserve"> </w:t>
      </w:r>
      <w:proofErr w:type="spellStart"/>
      <w:r w:rsidRPr="00AA7192">
        <w:rPr>
          <w:i/>
          <w:iCs/>
          <w:lang w:val="en-US"/>
        </w:rPr>
        <w:t>Usque</w:t>
      </w:r>
      <w:proofErr w:type="spellEnd"/>
      <w:r w:rsidRPr="00AA7192">
        <w:rPr>
          <w:i/>
          <w:iCs/>
          <w:lang w:val="en-US"/>
        </w:rPr>
        <w:t xml:space="preserve"> Ad Septennium</w:t>
      </w:r>
      <w:r w:rsidRPr="00AA7192">
        <w:rPr>
          <w:lang w:val="en-US"/>
        </w:rPr>
        <w:t xml:space="preserve">, ed. Luigi </w:t>
      </w:r>
      <w:proofErr w:type="spellStart"/>
      <w:r w:rsidRPr="00AA7192">
        <w:rPr>
          <w:lang w:val="en-US"/>
        </w:rPr>
        <w:t>Belloni</w:t>
      </w:r>
      <w:proofErr w:type="spellEnd"/>
      <w:r w:rsidRPr="00AA7192">
        <w:rPr>
          <w:lang w:val="en-US"/>
        </w:rPr>
        <w:t xml:space="preserve"> (Milan, 1952), 145–48; See also King, “The School of Infancy,” 51.</w:t>
      </w:r>
    </w:p>
  </w:footnote>
  <w:footnote w:id="14">
    <w:p w14:paraId="4BB481A8" w14:textId="77777777" w:rsidR="00182EED" w:rsidRDefault="00182EED" w:rsidP="001840E8">
      <w:pPr>
        <w:pStyle w:val="FootnoteText"/>
      </w:pPr>
      <w:r w:rsidRPr="00391186">
        <w:rPr>
          <w:rStyle w:val="FootnoteReference"/>
        </w:rPr>
        <w:footnoteRef/>
      </w:r>
      <w:r>
        <w:t xml:space="preserve"> </w:t>
      </w:r>
      <w:r w:rsidRPr="0085522F">
        <w:rPr>
          <w:lang w:val="en-US"/>
        </w:rPr>
        <w:t xml:space="preserve">Luigi </w:t>
      </w:r>
      <w:proofErr w:type="spellStart"/>
      <w:r w:rsidRPr="0085522F">
        <w:rPr>
          <w:lang w:val="en-US"/>
        </w:rPr>
        <w:t>Belloni</w:t>
      </w:r>
      <w:proofErr w:type="spellEnd"/>
      <w:r w:rsidRPr="0085522F">
        <w:rPr>
          <w:lang w:val="en-US"/>
        </w:rPr>
        <w:t xml:space="preserve">, in his </w:t>
      </w:r>
      <w:r w:rsidRPr="00B15559">
        <w:rPr>
          <w:lang w:val="en-US"/>
        </w:rPr>
        <w:t>Introduction</w:t>
      </w:r>
      <w:r w:rsidRPr="0085522F">
        <w:rPr>
          <w:lang w:val="en-US"/>
        </w:rPr>
        <w:t xml:space="preserve"> to </w:t>
      </w:r>
      <w:r>
        <w:rPr>
          <w:lang w:val="en-US"/>
        </w:rPr>
        <w:t xml:space="preserve">Michele </w:t>
      </w:r>
      <w:r w:rsidRPr="0085522F">
        <w:rPr>
          <w:lang w:val="en-US"/>
        </w:rPr>
        <w:t xml:space="preserve">Savonarola, </w:t>
      </w:r>
      <w:r w:rsidRPr="0085522F">
        <w:rPr>
          <w:i/>
          <w:iCs/>
          <w:lang w:val="en-US"/>
        </w:rPr>
        <w:t xml:space="preserve">Il </w:t>
      </w:r>
      <w:proofErr w:type="spellStart"/>
      <w:r w:rsidRPr="0085522F">
        <w:rPr>
          <w:i/>
          <w:iCs/>
          <w:lang w:val="en-US"/>
        </w:rPr>
        <w:t>Trattato</w:t>
      </w:r>
      <w:proofErr w:type="spellEnd"/>
      <w:r w:rsidRPr="0085522F">
        <w:rPr>
          <w:i/>
          <w:iCs/>
          <w:lang w:val="en-US"/>
        </w:rPr>
        <w:t xml:space="preserve"> </w:t>
      </w:r>
      <w:proofErr w:type="spellStart"/>
      <w:r w:rsidRPr="0085522F">
        <w:rPr>
          <w:i/>
          <w:iCs/>
          <w:lang w:val="en-US"/>
        </w:rPr>
        <w:t>Ginecologico-Pediatrico</w:t>
      </w:r>
      <w:proofErr w:type="spellEnd"/>
      <w:r w:rsidRPr="0085522F">
        <w:rPr>
          <w:lang w:val="en-US"/>
        </w:rPr>
        <w:t>, xi, mentions two manuscript copies in Italian libraries.</w:t>
      </w:r>
    </w:p>
  </w:footnote>
  <w:footnote w:id="15">
    <w:p w14:paraId="66DEE36B" w14:textId="77777777" w:rsidR="00182EED" w:rsidRDefault="00182EED" w:rsidP="001840E8">
      <w:pPr>
        <w:pStyle w:val="FootnoteText"/>
      </w:pPr>
      <w:r w:rsidRPr="00391186">
        <w:rPr>
          <w:rStyle w:val="FootnoteReference"/>
        </w:rPr>
        <w:footnoteRef/>
      </w:r>
      <w:r>
        <w:t xml:space="preserve"> </w:t>
      </w:r>
      <w:r w:rsidRPr="00FB38BA">
        <w:rPr>
          <w:lang w:val="en-US"/>
        </w:rPr>
        <w:t>Ibid., 147–48.</w:t>
      </w:r>
    </w:p>
  </w:footnote>
  <w:footnote w:id="16">
    <w:p w14:paraId="0FC77476" w14:textId="77777777" w:rsidR="00182EED" w:rsidRDefault="00182EED" w:rsidP="001840E8">
      <w:pPr>
        <w:pStyle w:val="FootnoteText"/>
      </w:pPr>
      <w:r w:rsidRPr="00391186">
        <w:rPr>
          <w:rStyle w:val="FootnoteReference"/>
        </w:rPr>
        <w:footnoteRef/>
      </w:r>
      <w:r>
        <w:t xml:space="preserve"> </w:t>
      </w:r>
      <w:proofErr w:type="spellStart"/>
      <w:r w:rsidRPr="001651E3">
        <w:rPr>
          <w:lang w:val="en-US"/>
        </w:rPr>
        <w:t>Maffeo</w:t>
      </w:r>
      <w:proofErr w:type="spellEnd"/>
      <w:r w:rsidRPr="001651E3">
        <w:rPr>
          <w:lang w:val="en-US"/>
        </w:rPr>
        <w:t xml:space="preserve"> </w:t>
      </w:r>
      <w:proofErr w:type="spellStart"/>
      <w:r w:rsidRPr="001651E3">
        <w:rPr>
          <w:lang w:val="en-US"/>
        </w:rPr>
        <w:t>Vegio</w:t>
      </w:r>
      <w:proofErr w:type="spellEnd"/>
      <w:r w:rsidRPr="001651E3">
        <w:rPr>
          <w:lang w:val="en-US"/>
        </w:rPr>
        <w:t xml:space="preserve"> (</w:t>
      </w:r>
      <w:proofErr w:type="spellStart"/>
      <w:r w:rsidRPr="001651E3">
        <w:rPr>
          <w:lang w:val="en-US"/>
        </w:rPr>
        <w:t>Maphei</w:t>
      </w:r>
      <w:proofErr w:type="spellEnd"/>
      <w:r w:rsidRPr="001651E3">
        <w:rPr>
          <w:lang w:val="en-US"/>
        </w:rPr>
        <w:t xml:space="preserve"> </w:t>
      </w:r>
      <w:proofErr w:type="spellStart"/>
      <w:r w:rsidRPr="001651E3">
        <w:rPr>
          <w:lang w:val="en-US"/>
        </w:rPr>
        <w:t>Vegii</w:t>
      </w:r>
      <w:proofErr w:type="spellEnd"/>
      <w:r w:rsidRPr="001651E3">
        <w:rPr>
          <w:lang w:val="en-US"/>
        </w:rPr>
        <w:t xml:space="preserve"> </w:t>
      </w:r>
      <w:proofErr w:type="spellStart"/>
      <w:r w:rsidRPr="001651E3">
        <w:rPr>
          <w:lang w:val="en-US"/>
        </w:rPr>
        <w:t>Laudensis</w:t>
      </w:r>
      <w:proofErr w:type="spellEnd"/>
      <w:r w:rsidRPr="001651E3">
        <w:rPr>
          <w:lang w:val="en-US"/>
        </w:rPr>
        <w:t xml:space="preserve">), </w:t>
      </w:r>
      <w:r w:rsidRPr="001651E3">
        <w:rPr>
          <w:i/>
          <w:iCs/>
          <w:lang w:val="en-US"/>
        </w:rPr>
        <w:t xml:space="preserve">De </w:t>
      </w:r>
      <w:proofErr w:type="spellStart"/>
      <w:r w:rsidRPr="001651E3">
        <w:rPr>
          <w:i/>
          <w:iCs/>
          <w:lang w:val="en-US"/>
        </w:rPr>
        <w:t>Educatione</w:t>
      </w:r>
      <w:proofErr w:type="spellEnd"/>
      <w:r w:rsidRPr="001651E3">
        <w:rPr>
          <w:i/>
          <w:iCs/>
          <w:lang w:val="en-US"/>
        </w:rPr>
        <w:t xml:space="preserve"> </w:t>
      </w:r>
      <w:proofErr w:type="spellStart"/>
      <w:r w:rsidRPr="001651E3">
        <w:rPr>
          <w:i/>
          <w:iCs/>
          <w:lang w:val="en-US"/>
        </w:rPr>
        <w:t>Liberorum</w:t>
      </w:r>
      <w:proofErr w:type="spellEnd"/>
      <w:r w:rsidRPr="001651E3">
        <w:rPr>
          <w:i/>
          <w:iCs/>
          <w:lang w:val="en-US"/>
        </w:rPr>
        <w:t xml:space="preserve"> et </w:t>
      </w:r>
      <w:proofErr w:type="spellStart"/>
      <w:r w:rsidRPr="001651E3">
        <w:rPr>
          <w:i/>
          <w:iCs/>
          <w:lang w:val="en-US"/>
        </w:rPr>
        <w:t>Eorum</w:t>
      </w:r>
      <w:proofErr w:type="spellEnd"/>
      <w:r w:rsidRPr="001651E3">
        <w:rPr>
          <w:i/>
          <w:iCs/>
          <w:lang w:val="en-US"/>
        </w:rPr>
        <w:t xml:space="preserve"> Claris </w:t>
      </w:r>
      <w:proofErr w:type="spellStart"/>
      <w:r w:rsidRPr="001651E3">
        <w:rPr>
          <w:i/>
          <w:iCs/>
          <w:lang w:val="en-US"/>
        </w:rPr>
        <w:t>Moribus</w:t>
      </w:r>
      <w:proofErr w:type="spellEnd"/>
      <w:r w:rsidRPr="001651E3">
        <w:rPr>
          <w:i/>
          <w:iCs/>
          <w:lang w:val="en-US"/>
        </w:rPr>
        <w:t xml:space="preserve"> Libri Sex: A Critical Text of Books I-III</w:t>
      </w:r>
      <w:r w:rsidRPr="001651E3">
        <w:rPr>
          <w:lang w:val="en-US"/>
        </w:rPr>
        <w:t xml:space="preserve">, ed. Sister Maria </w:t>
      </w:r>
      <w:proofErr w:type="spellStart"/>
      <w:r w:rsidRPr="001651E3">
        <w:rPr>
          <w:lang w:val="en-US"/>
        </w:rPr>
        <w:t>Walburg</w:t>
      </w:r>
      <w:proofErr w:type="spellEnd"/>
      <w:r w:rsidRPr="001651E3">
        <w:rPr>
          <w:lang w:val="en-US"/>
        </w:rPr>
        <w:t xml:space="preserve"> Fanning (Washington, DC: The Catholic University of America, 1933), 20–26; </w:t>
      </w:r>
      <w:proofErr w:type="spellStart"/>
      <w:r w:rsidRPr="001651E3">
        <w:rPr>
          <w:lang w:val="en-US"/>
        </w:rPr>
        <w:t>Maffeo</w:t>
      </w:r>
      <w:proofErr w:type="spellEnd"/>
      <w:r w:rsidRPr="001651E3">
        <w:rPr>
          <w:lang w:val="en-US"/>
        </w:rPr>
        <w:t xml:space="preserve"> </w:t>
      </w:r>
      <w:proofErr w:type="spellStart"/>
      <w:r w:rsidRPr="001651E3">
        <w:rPr>
          <w:lang w:val="en-US"/>
        </w:rPr>
        <w:t>Vegio</w:t>
      </w:r>
      <w:proofErr w:type="spellEnd"/>
      <w:r w:rsidRPr="001651E3">
        <w:rPr>
          <w:lang w:val="en-US"/>
        </w:rPr>
        <w:t xml:space="preserve"> (</w:t>
      </w:r>
      <w:proofErr w:type="spellStart"/>
      <w:r w:rsidRPr="001651E3">
        <w:rPr>
          <w:lang w:val="en-US"/>
        </w:rPr>
        <w:t>Maphei</w:t>
      </w:r>
      <w:proofErr w:type="spellEnd"/>
      <w:r w:rsidRPr="001651E3">
        <w:rPr>
          <w:lang w:val="en-US"/>
        </w:rPr>
        <w:t xml:space="preserve"> </w:t>
      </w:r>
      <w:proofErr w:type="spellStart"/>
      <w:r w:rsidRPr="001651E3">
        <w:rPr>
          <w:lang w:val="en-US"/>
        </w:rPr>
        <w:t>Vegii</w:t>
      </w:r>
      <w:proofErr w:type="spellEnd"/>
      <w:r w:rsidRPr="001651E3">
        <w:rPr>
          <w:lang w:val="en-US"/>
        </w:rPr>
        <w:t xml:space="preserve"> </w:t>
      </w:r>
      <w:proofErr w:type="spellStart"/>
      <w:r w:rsidRPr="001651E3">
        <w:rPr>
          <w:lang w:val="en-US"/>
        </w:rPr>
        <w:t>Laudensis</w:t>
      </w:r>
      <w:proofErr w:type="spellEnd"/>
      <w:r w:rsidRPr="001651E3">
        <w:rPr>
          <w:lang w:val="en-US"/>
        </w:rPr>
        <w:t xml:space="preserve">), “De </w:t>
      </w:r>
      <w:proofErr w:type="spellStart"/>
      <w:r w:rsidRPr="001651E3">
        <w:rPr>
          <w:lang w:val="en-US"/>
        </w:rPr>
        <w:t>Educatione</w:t>
      </w:r>
      <w:proofErr w:type="spellEnd"/>
      <w:r w:rsidRPr="001651E3">
        <w:rPr>
          <w:lang w:val="en-US"/>
        </w:rPr>
        <w:t xml:space="preserve"> </w:t>
      </w:r>
      <w:proofErr w:type="spellStart"/>
      <w:r w:rsidRPr="001651E3">
        <w:rPr>
          <w:lang w:val="en-US"/>
        </w:rPr>
        <w:t>Liberorum</w:t>
      </w:r>
      <w:proofErr w:type="spellEnd"/>
      <w:r w:rsidRPr="001651E3">
        <w:rPr>
          <w:lang w:val="en-US"/>
        </w:rPr>
        <w:t xml:space="preserve"> et </w:t>
      </w:r>
      <w:proofErr w:type="spellStart"/>
      <w:r w:rsidRPr="001651E3">
        <w:rPr>
          <w:lang w:val="en-US"/>
        </w:rPr>
        <w:t>Eorum</w:t>
      </w:r>
      <w:proofErr w:type="spellEnd"/>
      <w:r w:rsidRPr="001651E3">
        <w:rPr>
          <w:lang w:val="en-US"/>
        </w:rPr>
        <w:t xml:space="preserve"> Claris </w:t>
      </w:r>
      <w:proofErr w:type="spellStart"/>
      <w:r w:rsidRPr="001651E3">
        <w:rPr>
          <w:lang w:val="en-US"/>
        </w:rPr>
        <w:t>Moribus</w:t>
      </w:r>
      <w:proofErr w:type="spellEnd"/>
      <w:r w:rsidRPr="001651E3">
        <w:rPr>
          <w:lang w:val="en-US"/>
        </w:rPr>
        <w:t xml:space="preserve">,” in Eugenio </w:t>
      </w:r>
      <w:proofErr w:type="spellStart"/>
      <w:r w:rsidRPr="001651E3">
        <w:rPr>
          <w:lang w:val="en-US"/>
        </w:rPr>
        <w:t>Garin</w:t>
      </w:r>
      <w:proofErr w:type="spellEnd"/>
      <w:r w:rsidRPr="001651E3">
        <w:rPr>
          <w:i/>
          <w:iCs/>
          <w:lang w:val="en-US"/>
        </w:rPr>
        <w:t xml:space="preserve"> Il </w:t>
      </w:r>
      <w:proofErr w:type="spellStart"/>
      <w:r w:rsidRPr="001651E3">
        <w:rPr>
          <w:i/>
          <w:iCs/>
          <w:lang w:val="en-US"/>
        </w:rPr>
        <w:t>Pensiero</w:t>
      </w:r>
      <w:proofErr w:type="spellEnd"/>
      <w:r w:rsidRPr="001651E3">
        <w:rPr>
          <w:i/>
          <w:iCs/>
          <w:lang w:val="en-US"/>
        </w:rPr>
        <w:t xml:space="preserve"> </w:t>
      </w:r>
      <w:proofErr w:type="spellStart"/>
      <w:r w:rsidRPr="001651E3">
        <w:rPr>
          <w:i/>
          <w:iCs/>
          <w:lang w:val="en-US"/>
        </w:rPr>
        <w:t>Pedagogico</w:t>
      </w:r>
      <w:proofErr w:type="spellEnd"/>
      <w:r w:rsidRPr="001651E3">
        <w:rPr>
          <w:i/>
          <w:iCs/>
          <w:lang w:val="en-US"/>
        </w:rPr>
        <w:t xml:space="preserve"> </w:t>
      </w:r>
      <w:proofErr w:type="spellStart"/>
      <w:r w:rsidRPr="001651E3">
        <w:rPr>
          <w:i/>
          <w:iCs/>
          <w:lang w:val="en-US"/>
        </w:rPr>
        <w:t>Dello</w:t>
      </w:r>
      <w:proofErr w:type="spellEnd"/>
      <w:r w:rsidRPr="001651E3">
        <w:rPr>
          <w:i/>
          <w:iCs/>
          <w:lang w:val="en-US"/>
        </w:rPr>
        <w:t xml:space="preserve"> </w:t>
      </w:r>
      <w:proofErr w:type="spellStart"/>
      <w:r w:rsidRPr="001651E3">
        <w:rPr>
          <w:i/>
          <w:iCs/>
          <w:lang w:val="en-US"/>
        </w:rPr>
        <w:t>Umanesimo</w:t>
      </w:r>
      <w:proofErr w:type="spellEnd"/>
      <w:r w:rsidRPr="001651E3">
        <w:rPr>
          <w:lang w:val="en-US"/>
        </w:rPr>
        <w:t xml:space="preserve"> (</w:t>
      </w:r>
      <w:proofErr w:type="spellStart"/>
      <w:r w:rsidRPr="001651E3">
        <w:rPr>
          <w:lang w:val="en-US"/>
        </w:rPr>
        <w:t>Coedizioni</w:t>
      </w:r>
      <w:proofErr w:type="spellEnd"/>
      <w:r w:rsidRPr="001651E3">
        <w:rPr>
          <w:lang w:val="en-US"/>
        </w:rPr>
        <w:t xml:space="preserve"> </w:t>
      </w:r>
      <w:proofErr w:type="spellStart"/>
      <w:r w:rsidRPr="001651E3">
        <w:rPr>
          <w:lang w:val="en-US"/>
        </w:rPr>
        <w:t>Giuntine</w:t>
      </w:r>
      <w:proofErr w:type="spellEnd"/>
      <w:r w:rsidRPr="001651E3">
        <w:rPr>
          <w:lang w:val="en-US"/>
        </w:rPr>
        <w:t xml:space="preserve"> and </w:t>
      </w:r>
      <w:proofErr w:type="spellStart"/>
      <w:r w:rsidRPr="001651E3">
        <w:rPr>
          <w:lang w:val="en-US"/>
        </w:rPr>
        <w:t>Sansoni</w:t>
      </w:r>
      <w:proofErr w:type="spellEnd"/>
      <w:r w:rsidRPr="001651E3">
        <w:rPr>
          <w:lang w:val="en-US"/>
        </w:rPr>
        <w:t>, 1958), 172–73.</w:t>
      </w:r>
    </w:p>
  </w:footnote>
  <w:footnote w:id="17">
    <w:p w14:paraId="71CB9E9E" w14:textId="77777777" w:rsidR="00182EED" w:rsidRDefault="00182EED" w:rsidP="001840E8">
      <w:pPr>
        <w:pStyle w:val="FootnoteText"/>
      </w:pPr>
      <w:r w:rsidRPr="00391186">
        <w:rPr>
          <w:rStyle w:val="FootnoteReference"/>
        </w:rPr>
        <w:footnoteRef/>
      </w:r>
      <w:r>
        <w:t xml:space="preserve"> </w:t>
      </w:r>
      <w:r w:rsidRPr="00D252ED">
        <w:rPr>
          <w:lang w:val="en-US"/>
        </w:rPr>
        <w:t xml:space="preserve">Andrea </w:t>
      </w:r>
      <w:proofErr w:type="spellStart"/>
      <w:r w:rsidRPr="00D252ED">
        <w:rPr>
          <w:lang w:val="en-US"/>
        </w:rPr>
        <w:t>Franzoni</w:t>
      </w:r>
      <w:proofErr w:type="spellEnd"/>
      <w:r w:rsidRPr="00D252ED">
        <w:rPr>
          <w:lang w:val="en-US"/>
        </w:rPr>
        <w:t xml:space="preserve">, </w:t>
      </w:r>
      <w:proofErr w:type="spellStart"/>
      <w:r w:rsidRPr="00D252ED">
        <w:rPr>
          <w:i/>
          <w:iCs/>
          <w:lang w:val="en-US"/>
        </w:rPr>
        <w:t>L’opera</w:t>
      </w:r>
      <w:proofErr w:type="spellEnd"/>
      <w:r w:rsidRPr="00D252ED">
        <w:rPr>
          <w:i/>
          <w:iCs/>
          <w:lang w:val="en-US"/>
        </w:rPr>
        <w:t xml:space="preserve"> </w:t>
      </w:r>
      <w:proofErr w:type="spellStart"/>
      <w:r w:rsidRPr="00D252ED">
        <w:rPr>
          <w:i/>
          <w:iCs/>
          <w:lang w:val="en-US"/>
        </w:rPr>
        <w:t>pedagogica</w:t>
      </w:r>
      <w:proofErr w:type="spellEnd"/>
      <w:r w:rsidRPr="00D252ED">
        <w:rPr>
          <w:i/>
          <w:iCs/>
          <w:lang w:val="en-US"/>
        </w:rPr>
        <w:t xml:space="preserve"> de </w:t>
      </w:r>
      <w:proofErr w:type="spellStart"/>
      <w:r w:rsidRPr="00D252ED">
        <w:rPr>
          <w:i/>
          <w:iCs/>
          <w:lang w:val="en-US"/>
        </w:rPr>
        <w:t>Maffeo</w:t>
      </w:r>
      <w:proofErr w:type="spellEnd"/>
      <w:r w:rsidRPr="00D252ED">
        <w:rPr>
          <w:i/>
          <w:iCs/>
          <w:lang w:val="en-US"/>
        </w:rPr>
        <w:t xml:space="preserve"> </w:t>
      </w:r>
      <w:proofErr w:type="spellStart"/>
      <w:r w:rsidRPr="00D252ED">
        <w:rPr>
          <w:i/>
          <w:iCs/>
          <w:lang w:val="en-US"/>
        </w:rPr>
        <w:t>Vegio</w:t>
      </w:r>
      <w:proofErr w:type="spellEnd"/>
      <w:r w:rsidRPr="00D252ED">
        <w:rPr>
          <w:lang w:val="en-US"/>
        </w:rPr>
        <w:t xml:space="preserve"> (Lodi: </w:t>
      </w:r>
      <w:proofErr w:type="spellStart"/>
      <w:r w:rsidRPr="00D252ED">
        <w:rPr>
          <w:lang w:val="en-US"/>
        </w:rPr>
        <w:t>Scoietà</w:t>
      </w:r>
      <w:proofErr w:type="spellEnd"/>
      <w:r w:rsidRPr="00D252ED">
        <w:rPr>
          <w:lang w:val="en-US"/>
        </w:rPr>
        <w:t xml:space="preserve"> Tip. </w:t>
      </w:r>
      <w:proofErr w:type="spellStart"/>
      <w:r w:rsidRPr="00D252ED">
        <w:rPr>
          <w:lang w:val="en-US"/>
        </w:rPr>
        <w:t>Succ</w:t>
      </w:r>
      <w:proofErr w:type="spellEnd"/>
      <w:r w:rsidRPr="00D252ED">
        <w:rPr>
          <w:lang w:val="en-US"/>
        </w:rPr>
        <w:t xml:space="preserve">. </w:t>
      </w:r>
      <w:proofErr w:type="spellStart"/>
      <w:r w:rsidRPr="00D252ED">
        <w:rPr>
          <w:lang w:val="en-US"/>
        </w:rPr>
        <w:t>Wilmant</w:t>
      </w:r>
      <w:proofErr w:type="spellEnd"/>
      <w:r w:rsidRPr="00D252ED">
        <w:rPr>
          <w:lang w:val="en-US"/>
        </w:rPr>
        <w:t xml:space="preserve">, 1907), 112–13; See also Vincent Joseph </w:t>
      </w:r>
      <w:proofErr w:type="spellStart"/>
      <w:r w:rsidRPr="00D252ED">
        <w:rPr>
          <w:lang w:val="en-US"/>
        </w:rPr>
        <w:t>Horkan</w:t>
      </w:r>
      <w:proofErr w:type="spellEnd"/>
      <w:r w:rsidRPr="00D252ED">
        <w:rPr>
          <w:lang w:val="en-US"/>
        </w:rPr>
        <w:t xml:space="preserve">, </w:t>
      </w:r>
      <w:r w:rsidRPr="00D252ED">
        <w:rPr>
          <w:i/>
          <w:iCs/>
          <w:lang w:val="en-US"/>
        </w:rPr>
        <w:t xml:space="preserve">Educational Theories and Principles of </w:t>
      </w:r>
      <w:proofErr w:type="spellStart"/>
      <w:r w:rsidRPr="00D252ED">
        <w:rPr>
          <w:i/>
          <w:iCs/>
          <w:lang w:val="en-US"/>
        </w:rPr>
        <w:t>Maffeo</w:t>
      </w:r>
      <w:proofErr w:type="spellEnd"/>
      <w:r w:rsidRPr="00D252ED">
        <w:rPr>
          <w:i/>
          <w:iCs/>
          <w:lang w:val="en-US"/>
        </w:rPr>
        <w:t xml:space="preserve"> </w:t>
      </w:r>
      <w:proofErr w:type="spellStart"/>
      <w:r w:rsidRPr="00D252ED">
        <w:rPr>
          <w:i/>
          <w:iCs/>
          <w:lang w:val="en-US"/>
        </w:rPr>
        <w:t>Vegio</w:t>
      </w:r>
      <w:proofErr w:type="spellEnd"/>
      <w:r w:rsidRPr="00D252ED">
        <w:rPr>
          <w:lang w:val="en-US"/>
        </w:rPr>
        <w:t xml:space="preserve"> (Washington D.C.: Catholic University of America Press, 1953), 26–32; King, “The School of Infancy,” 52.</w:t>
      </w:r>
    </w:p>
  </w:footnote>
  <w:footnote w:id="18">
    <w:p w14:paraId="2B9105BE" w14:textId="77777777" w:rsidR="00182EED" w:rsidRDefault="00182EED" w:rsidP="001840E8">
      <w:pPr>
        <w:pStyle w:val="FootnoteText"/>
      </w:pPr>
      <w:r w:rsidRPr="00391186">
        <w:rPr>
          <w:rStyle w:val="FootnoteReference"/>
        </w:rPr>
        <w:footnoteRef/>
      </w:r>
      <w:r>
        <w:t xml:space="preserve"> </w:t>
      </w:r>
      <w:r w:rsidRPr="00871FA3">
        <w:rPr>
          <w:lang w:val="en-US"/>
        </w:rPr>
        <w:t xml:space="preserve">English translation from Plutarch, “The Education of Children,” 15,17 (original Greek: 14, 16); See also Herlihy, </w:t>
      </w:r>
      <w:r w:rsidRPr="00871FA3">
        <w:rPr>
          <w:i/>
          <w:iCs/>
          <w:lang w:val="en-US"/>
        </w:rPr>
        <w:t>Medieval Households</w:t>
      </w:r>
      <w:r w:rsidRPr="00871FA3">
        <w:rPr>
          <w:lang w:val="en-US"/>
        </w:rPr>
        <w:t>, 120; Hairston, “The Economics of Milk and Blood,” 193; King, “The School of Infancy,” 43.</w:t>
      </w:r>
    </w:p>
  </w:footnote>
  <w:footnote w:id="19">
    <w:p w14:paraId="759604B0" w14:textId="77777777" w:rsidR="00182EED" w:rsidRDefault="00182EED" w:rsidP="001840E8">
      <w:pPr>
        <w:pStyle w:val="FootnoteText"/>
      </w:pPr>
      <w:r w:rsidRPr="00391186">
        <w:rPr>
          <w:rStyle w:val="FootnoteReference"/>
        </w:rPr>
        <w:footnoteRef/>
      </w:r>
      <w:r>
        <w:t xml:space="preserve"> </w:t>
      </w:r>
      <w:r w:rsidRPr="0085522F">
        <w:rPr>
          <w:lang w:val="en-US"/>
        </w:rPr>
        <w:t>“</w:t>
      </w:r>
      <w:proofErr w:type="spellStart"/>
      <w:r w:rsidRPr="0085522F">
        <w:rPr>
          <w:lang w:val="en-US"/>
        </w:rPr>
        <w:t>Vacua</w:t>
      </w:r>
      <w:proofErr w:type="spellEnd"/>
      <w:r w:rsidRPr="0085522F">
        <w:rPr>
          <w:lang w:val="en-US"/>
        </w:rPr>
        <w:t xml:space="preserve">, libera e </w:t>
      </w:r>
      <w:proofErr w:type="spellStart"/>
      <w:r w:rsidRPr="0085522F">
        <w:rPr>
          <w:lang w:val="en-US"/>
        </w:rPr>
        <w:t>netta</w:t>
      </w:r>
      <w:proofErr w:type="spellEnd"/>
      <w:r w:rsidRPr="0085522F">
        <w:rPr>
          <w:lang w:val="en-US"/>
        </w:rPr>
        <w:t xml:space="preserve"> di que’ </w:t>
      </w:r>
      <w:proofErr w:type="spellStart"/>
      <w:r w:rsidRPr="0085522F">
        <w:rPr>
          <w:lang w:val="en-US"/>
        </w:rPr>
        <w:t>vizii</w:t>
      </w:r>
      <w:proofErr w:type="spellEnd"/>
      <w:r w:rsidRPr="0085522F">
        <w:rPr>
          <w:lang w:val="en-US"/>
        </w:rPr>
        <w:t xml:space="preserve"> e di quelle macule </w:t>
      </w:r>
      <w:proofErr w:type="spellStart"/>
      <w:r w:rsidRPr="0085522F">
        <w:rPr>
          <w:lang w:val="en-US"/>
        </w:rPr>
        <w:t>quali</w:t>
      </w:r>
      <w:proofErr w:type="spellEnd"/>
      <w:r w:rsidRPr="0085522F">
        <w:rPr>
          <w:lang w:val="en-US"/>
        </w:rPr>
        <w:t xml:space="preserve"> </w:t>
      </w:r>
      <w:proofErr w:type="spellStart"/>
      <w:r w:rsidRPr="0085522F">
        <w:rPr>
          <w:lang w:val="en-US"/>
        </w:rPr>
        <w:t>infettano</w:t>
      </w:r>
      <w:proofErr w:type="spellEnd"/>
      <w:r w:rsidRPr="0085522F">
        <w:rPr>
          <w:lang w:val="en-US"/>
        </w:rPr>
        <w:t xml:space="preserve"> e </w:t>
      </w:r>
      <w:proofErr w:type="spellStart"/>
      <w:r w:rsidRPr="0085522F">
        <w:rPr>
          <w:lang w:val="en-US"/>
        </w:rPr>
        <w:t>corrompono</w:t>
      </w:r>
      <w:proofErr w:type="spellEnd"/>
      <w:r w:rsidRPr="0085522F">
        <w:rPr>
          <w:lang w:val="en-US"/>
        </w:rPr>
        <w:t xml:space="preserve"> </w:t>
      </w:r>
      <w:proofErr w:type="spellStart"/>
      <w:r w:rsidRPr="0085522F">
        <w:rPr>
          <w:lang w:val="en-US"/>
        </w:rPr>
        <w:t>il</w:t>
      </w:r>
      <w:proofErr w:type="spellEnd"/>
      <w:r w:rsidRPr="0085522F">
        <w:rPr>
          <w:lang w:val="en-US"/>
        </w:rPr>
        <w:t xml:space="preserve"> latte e </w:t>
      </w:r>
      <w:proofErr w:type="spellStart"/>
      <w:r w:rsidRPr="0085522F">
        <w:rPr>
          <w:lang w:val="en-US"/>
        </w:rPr>
        <w:t>il</w:t>
      </w:r>
      <w:proofErr w:type="spellEnd"/>
      <w:r w:rsidRPr="0085522F">
        <w:rPr>
          <w:lang w:val="en-US"/>
        </w:rPr>
        <w:t xml:space="preserve"> </w:t>
      </w:r>
      <w:proofErr w:type="spellStart"/>
      <w:r w:rsidRPr="0085522F">
        <w:rPr>
          <w:lang w:val="en-US"/>
        </w:rPr>
        <w:t>sangue</w:t>
      </w:r>
      <w:proofErr w:type="spellEnd"/>
      <w:r w:rsidRPr="0085522F">
        <w:rPr>
          <w:lang w:val="en-US"/>
        </w:rPr>
        <w:t xml:space="preserve">.” Leon Battista Alberti, </w:t>
      </w:r>
      <w:r w:rsidRPr="0085522F">
        <w:rPr>
          <w:i/>
          <w:iCs/>
          <w:lang w:val="en-US"/>
        </w:rPr>
        <w:t xml:space="preserve">I libri </w:t>
      </w:r>
      <w:proofErr w:type="spellStart"/>
      <w:r w:rsidRPr="0085522F">
        <w:rPr>
          <w:i/>
          <w:iCs/>
          <w:lang w:val="en-US"/>
        </w:rPr>
        <w:t>della</w:t>
      </w:r>
      <w:proofErr w:type="spellEnd"/>
      <w:r w:rsidRPr="0085522F">
        <w:rPr>
          <w:i/>
          <w:iCs/>
          <w:lang w:val="en-US"/>
        </w:rPr>
        <w:t xml:space="preserve"> </w:t>
      </w:r>
      <w:proofErr w:type="spellStart"/>
      <w:r w:rsidRPr="0085522F">
        <w:rPr>
          <w:i/>
          <w:iCs/>
          <w:lang w:val="en-US"/>
        </w:rPr>
        <w:t>famiglia</w:t>
      </w:r>
      <w:proofErr w:type="spellEnd"/>
      <w:r w:rsidRPr="0085522F">
        <w:rPr>
          <w:lang w:val="en-US"/>
        </w:rPr>
        <w:t xml:space="preserve">, ed. Ruggiero Romano and Alberto </w:t>
      </w:r>
      <w:proofErr w:type="spellStart"/>
      <w:r w:rsidRPr="0085522F">
        <w:rPr>
          <w:lang w:val="en-US"/>
        </w:rPr>
        <w:t>Tenenti</w:t>
      </w:r>
      <w:proofErr w:type="spellEnd"/>
      <w:r w:rsidRPr="0085522F">
        <w:rPr>
          <w:lang w:val="en-US"/>
        </w:rPr>
        <w:t xml:space="preserve"> (Turin: Giulio Einaudi </w:t>
      </w:r>
      <w:proofErr w:type="spellStart"/>
      <w:r w:rsidRPr="0085522F">
        <w:rPr>
          <w:lang w:val="en-US"/>
        </w:rPr>
        <w:t>Editore</w:t>
      </w:r>
      <w:proofErr w:type="spellEnd"/>
      <w:r w:rsidRPr="0085522F">
        <w:rPr>
          <w:lang w:val="en-US"/>
        </w:rPr>
        <w:t>, 1969), 41–42; Quoted in translation in Hairston, “The Economics of Milk and Blood,” 204.</w:t>
      </w:r>
    </w:p>
  </w:footnote>
  <w:footnote w:id="20">
    <w:p w14:paraId="173EDCC2" w14:textId="77777777" w:rsidR="00182EED" w:rsidRDefault="00182EED" w:rsidP="001840E8">
      <w:pPr>
        <w:pStyle w:val="FootnoteText"/>
      </w:pPr>
      <w:r w:rsidRPr="00391186">
        <w:rPr>
          <w:rStyle w:val="FootnoteReference"/>
        </w:rPr>
        <w:footnoteRef/>
      </w:r>
      <w:r>
        <w:t xml:space="preserve"> </w:t>
      </w:r>
      <w:r w:rsidRPr="00482177">
        <w:rPr>
          <w:lang w:val="en-US"/>
        </w:rPr>
        <w:t>“</w:t>
      </w:r>
      <w:proofErr w:type="spellStart"/>
      <w:r w:rsidRPr="00482177">
        <w:rPr>
          <w:lang w:val="en-US"/>
        </w:rPr>
        <w:t>Tutti</w:t>
      </w:r>
      <w:proofErr w:type="spellEnd"/>
      <w:r w:rsidRPr="00482177">
        <w:rPr>
          <w:lang w:val="en-US"/>
        </w:rPr>
        <w:t xml:space="preserve"> </w:t>
      </w:r>
      <w:proofErr w:type="spellStart"/>
      <w:r w:rsidRPr="00482177">
        <w:rPr>
          <w:lang w:val="en-US"/>
        </w:rPr>
        <w:t>gli</w:t>
      </w:r>
      <w:proofErr w:type="spellEnd"/>
      <w:r w:rsidRPr="00482177">
        <w:rPr>
          <w:lang w:val="en-US"/>
        </w:rPr>
        <w:t xml:space="preserve"> </w:t>
      </w:r>
      <w:proofErr w:type="spellStart"/>
      <w:r w:rsidRPr="00482177">
        <w:rPr>
          <w:lang w:val="en-US"/>
        </w:rPr>
        <w:t>altri</w:t>
      </w:r>
      <w:proofErr w:type="spellEnd"/>
      <w:r w:rsidRPr="00482177">
        <w:rPr>
          <w:lang w:val="en-US"/>
        </w:rPr>
        <w:t xml:space="preserve"> </w:t>
      </w:r>
      <w:proofErr w:type="spellStart"/>
      <w:r w:rsidRPr="00482177">
        <w:rPr>
          <w:lang w:val="en-US"/>
        </w:rPr>
        <w:t>antichi</w:t>
      </w:r>
      <w:proofErr w:type="spellEnd"/>
      <w:r w:rsidRPr="00482177">
        <w:rPr>
          <w:lang w:val="en-US"/>
        </w:rPr>
        <w:t xml:space="preserve"> … </w:t>
      </w:r>
      <w:proofErr w:type="spellStart"/>
      <w:r w:rsidRPr="00482177">
        <w:rPr>
          <w:lang w:val="en-US"/>
        </w:rPr>
        <w:t>lodan</w:t>
      </w:r>
      <w:proofErr w:type="spellEnd"/>
      <w:r w:rsidRPr="00482177">
        <w:rPr>
          <w:lang w:val="en-US"/>
        </w:rPr>
        <w:t xml:space="preserve"> </w:t>
      </w:r>
      <w:proofErr w:type="spellStart"/>
      <w:r w:rsidRPr="00482177">
        <w:rPr>
          <w:lang w:val="en-US"/>
        </w:rPr>
        <w:t>piú</w:t>
      </w:r>
      <w:proofErr w:type="spellEnd"/>
      <w:r w:rsidRPr="00482177">
        <w:rPr>
          <w:lang w:val="en-US"/>
        </w:rPr>
        <w:t xml:space="preserve"> el latte </w:t>
      </w:r>
      <w:proofErr w:type="spellStart"/>
      <w:r w:rsidRPr="00482177">
        <w:rPr>
          <w:lang w:val="en-US"/>
        </w:rPr>
        <w:t>della</w:t>
      </w:r>
      <w:proofErr w:type="spellEnd"/>
      <w:r w:rsidRPr="00482177">
        <w:rPr>
          <w:lang w:val="en-US"/>
        </w:rPr>
        <w:t xml:space="preserve"> </w:t>
      </w:r>
      <w:proofErr w:type="spellStart"/>
      <w:r w:rsidRPr="00482177">
        <w:rPr>
          <w:lang w:val="en-US"/>
        </w:rPr>
        <w:t>madre</w:t>
      </w:r>
      <w:proofErr w:type="spellEnd"/>
      <w:r w:rsidRPr="00482177">
        <w:rPr>
          <w:lang w:val="en-US"/>
        </w:rPr>
        <w:t xml:space="preserve"> </w:t>
      </w:r>
      <w:proofErr w:type="spellStart"/>
      <w:r w:rsidRPr="00482177">
        <w:rPr>
          <w:lang w:val="en-US"/>
        </w:rPr>
        <w:t>che</w:t>
      </w:r>
      <w:proofErr w:type="spellEnd"/>
      <w:r w:rsidRPr="00482177">
        <w:rPr>
          <w:lang w:val="en-US"/>
        </w:rPr>
        <w:t xml:space="preserve"> </w:t>
      </w:r>
      <w:proofErr w:type="spellStart"/>
      <w:r w:rsidRPr="00482177">
        <w:rPr>
          <w:lang w:val="en-US"/>
        </w:rPr>
        <w:t>alcuno</w:t>
      </w:r>
      <w:proofErr w:type="spellEnd"/>
      <w:r w:rsidRPr="00482177">
        <w:rPr>
          <w:lang w:val="en-US"/>
        </w:rPr>
        <w:t xml:space="preserve"> </w:t>
      </w:r>
      <w:proofErr w:type="spellStart"/>
      <w:r w:rsidRPr="00482177">
        <w:rPr>
          <w:lang w:val="en-US"/>
        </w:rPr>
        <w:t>altro</w:t>
      </w:r>
      <w:proofErr w:type="spellEnd"/>
      <w:r w:rsidRPr="00482177">
        <w:rPr>
          <w:lang w:val="en-US"/>
        </w:rPr>
        <w:t xml:space="preserve">.” Alberti, </w:t>
      </w:r>
      <w:r w:rsidRPr="00482177">
        <w:rPr>
          <w:i/>
          <w:iCs/>
          <w:lang w:val="en-US"/>
        </w:rPr>
        <w:t xml:space="preserve">I libri </w:t>
      </w:r>
      <w:proofErr w:type="spellStart"/>
      <w:r w:rsidRPr="00482177">
        <w:rPr>
          <w:i/>
          <w:iCs/>
          <w:lang w:val="en-US"/>
        </w:rPr>
        <w:t>della</w:t>
      </w:r>
      <w:proofErr w:type="spellEnd"/>
      <w:r w:rsidRPr="00482177">
        <w:rPr>
          <w:i/>
          <w:iCs/>
          <w:lang w:val="en-US"/>
        </w:rPr>
        <w:t xml:space="preserve"> </w:t>
      </w:r>
      <w:proofErr w:type="spellStart"/>
      <w:r w:rsidRPr="00482177">
        <w:rPr>
          <w:i/>
          <w:iCs/>
          <w:lang w:val="en-US"/>
        </w:rPr>
        <w:t>famiglia</w:t>
      </w:r>
      <w:proofErr w:type="spellEnd"/>
      <w:r w:rsidRPr="00482177">
        <w:rPr>
          <w:lang w:val="en-US"/>
        </w:rPr>
        <w:t>, 44; Quoted in Hairston, “The Economics of Milk and Blood,” 205.</w:t>
      </w:r>
    </w:p>
  </w:footnote>
  <w:footnote w:id="21">
    <w:p w14:paraId="61A7CC07" w14:textId="77777777" w:rsidR="00182EED" w:rsidRDefault="00182EED" w:rsidP="001840E8">
      <w:pPr>
        <w:pStyle w:val="FootnoteText"/>
      </w:pPr>
      <w:r w:rsidRPr="00391186">
        <w:rPr>
          <w:rStyle w:val="FootnoteReference"/>
        </w:rPr>
        <w:footnoteRef/>
      </w:r>
      <w:r>
        <w:t xml:space="preserve"> </w:t>
      </w:r>
      <w:r w:rsidRPr="002F79C8">
        <w:rPr>
          <w:lang w:val="en-US"/>
        </w:rPr>
        <w:t>Hairston, “The Economics of Milk and Blood,” 203.</w:t>
      </w:r>
    </w:p>
  </w:footnote>
  <w:footnote w:id="22">
    <w:p w14:paraId="7D4B024E" w14:textId="77777777" w:rsidR="00182EED" w:rsidRDefault="00182EED" w:rsidP="001840E8">
      <w:pPr>
        <w:pStyle w:val="FootnoteText"/>
      </w:pPr>
      <w:r w:rsidRPr="00391186">
        <w:rPr>
          <w:rStyle w:val="FootnoteReference"/>
        </w:rPr>
        <w:footnoteRef/>
      </w:r>
      <w:r>
        <w:t xml:space="preserve"> </w:t>
      </w:r>
      <w:r w:rsidRPr="00B10B1C">
        <w:rPr>
          <w:lang w:val="en-US"/>
        </w:rPr>
        <w:t xml:space="preserve">On modern editions of </w:t>
      </w:r>
      <w:r w:rsidRPr="00B10B1C">
        <w:rPr>
          <w:i/>
          <w:iCs/>
          <w:lang w:val="en-US"/>
        </w:rPr>
        <w:t xml:space="preserve">I libri </w:t>
      </w:r>
      <w:proofErr w:type="spellStart"/>
      <w:r w:rsidRPr="00B10B1C">
        <w:rPr>
          <w:i/>
          <w:iCs/>
          <w:lang w:val="en-US"/>
        </w:rPr>
        <w:t>della</w:t>
      </w:r>
      <w:proofErr w:type="spellEnd"/>
      <w:r w:rsidRPr="00B10B1C">
        <w:rPr>
          <w:i/>
          <w:iCs/>
          <w:lang w:val="en-US"/>
        </w:rPr>
        <w:t xml:space="preserve"> </w:t>
      </w:r>
      <w:proofErr w:type="spellStart"/>
      <w:r w:rsidRPr="00B10B1C">
        <w:rPr>
          <w:i/>
          <w:iCs/>
          <w:lang w:val="en-US"/>
        </w:rPr>
        <w:t>famiglia</w:t>
      </w:r>
      <w:proofErr w:type="spellEnd"/>
      <w:r w:rsidRPr="00B10B1C">
        <w:rPr>
          <w:lang w:val="en-US"/>
        </w:rPr>
        <w:t xml:space="preserve">, see Cecil Grayson, “Notes on the Texts of Some Vernacular Works of Leon Battista Alberti,” in </w:t>
      </w:r>
      <w:proofErr w:type="spellStart"/>
      <w:r w:rsidRPr="00B10B1C">
        <w:rPr>
          <w:i/>
          <w:iCs/>
          <w:lang w:val="en-US"/>
        </w:rPr>
        <w:t>Studi</w:t>
      </w:r>
      <w:proofErr w:type="spellEnd"/>
      <w:r w:rsidRPr="00B10B1C">
        <w:rPr>
          <w:i/>
          <w:iCs/>
          <w:lang w:val="en-US"/>
        </w:rPr>
        <w:t xml:space="preserve"> </w:t>
      </w:r>
      <w:proofErr w:type="spellStart"/>
      <w:r w:rsidRPr="00B10B1C">
        <w:rPr>
          <w:i/>
          <w:iCs/>
          <w:lang w:val="en-US"/>
        </w:rPr>
        <w:t>Su</w:t>
      </w:r>
      <w:proofErr w:type="spellEnd"/>
      <w:r w:rsidRPr="00B10B1C">
        <w:rPr>
          <w:i/>
          <w:iCs/>
          <w:lang w:val="en-US"/>
        </w:rPr>
        <w:t xml:space="preserve"> Leon Battista Alberti</w:t>
      </w:r>
      <w:r w:rsidRPr="00B10B1C">
        <w:rPr>
          <w:lang w:val="en-US"/>
        </w:rPr>
        <w:t xml:space="preserve">, ed. Paola </w:t>
      </w:r>
      <w:proofErr w:type="spellStart"/>
      <w:r w:rsidRPr="00B10B1C">
        <w:rPr>
          <w:lang w:val="en-US"/>
        </w:rPr>
        <w:t>Claut</w:t>
      </w:r>
      <w:proofErr w:type="spellEnd"/>
      <w:r w:rsidRPr="00B10B1C">
        <w:rPr>
          <w:lang w:val="en-US"/>
        </w:rPr>
        <w:t xml:space="preserve"> (Florence: </w:t>
      </w:r>
      <w:proofErr w:type="spellStart"/>
      <w:r w:rsidRPr="00B10B1C">
        <w:rPr>
          <w:lang w:val="en-US"/>
        </w:rPr>
        <w:t>Olschki</w:t>
      </w:r>
      <w:proofErr w:type="spellEnd"/>
      <w:r w:rsidRPr="00B10B1C">
        <w:rPr>
          <w:lang w:val="en-US"/>
        </w:rPr>
        <w:t xml:space="preserve">, 1998), 7-43.; The third book of this treatise, on household management, enjoyed more popularity than the complete work, and circulated in manuscript and printed form under the title </w:t>
      </w:r>
      <w:proofErr w:type="spellStart"/>
      <w:r w:rsidRPr="00B10B1C">
        <w:rPr>
          <w:i/>
          <w:iCs/>
          <w:lang w:val="en-US"/>
        </w:rPr>
        <w:t>Governo</w:t>
      </w:r>
      <w:proofErr w:type="spellEnd"/>
      <w:r w:rsidRPr="00B10B1C">
        <w:rPr>
          <w:i/>
          <w:iCs/>
          <w:lang w:val="en-US"/>
        </w:rPr>
        <w:t xml:space="preserve"> </w:t>
      </w:r>
      <w:proofErr w:type="spellStart"/>
      <w:r w:rsidRPr="00B10B1C">
        <w:rPr>
          <w:i/>
          <w:iCs/>
          <w:lang w:val="en-US"/>
        </w:rPr>
        <w:t>della</w:t>
      </w:r>
      <w:proofErr w:type="spellEnd"/>
      <w:r w:rsidRPr="00B10B1C">
        <w:rPr>
          <w:i/>
          <w:iCs/>
          <w:lang w:val="en-US"/>
        </w:rPr>
        <w:t xml:space="preserve"> </w:t>
      </w:r>
      <w:proofErr w:type="spellStart"/>
      <w:r w:rsidRPr="00B10B1C">
        <w:rPr>
          <w:i/>
          <w:iCs/>
          <w:lang w:val="en-US"/>
        </w:rPr>
        <w:t>famiglia</w:t>
      </w:r>
      <w:proofErr w:type="spellEnd"/>
      <w:r w:rsidRPr="00B10B1C">
        <w:rPr>
          <w:lang w:val="en-US"/>
        </w:rPr>
        <w:t xml:space="preserve"> with attribution to </w:t>
      </w:r>
      <w:proofErr w:type="spellStart"/>
      <w:r w:rsidRPr="00B10B1C">
        <w:rPr>
          <w:lang w:val="en-US"/>
        </w:rPr>
        <w:t>Agnolo</w:t>
      </w:r>
      <w:proofErr w:type="spellEnd"/>
      <w:r w:rsidRPr="00B10B1C">
        <w:rPr>
          <w:lang w:val="en-US"/>
        </w:rPr>
        <w:t xml:space="preserve"> </w:t>
      </w:r>
      <w:proofErr w:type="spellStart"/>
      <w:r w:rsidRPr="00B10B1C">
        <w:rPr>
          <w:lang w:val="en-US"/>
        </w:rPr>
        <w:t>Pandolfini</w:t>
      </w:r>
      <w:proofErr w:type="spellEnd"/>
      <w:r w:rsidRPr="00B10B1C">
        <w:rPr>
          <w:lang w:val="en-US"/>
        </w:rPr>
        <w:t xml:space="preserve">. See David Marsh, “Alberti, Leon Battista,” in </w:t>
      </w:r>
      <w:r w:rsidRPr="00B10B1C">
        <w:rPr>
          <w:i/>
          <w:iCs/>
          <w:lang w:val="en-US"/>
        </w:rPr>
        <w:t>Encyclopedia of the Renaissance</w:t>
      </w:r>
      <w:r w:rsidRPr="00B10B1C">
        <w:rPr>
          <w:lang w:val="en-US"/>
        </w:rPr>
        <w:t xml:space="preserve">, ed. Paul F. </w:t>
      </w:r>
      <w:proofErr w:type="spellStart"/>
      <w:r w:rsidRPr="00B10B1C">
        <w:rPr>
          <w:lang w:val="en-US"/>
        </w:rPr>
        <w:t>Grendler</w:t>
      </w:r>
      <w:proofErr w:type="spellEnd"/>
      <w:r w:rsidRPr="00B10B1C">
        <w:rPr>
          <w:lang w:val="en-US"/>
        </w:rPr>
        <w:t>, vol. 1 (New York: Charles Scribner’s Sons, 1999), 28.</w:t>
      </w:r>
    </w:p>
  </w:footnote>
  <w:footnote w:id="23">
    <w:p w14:paraId="41A45B67" w14:textId="77777777" w:rsidR="00182EED" w:rsidRDefault="00182EED" w:rsidP="001840E8">
      <w:pPr>
        <w:pStyle w:val="FootnoteText"/>
      </w:pPr>
      <w:r w:rsidRPr="00391186">
        <w:rPr>
          <w:rStyle w:val="FootnoteReference"/>
        </w:rPr>
        <w:footnoteRef/>
      </w:r>
      <w:r>
        <w:t xml:space="preserve"> </w:t>
      </w:r>
      <w:proofErr w:type="spellStart"/>
      <w:r w:rsidRPr="00391186">
        <w:rPr>
          <w:lang w:val="en-US"/>
        </w:rPr>
        <w:t>Barbaro</w:t>
      </w:r>
      <w:proofErr w:type="spellEnd"/>
      <w:r w:rsidRPr="00391186">
        <w:rPr>
          <w:lang w:val="en-US"/>
        </w:rPr>
        <w:t>, “</w:t>
      </w:r>
      <w:r w:rsidRPr="00391186">
        <w:rPr>
          <w:i/>
          <w:iCs/>
          <w:lang w:val="en-US"/>
        </w:rPr>
        <w:t xml:space="preserve">De </w:t>
      </w:r>
      <w:proofErr w:type="spellStart"/>
      <w:r w:rsidRPr="00391186">
        <w:rPr>
          <w:i/>
          <w:iCs/>
          <w:lang w:val="en-US"/>
        </w:rPr>
        <w:t>Liberorum</w:t>
      </w:r>
      <w:proofErr w:type="spellEnd"/>
      <w:r w:rsidRPr="00391186">
        <w:rPr>
          <w:i/>
          <w:iCs/>
          <w:lang w:val="en-US"/>
        </w:rPr>
        <w:t xml:space="preserve"> </w:t>
      </w:r>
      <w:proofErr w:type="spellStart"/>
      <w:r w:rsidRPr="00391186">
        <w:rPr>
          <w:i/>
          <w:iCs/>
          <w:lang w:val="en-US"/>
        </w:rPr>
        <w:t>Educatione</w:t>
      </w:r>
      <w:proofErr w:type="spellEnd"/>
      <w:r w:rsidRPr="00391186">
        <w:rPr>
          <w:lang w:val="en-US"/>
        </w:rPr>
        <w:t xml:space="preserve"> Dal </w:t>
      </w:r>
      <w:r w:rsidRPr="00391186">
        <w:rPr>
          <w:i/>
          <w:iCs/>
          <w:lang w:val="en-US"/>
        </w:rPr>
        <w:t xml:space="preserve">De Re </w:t>
      </w:r>
      <w:proofErr w:type="spellStart"/>
      <w:r w:rsidRPr="00391186">
        <w:rPr>
          <w:i/>
          <w:iCs/>
          <w:lang w:val="en-US"/>
        </w:rPr>
        <w:t>Uxoria</w:t>
      </w:r>
      <w:proofErr w:type="spellEnd"/>
      <w:r w:rsidRPr="00391186">
        <w:rPr>
          <w:lang w:val="en-US"/>
        </w:rPr>
        <w:t xml:space="preserve">,” 139–45; For the English translation, see </w:t>
      </w:r>
      <w:proofErr w:type="spellStart"/>
      <w:r w:rsidRPr="00391186">
        <w:rPr>
          <w:lang w:val="en-US"/>
        </w:rPr>
        <w:t>Barbaro</w:t>
      </w:r>
      <w:proofErr w:type="spellEnd"/>
      <w:r w:rsidRPr="00391186">
        <w:rPr>
          <w:lang w:val="en-US"/>
        </w:rPr>
        <w:t>, “On Wifely Duties,” 223.</w:t>
      </w:r>
    </w:p>
  </w:footnote>
  <w:footnote w:id="24">
    <w:p w14:paraId="59535C01" w14:textId="77777777" w:rsidR="00182EED" w:rsidRDefault="00182EED" w:rsidP="001840E8">
      <w:pPr>
        <w:pStyle w:val="FootnoteText"/>
      </w:pPr>
      <w:r w:rsidRPr="00391186">
        <w:rPr>
          <w:rStyle w:val="FootnoteReference"/>
        </w:rPr>
        <w:footnoteRef/>
      </w:r>
      <w:r>
        <w:t xml:space="preserve"> </w:t>
      </w:r>
      <w:r w:rsidRPr="00B15A10">
        <w:rPr>
          <w:lang w:val="en-US"/>
        </w:rPr>
        <w:t>“</w:t>
      </w:r>
      <w:proofErr w:type="spellStart"/>
      <w:r w:rsidRPr="00B15A10">
        <w:rPr>
          <w:lang w:val="en-US"/>
        </w:rPr>
        <w:t>Fuisset</w:t>
      </w:r>
      <w:proofErr w:type="spellEnd"/>
      <w:r w:rsidRPr="00B15A10">
        <w:rPr>
          <w:lang w:val="en-US"/>
        </w:rPr>
        <w:t xml:space="preserve"> </w:t>
      </w:r>
      <w:proofErr w:type="spellStart"/>
      <w:r w:rsidRPr="00B15A10">
        <w:rPr>
          <w:lang w:val="en-US"/>
        </w:rPr>
        <w:t>igitur</w:t>
      </w:r>
      <w:proofErr w:type="spellEnd"/>
      <w:r w:rsidRPr="00B15A10">
        <w:rPr>
          <w:lang w:val="en-US"/>
        </w:rPr>
        <w:t xml:space="preserve"> ab </w:t>
      </w:r>
      <w:proofErr w:type="spellStart"/>
      <w:r w:rsidRPr="00B15A10">
        <w:rPr>
          <w:lang w:val="en-US"/>
        </w:rPr>
        <w:t>ipsis</w:t>
      </w:r>
      <w:proofErr w:type="spellEnd"/>
      <w:r w:rsidRPr="00B15A10">
        <w:rPr>
          <w:lang w:val="en-US"/>
        </w:rPr>
        <w:t xml:space="preserve"> </w:t>
      </w:r>
      <w:proofErr w:type="spellStart"/>
      <w:r w:rsidRPr="00B15A10">
        <w:rPr>
          <w:lang w:val="en-US"/>
        </w:rPr>
        <w:t>cunabulis</w:t>
      </w:r>
      <w:proofErr w:type="spellEnd"/>
      <w:r w:rsidRPr="00B15A10">
        <w:rPr>
          <w:lang w:val="en-US"/>
        </w:rPr>
        <w:t xml:space="preserve"> </w:t>
      </w:r>
      <w:proofErr w:type="spellStart"/>
      <w:r w:rsidRPr="00B15A10">
        <w:rPr>
          <w:lang w:val="en-US"/>
        </w:rPr>
        <w:t>incipiendum</w:t>
      </w:r>
      <w:proofErr w:type="spellEnd"/>
      <w:r w:rsidRPr="00B15A10">
        <w:rPr>
          <w:lang w:val="en-US"/>
        </w:rPr>
        <w:t xml:space="preserve">, </w:t>
      </w:r>
      <w:proofErr w:type="spellStart"/>
      <w:r w:rsidRPr="00B15A10">
        <w:rPr>
          <w:lang w:val="en-US"/>
        </w:rPr>
        <w:t>ut</w:t>
      </w:r>
      <w:proofErr w:type="spellEnd"/>
      <w:r w:rsidRPr="00B15A10">
        <w:rPr>
          <w:lang w:val="en-US"/>
        </w:rPr>
        <w:t xml:space="preserve"> </w:t>
      </w:r>
      <w:proofErr w:type="spellStart"/>
      <w:r w:rsidRPr="00B15A10">
        <w:rPr>
          <w:lang w:val="en-US"/>
        </w:rPr>
        <w:t>nutrices</w:t>
      </w:r>
      <w:proofErr w:type="spellEnd"/>
      <w:r w:rsidRPr="00B15A10">
        <w:rPr>
          <w:lang w:val="en-US"/>
        </w:rPr>
        <w:t xml:space="preserve"> </w:t>
      </w:r>
      <w:proofErr w:type="spellStart"/>
      <w:r w:rsidRPr="00B15A10">
        <w:rPr>
          <w:lang w:val="en-US"/>
        </w:rPr>
        <w:t>etiam</w:t>
      </w:r>
      <w:proofErr w:type="spellEnd"/>
      <w:r w:rsidRPr="00B15A10">
        <w:rPr>
          <w:lang w:val="en-US"/>
        </w:rPr>
        <w:t xml:space="preserve"> </w:t>
      </w:r>
      <w:proofErr w:type="spellStart"/>
      <w:r w:rsidRPr="00B15A10">
        <w:rPr>
          <w:lang w:val="en-US"/>
        </w:rPr>
        <w:t>nonnihil</w:t>
      </w:r>
      <w:proofErr w:type="spellEnd"/>
      <w:r w:rsidRPr="00B15A10">
        <w:rPr>
          <w:lang w:val="en-US"/>
        </w:rPr>
        <w:t xml:space="preserve"> </w:t>
      </w:r>
      <w:proofErr w:type="spellStart"/>
      <w:r w:rsidRPr="00B15A10">
        <w:rPr>
          <w:lang w:val="en-US"/>
        </w:rPr>
        <w:t>tibi</w:t>
      </w:r>
      <w:proofErr w:type="spellEnd"/>
      <w:r w:rsidRPr="00B15A10">
        <w:rPr>
          <w:lang w:val="en-US"/>
        </w:rPr>
        <w:t xml:space="preserve"> </w:t>
      </w:r>
      <w:proofErr w:type="spellStart"/>
      <w:r w:rsidRPr="00B15A10">
        <w:rPr>
          <w:lang w:val="en-US"/>
        </w:rPr>
        <w:t>contulissent</w:t>
      </w:r>
      <w:proofErr w:type="spellEnd"/>
      <w:r w:rsidRPr="00B15A10">
        <w:rPr>
          <w:lang w:val="en-US"/>
        </w:rPr>
        <w:t xml:space="preserve">; </w:t>
      </w:r>
      <w:proofErr w:type="spellStart"/>
      <w:r w:rsidRPr="00B15A10">
        <w:rPr>
          <w:lang w:val="en-US"/>
        </w:rPr>
        <w:t>quas</w:t>
      </w:r>
      <w:proofErr w:type="spellEnd"/>
      <w:r w:rsidRPr="00B15A10">
        <w:rPr>
          <w:lang w:val="en-US"/>
        </w:rPr>
        <w:t xml:space="preserve">, </w:t>
      </w:r>
      <w:proofErr w:type="spellStart"/>
      <w:r w:rsidRPr="00B15A10">
        <w:rPr>
          <w:lang w:val="en-US"/>
        </w:rPr>
        <w:t>si</w:t>
      </w:r>
      <w:proofErr w:type="spellEnd"/>
      <w:r w:rsidRPr="00B15A10">
        <w:rPr>
          <w:lang w:val="en-US"/>
        </w:rPr>
        <w:t xml:space="preserve"> </w:t>
      </w:r>
      <w:proofErr w:type="spellStart"/>
      <w:r w:rsidRPr="00B15A10">
        <w:rPr>
          <w:lang w:val="en-US"/>
        </w:rPr>
        <w:t>fieri</w:t>
      </w:r>
      <w:proofErr w:type="spellEnd"/>
      <w:r w:rsidRPr="00B15A10">
        <w:rPr>
          <w:lang w:val="en-US"/>
        </w:rPr>
        <w:t xml:space="preserve"> posset … ne quid ab </w:t>
      </w:r>
      <w:proofErr w:type="spellStart"/>
      <w:r w:rsidRPr="00B15A10">
        <w:rPr>
          <w:lang w:val="en-US"/>
        </w:rPr>
        <w:t>illis</w:t>
      </w:r>
      <w:proofErr w:type="spellEnd"/>
      <w:r w:rsidRPr="00B15A10">
        <w:rPr>
          <w:lang w:val="en-US"/>
        </w:rPr>
        <w:t xml:space="preserve"> </w:t>
      </w:r>
      <w:proofErr w:type="spellStart"/>
      <w:r w:rsidRPr="00B15A10">
        <w:rPr>
          <w:lang w:val="en-US"/>
        </w:rPr>
        <w:t>contagionis</w:t>
      </w:r>
      <w:proofErr w:type="spellEnd"/>
      <w:r w:rsidRPr="00B15A10">
        <w:rPr>
          <w:lang w:val="en-US"/>
        </w:rPr>
        <w:t xml:space="preserve"> </w:t>
      </w:r>
      <w:proofErr w:type="spellStart"/>
      <w:r w:rsidRPr="00B15A10">
        <w:rPr>
          <w:lang w:val="en-US"/>
        </w:rPr>
        <w:t>contrahi</w:t>
      </w:r>
      <w:proofErr w:type="spellEnd"/>
      <w:r w:rsidRPr="00B15A10">
        <w:rPr>
          <w:lang w:val="en-US"/>
        </w:rPr>
        <w:t xml:space="preserve"> posset: </w:t>
      </w:r>
      <w:proofErr w:type="spellStart"/>
      <w:r w:rsidRPr="00B15A10">
        <w:rPr>
          <w:lang w:val="en-US"/>
        </w:rPr>
        <w:t>deteriora</w:t>
      </w:r>
      <w:proofErr w:type="spellEnd"/>
      <w:r w:rsidRPr="00B15A10">
        <w:rPr>
          <w:lang w:val="en-US"/>
        </w:rPr>
        <w:t xml:space="preserve"> </w:t>
      </w:r>
      <w:proofErr w:type="spellStart"/>
      <w:r w:rsidRPr="00B15A10">
        <w:rPr>
          <w:lang w:val="en-US"/>
        </w:rPr>
        <w:t>namque</w:t>
      </w:r>
      <w:proofErr w:type="spellEnd"/>
      <w:r w:rsidRPr="00B15A10">
        <w:rPr>
          <w:lang w:val="en-US"/>
        </w:rPr>
        <w:t xml:space="preserve"> pertinacious </w:t>
      </w:r>
      <w:proofErr w:type="spellStart"/>
      <w:r w:rsidRPr="00B15A10">
        <w:rPr>
          <w:lang w:val="en-US"/>
        </w:rPr>
        <w:t>haerent</w:t>
      </w:r>
      <w:proofErr w:type="spellEnd"/>
      <w:r w:rsidRPr="00B15A10">
        <w:rPr>
          <w:lang w:val="en-US"/>
        </w:rPr>
        <w:t xml:space="preserve">, et bona facile </w:t>
      </w:r>
      <w:proofErr w:type="spellStart"/>
      <w:r w:rsidRPr="00B15A10">
        <w:rPr>
          <w:lang w:val="en-US"/>
        </w:rPr>
        <w:t>mutantur</w:t>
      </w:r>
      <w:proofErr w:type="spellEnd"/>
      <w:r w:rsidRPr="00B15A10">
        <w:rPr>
          <w:lang w:val="en-US"/>
        </w:rPr>
        <w:t xml:space="preserve"> in </w:t>
      </w:r>
      <w:proofErr w:type="spellStart"/>
      <w:r w:rsidRPr="00B15A10">
        <w:rPr>
          <w:lang w:val="en-US"/>
        </w:rPr>
        <w:t>peius</w:t>
      </w:r>
      <w:proofErr w:type="spellEnd"/>
      <w:r w:rsidRPr="00B15A10">
        <w:rPr>
          <w:lang w:val="en-US"/>
        </w:rPr>
        <w:t xml:space="preserve">.” Aeneas Silvius </w:t>
      </w:r>
      <w:proofErr w:type="spellStart"/>
      <w:r w:rsidRPr="00B15A10">
        <w:rPr>
          <w:lang w:val="en-US"/>
        </w:rPr>
        <w:t>Piccolomini</w:t>
      </w:r>
      <w:proofErr w:type="spellEnd"/>
      <w:r w:rsidRPr="00B15A10">
        <w:rPr>
          <w:lang w:val="en-US"/>
        </w:rPr>
        <w:t xml:space="preserve">, “De </w:t>
      </w:r>
      <w:proofErr w:type="spellStart"/>
      <w:r w:rsidRPr="00B15A10">
        <w:rPr>
          <w:lang w:val="en-US"/>
        </w:rPr>
        <w:t>Liberorum</w:t>
      </w:r>
      <w:proofErr w:type="spellEnd"/>
      <w:r w:rsidRPr="00B15A10">
        <w:rPr>
          <w:lang w:val="en-US"/>
        </w:rPr>
        <w:t xml:space="preserve"> </w:t>
      </w:r>
      <w:proofErr w:type="spellStart"/>
      <w:r w:rsidRPr="00B15A10">
        <w:rPr>
          <w:lang w:val="en-US"/>
        </w:rPr>
        <w:t>Educatione</w:t>
      </w:r>
      <w:proofErr w:type="spellEnd"/>
      <w:r w:rsidRPr="00B15A10">
        <w:rPr>
          <w:lang w:val="en-US"/>
        </w:rPr>
        <w:t xml:space="preserve">,” in </w:t>
      </w:r>
      <w:r w:rsidRPr="00B15A10">
        <w:rPr>
          <w:i/>
          <w:iCs/>
          <w:lang w:val="en-US"/>
        </w:rPr>
        <w:t>Humanist Educational Treatises</w:t>
      </w:r>
      <w:r w:rsidRPr="00B15A10">
        <w:rPr>
          <w:lang w:val="en-US"/>
        </w:rPr>
        <w:t xml:space="preserve">, ed. and trans. Craig W. </w:t>
      </w:r>
      <w:proofErr w:type="spellStart"/>
      <w:r w:rsidRPr="00B15A10">
        <w:rPr>
          <w:lang w:val="en-US"/>
        </w:rPr>
        <w:t>Kallendorf</w:t>
      </w:r>
      <w:proofErr w:type="spellEnd"/>
      <w:r w:rsidRPr="00B15A10">
        <w:rPr>
          <w:lang w:val="en-US"/>
        </w:rPr>
        <w:t xml:space="preserve"> (Cambridge, MA, and London: Harvard University Press, 2002), 162–63.</w:t>
      </w:r>
    </w:p>
  </w:footnote>
  <w:footnote w:id="25">
    <w:p w14:paraId="6DFD672E" w14:textId="77777777" w:rsidR="00182EED" w:rsidRDefault="00182EED" w:rsidP="001840E8">
      <w:pPr>
        <w:pStyle w:val="FootnoteText"/>
      </w:pPr>
      <w:r w:rsidRPr="00391186">
        <w:rPr>
          <w:rStyle w:val="FootnoteReference"/>
        </w:rPr>
        <w:footnoteRef/>
      </w:r>
      <w:r>
        <w:t xml:space="preserve"> </w:t>
      </w:r>
      <w:r w:rsidRPr="00482177">
        <w:rPr>
          <w:lang w:val="en-US"/>
        </w:rPr>
        <w:t xml:space="preserve">Woodward mentions an edition published around 1475 in Cologne; see Woodward, </w:t>
      </w:r>
      <w:proofErr w:type="spellStart"/>
      <w:r w:rsidRPr="00482177">
        <w:rPr>
          <w:i/>
          <w:iCs/>
          <w:lang w:val="en-US"/>
        </w:rPr>
        <w:t>Vittorino</w:t>
      </w:r>
      <w:proofErr w:type="spellEnd"/>
      <w:r w:rsidRPr="00482177">
        <w:rPr>
          <w:i/>
          <w:iCs/>
          <w:lang w:val="en-US"/>
        </w:rPr>
        <w:t xml:space="preserve"> da Feltre</w:t>
      </w:r>
      <w:r w:rsidRPr="00482177">
        <w:rPr>
          <w:lang w:val="en-US"/>
        </w:rPr>
        <w:t xml:space="preserve">, 134–35. </w:t>
      </w:r>
      <w:proofErr w:type="spellStart"/>
      <w:r w:rsidRPr="00482177">
        <w:rPr>
          <w:i/>
          <w:iCs/>
          <w:lang w:val="en-US"/>
        </w:rPr>
        <w:t>Iter</w:t>
      </w:r>
      <w:proofErr w:type="spellEnd"/>
      <w:r w:rsidRPr="00482177">
        <w:rPr>
          <w:i/>
          <w:iCs/>
          <w:lang w:val="en-US"/>
        </w:rPr>
        <w:t xml:space="preserve"> </w:t>
      </w:r>
      <w:proofErr w:type="spellStart"/>
      <w:r w:rsidRPr="00482177">
        <w:rPr>
          <w:i/>
          <w:iCs/>
          <w:lang w:val="en-US"/>
        </w:rPr>
        <w:t>Italicum</w:t>
      </w:r>
      <w:proofErr w:type="spellEnd"/>
      <w:r w:rsidRPr="00482177">
        <w:rPr>
          <w:lang w:val="en-US"/>
        </w:rPr>
        <w:t xml:space="preserve"> lists one manuscript copy in Florence, </w:t>
      </w:r>
      <w:proofErr w:type="spellStart"/>
      <w:r w:rsidRPr="00482177">
        <w:rPr>
          <w:lang w:val="en-US"/>
        </w:rPr>
        <w:t>Biblioteca</w:t>
      </w:r>
      <w:proofErr w:type="spellEnd"/>
      <w:r w:rsidRPr="00482177">
        <w:rPr>
          <w:lang w:val="en-US"/>
        </w:rPr>
        <w:t xml:space="preserve"> Nazionale Centrale.</w:t>
      </w:r>
    </w:p>
  </w:footnote>
  <w:footnote w:id="26">
    <w:p w14:paraId="2D6C413B" w14:textId="77777777" w:rsidR="00182EED" w:rsidRDefault="00182EED" w:rsidP="001840E8">
      <w:pPr>
        <w:pStyle w:val="FootnoteText"/>
      </w:pPr>
      <w:r w:rsidRPr="00391186">
        <w:rPr>
          <w:rStyle w:val="FootnoteReference"/>
        </w:rPr>
        <w:footnoteRef/>
      </w:r>
      <w:r>
        <w:t xml:space="preserve"> </w:t>
      </w:r>
      <w:proofErr w:type="spellStart"/>
      <w:r w:rsidRPr="005D6B2D">
        <w:rPr>
          <w:lang w:val="en-US"/>
        </w:rPr>
        <w:t>Maffeo</w:t>
      </w:r>
      <w:proofErr w:type="spellEnd"/>
      <w:r w:rsidRPr="005D6B2D">
        <w:rPr>
          <w:lang w:val="en-US"/>
        </w:rPr>
        <w:t xml:space="preserve"> </w:t>
      </w:r>
      <w:proofErr w:type="spellStart"/>
      <w:r w:rsidRPr="005D6B2D">
        <w:rPr>
          <w:lang w:val="en-US"/>
        </w:rPr>
        <w:t>Vegio</w:t>
      </w:r>
      <w:proofErr w:type="spellEnd"/>
      <w:r w:rsidRPr="005D6B2D">
        <w:rPr>
          <w:lang w:val="en-US"/>
        </w:rPr>
        <w:t xml:space="preserve"> (</w:t>
      </w:r>
      <w:proofErr w:type="spellStart"/>
      <w:r w:rsidRPr="005D6B2D">
        <w:rPr>
          <w:lang w:val="en-US"/>
        </w:rPr>
        <w:t>Maphei</w:t>
      </w:r>
      <w:proofErr w:type="spellEnd"/>
      <w:r w:rsidRPr="005D6B2D">
        <w:rPr>
          <w:lang w:val="en-US"/>
        </w:rPr>
        <w:t xml:space="preserve"> </w:t>
      </w:r>
      <w:proofErr w:type="spellStart"/>
      <w:r w:rsidRPr="005D6B2D">
        <w:rPr>
          <w:lang w:val="en-US"/>
        </w:rPr>
        <w:t>Vegii</w:t>
      </w:r>
      <w:proofErr w:type="spellEnd"/>
      <w:r w:rsidRPr="005D6B2D">
        <w:rPr>
          <w:lang w:val="en-US"/>
        </w:rPr>
        <w:t xml:space="preserve"> </w:t>
      </w:r>
      <w:proofErr w:type="spellStart"/>
      <w:r w:rsidRPr="005D6B2D">
        <w:rPr>
          <w:lang w:val="en-US"/>
        </w:rPr>
        <w:t>Laudensis</w:t>
      </w:r>
      <w:proofErr w:type="spellEnd"/>
      <w:r w:rsidRPr="005D6B2D">
        <w:rPr>
          <w:lang w:val="en-US"/>
        </w:rPr>
        <w:t xml:space="preserve">), “De </w:t>
      </w:r>
      <w:proofErr w:type="spellStart"/>
      <w:r w:rsidRPr="005D6B2D">
        <w:rPr>
          <w:lang w:val="en-US"/>
        </w:rPr>
        <w:t>Educatione</w:t>
      </w:r>
      <w:proofErr w:type="spellEnd"/>
      <w:r w:rsidRPr="005D6B2D">
        <w:rPr>
          <w:lang w:val="en-US"/>
        </w:rPr>
        <w:t xml:space="preserve"> </w:t>
      </w:r>
      <w:proofErr w:type="spellStart"/>
      <w:r w:rsidRPr="005D6B2D">
        <w:rPr>
          <w:lang w:val="en-US"/>
        </w:rPr>
        <w:t>Liberorum</w:t>
      </w:r>
      <w:proofErr w:type="spellEnd"/>
      <w:r w:rsidRPr="005D6B2D">
        <w:rPr>
          <w:lang w:val="en-US"/>
        </w:rPr>
        <w:t xml:space="preserve">,” 1.IV, 25–26; Also quoted in an Italian translation in </w:t>
      </w:r>
      <w:proofErr w:type="spellStart"/>
      <w:r w:rsidRPr="005D6B2D">
        <w:rPr>
          <w:lang w:val="en-US"/>
        </w:rPr>
        <w:t>Franzoni</w:t>
      </w:r>
      <w:proofErr w:type="spellEnd"/>
      <w:r w:rsidRPr="005D6B2D">
        <w:rPr>
          <w:lang w:val="en-US"/>
        </w:rPr>
        <w:t xml:space="preserve">, </w:t>
      </w:r>
      <w:proofErr w:type="spellStart"/>
      <w:r w:rsidRPr="005D6B2D">
        <w:rPr>
          <w:i/>
          <w:iCs/>
          <w:lang w:val="en-US"/>
        </w:rPr>
        <w:t>L’opera</w:t>
      </w:r>
      <w:proofErr w:type="spellEnd"/>
      <w:r w:rsidRPr="005D6B2D">
        <w:rPr>
          <w:i/>
          <w:iCs/>
          <w:lang w:val="en-US"/>
        </w:rPr>
        <w:t xml:space="preserve"> </w:t>
      </w:r>
      <w:proofErr w:type="spellStart"/>
      <w:r w:rsidRPr="005D6B2D">
        <w:rPr>
          <w:i/>
          <w:iCs/>
          <w:lang w:val="en-US"/>
        </w:rPr>
        <w:t>pedagogica</w:t>
      </w:r>
      <w:proofErr w:type="spellEnd"/>
      <w:r w:rsidRPr="005D6B2D">
        <w:rPr>
          <w:i/>
          <w:iCs/>
          <w:lang w:val="en-US"/>
        </w:rPr>
        <w:t xml:space="preserve"> de </w:t>
      </w:r>
      <w:proofErr w:type="spellStart"/>
      <w:r w:rsidRPr="005D6B2D">
        <w:rPr>
          <w:i/>
          <w:iCs/>
          <w:lang w:val="en-US"/>
        </w:rPr>
        <w:t>Maffeo</w:t>
      </w:r>
      <w:proofErr w:type="spellEnd"/>
      <w:r w:rsidRPr="005D6B2D">
        <w:rPr>
          <w:i/>
          <w:iCs/>
          <w:lang w:val="en-US"/>
        </w:rPr>
        <w:t xml:space="preserve"> </w:t>
      </w:r>
      <w:proofErr w:type="spellStart"/>
      <w:r w:rsidRPr="005D6B2D">
        <w:rPr>
          <w:i/>
          <w:iCs/>
          <w:lang w:val="en-US"/>
        </w:rPr>
        <w:t>Vegio</w:t>
      </w:r>
      <w:proofErr w:type="spellEnd"/>
      <w:r w:rsidRPr="005D6B2D">
        <w:rPr>
          <w:lang w:val="en-US"/>
        </w:rPr>
        <w:t>, 113.</w:t>
      </w:r>
    </w:p>
  </w:footnote>
  <w:footnote w:id="27">
    <w:p w14:paraId="2D0F2F1B" w14:textId="77777777" w:rsidR="00182EED" w:rsidRDefault="00182EED" w:rsidP="001840E8">
      <w:pPr>
        <w:pStyle w:val="FootnoteText"/>
      </w:pPr>
      <w:r w:rsidRPr="00391186">
        <w:rPr>
          <w:rStyle w:val="FootnoteReference"/>
        </w:rPr>
        <w:footnoteRef/>
      </w:r>
      <w:r>
        <w:t xml:space="preserve"> </w:t>
      </w:r>
      <w:r w:rsidRPr="005D6B2D">
        <w:rPr>
          <w:lang w:val="en-US"/>
        </w:rPr>
        <w:t xml:space="preserve">Savonarola, </w:t>
      </w:r>
      <w:r w:rsidRPr="005D6B2D">
        <w:rPr>
          <w:i/>
          <w:iCs/>
          <w:lang w:val="en-US"/>
        </w:rPr>
        <w:t xml:space="preserve">Il </w:t>
      </w:r>
      <w:proofErr w:type="spellStart"/>
      <w:r w:rsidRPr="005D6B2D">
        <w:rPr>
          <w:i/>
          <w:iCs/>
          <w:lang w:val="en-US"/>
        </w:rPr>
        <w:t>Trattato</w:t>
      </w:r>
      <w:proofErr w:type="spellEnd"/>
      <w:r w:rsidRPr="005D6B2D">
        <w:rPr>
          <w:i/>
          <w:iCs/>
          <w:lang w:val="en-US"/>
        </w:rPr>
        <w:t xml:space="preserve"> </w:t>
      </w:r>
      <w:proofErr w:type="spellStart"/>
      <w:r w:rsidRPr="005D6B2D">
        <w:rPr>
          <w:i/>
          <w:iCs/>
          <w:lang w:val="en-US"/>
        </w:rPr>
        <w:t>Ginecologico-Pediatrico</w:t>
      </w:r>
      <w:proofErr w:type="spellEnd"/>
      <w:r w:rsidRPr="005D6B2D">
        <w:rPr>
          <w:lang w:val="en-US"/>
        </w:rPr>
        <w:t>, 145–47.</w:t>
      </w:r>
    </w:p>
  </w:footnote>
  <w:footnote w:id="28">
    <w:p w14:paraId="3A8EDAE7" w14:textId="77777777" w:rsidR="00182EED" w:rsidRDefault="00182EED" w:rsidP="001840E8">
      <w:pPr>
        <w:pStyle w:val="FootnoteText"/>
      </w:pPr>
      <w:r w:rsidRPr="00391186">
        <w:rPr>
          <w:rStyle w:val="FootnoteReference"/>
        </w:rPr>
        <w:footnoteRef/>
      </w:r>
      <w:r>
        <w:t xml:space="preserve"> </w:t>
      </w:r>
      <w:r w:rsidRPr="005D6B2D">
        <w:rPr>
          <w:lang w:val="en-US"/>
        </w:rPr>
        <w:t>“</w:t>
      </w:r>
      <w:proofErr w:type="spellStart"/>
      <w:r w:rsidRPr="005D6B2D">
        <w:rPr>
          <w:lang w:val="en-US"/>
        </w:rPr>
        <w:t>Temulentia</w:t>
      </w:r>
      <w:proofErr w:type="spellEnd"/>
      <w:r w:rsidRPr="005D6B2D">
        <w:rPr>
          <w:lang w:val="en-US"/>
        </w:rPr>
        <w:t xml:space="preserve">, </w:t>
      </w:r>
      <w:proofErr w:type="spellStart"/>
      <w:r w:rsidRPr="005D6B2D">
        <w:rPr>
          <w:lang w:val="en-US"/>
        </w:rPr>
        <w:t>iracundia</w:t>
      </w:r>
      <w:proofErr w:type="spellEnd"/>
      <w:r w:rsidRPr="005D6B2D">
        <w:rPr>
          <w:lang w:val="en-US"/>
        </w:rPr>
        <w:t xml:space="preserve">, </w:t>
      </w:r>
      <w:proofErr w:type="spellStart"/>
      <w:r w:rsidRPr="005D6B2D">
        <w:rPr>
          <w:lang w:val="en-US"/>
        </w:rPr>
        <w:t>ignavia</w:t>
      </w:r>
      <w:proofErr w:type="spellEnd"/>
      <w:r w:rsidRPr="005D6B2D">
        <w:rPr>
          <w:lang w:val="en-US"/>
        </w:rPr>
        <w:t xml:space="preserve">, torpor et his similia </w:t>
      </w:r>
      <w:proofErr w:type="spellStart"/>
      <w:r w:rsidRPr="005D6B2D">
        <w:rPr>
          <w:lang w:val="en-US"/>
        </w:rPr>
        <w:t>etiam</w:t>
      </w:r>
      <w:proofErr w:type="spellEnd"/>
      <w:r w:rsidRPr="005D6B2D">
        <w:rPr>
          <w:lang w:val="en-US"/>
        </w:rPr>
        <w:t xml:space="preserve"> cum </w:t>
      </w:r>
      <w:proofErr w:type="spellStart"/>
      <w:r w:rsidRPr="005D6B2D">
        <w:rPr>
          <w:lang w:val="en-US"/>
        </w:rPr>
        <w:t>lacte</w:t>
      </w:r>
      <w:proofErr w:type="spellEnd"/>
      <w:r w:rsidRPr="005D6B2D">
        <w:rPr>
          <w:lang w:val="en-US"/>
        </w:rPr>
        <w:t xml:space="preserve"> </w:t>
      </w:r>
      <w:proofErr w:type="spellStart"/>
      <w:r w:rsidRPr="005D6B2D">
        <w:rPr>
          <w:lang w:val="en-US"/>
        </w:rPr>
        <w:t>imbibintur</w:t>
      </w:r>
      <w:proofErr w:type="spellEnd"/>
      <w:r>
        <w:rPr>
          <w:lang w:val="en-US"/>
        </w:rPr>
        <w:t>.</w:t>
      </w:r>
      <w:r w:rsidRPr="005D6B2D">
        <w:rPr>
          <w:lang w:val="en-US"/>
        </w:rPr>
        <w:t>”</w:t>
      </w:r>
      <w:r>
        <w:rPr>
          <w:lang w:val="en-US"/>
        </w:rPr>
        <w:t xml:space="preserve"> </w:t>
      </w:r>
      <w:r w:rsidRPr="005D6B2D">
        <w:rPr>
          <w:lang w:val="en-US"/>
        </w:rPr>
        <w:t xml:space="preserve">Francesco Patrizi da Siena, “De regno et </w:t>
      </w:r>
      <w:proofErr w:type="spellStart"/>
      <w:r w:rsidRPr="005D6B2D">
        <w:rPr>
          <w:lang w:val="en-US"/>
        </w:rPr>
        <w:t>regis</w:t>
      </w:r>
      <w:proofErr w:type="spellEnd"/>
      <w:r w:rsidRPr="005D6B2D">
        <w:rPr>
          <w:lang w:val="en-US"/>
        </w:rPr>
        <w:t xml:space="preserve"> </w:t>
      </w:r>
      <w:proofErr w:type="spellStart"/>
      <w:r w:rsidRPr="005D6B2D">
        <w:rPr>
          <w:lang w:val="en-US"/>
        </w:rPr>
        <w:t>institutionis</w:t>
      </w:r>
      <w:proofErr w:type="spellEnd"/>
      <w:r w:rsidRPr="005D6B2D">
        <w:rPr>
          <w:lang w:val="en-US"/>
        </w:rPr>
        <w:t xml:space="preserve">,” in </w:t>
      </w:r>
      <w:r w:rsidRPr="005D6B2D">
        <w:rPr>
          <w:i/>
          <w:iCs/>
          <w:lang w:val="en-US"/>
        </w:rPr>
        <w:t xml:space="preserve">Il </w:t>
      </w:r>
      <w:proofErr w:type="spellStart"/>
      <w:r w:rsidRPr="005D6B2D">
        <w:rPr>
          <w:i/>
          <w:iCs/>
          <w:lang w:val="en-US"/>
        </w:rPr>
        <w:t>pensiero</w:t>
      </w:r>
      <w:proofErr w:type="spellEnd"/>
      <w:r w:rsidRPr="005D6B2D">
        <w:rPr>
          <w:i/>
          <w:iCs/>
          <w:lang w:val="en-US"/>
        </w:rPr>
        <w:t xml:space="preserve"> </w:t>
      </w:r>
      <w:proofErr w:type="spellStart"/>
      <w:r w:rsidRPr="005D6B2D">
        <w:rPr>
          <w:i/>
          <w:iCs/>
          <w:lang w:val="en-US"/>
        </w:rPr>
        <w:t>pedagogico</w:t>
      </w:r>
      <w:proofErr w:type="spellEnd"/>
      <w:r w:rsidRPr="005D6B2D">
        <w:rPr>
          <w:i/>
          <w:iCs/>
          <w:lang w:val="en-US"/>
        </w:rPr>
        <w:t xml:space="preserve"> del </w:t>
      </w:r>
      <w:proofErr w:type="spellStart"/>
      <w:r w:rsidRPr="005D6B2D">
        <w:rPr>
          <w:i/>
          <w:iCs/>
          <w:lang w:val="en-US"/>
        </w:rPr>
        <w:t>rinascimento</w:t>
      </w:r>
      <w:proofErr w:type="spellEnd"/>
      <w:r w:rsidRPr="005D6B2D">
        <w:rPr>
          <w:lang w:val="en-US"/>
        </w:rPr>
        <w:t xml:space="preserve">, ed. Felice Battaglia (Firenze: </w:t>
      </w:r>
      <w:proofErr w:type="spellStart"/>
      <w:r w:rsidRPr="005D6B2D">
        <w:rPr>
          <w:lang w:val="en-US"/>
        </w:rPr>
        <w:t>Giuntine</w:t>
      </w:r>
      <w:proofErr w:type="spellEnd"/>
      <w:r w:rsidRPr="005D6B2D">
        <w:rPr>
          <w:lang w:val="en-US"/>
        </w:rPr>
        <w:t xml:space="preserve"> : </w:t>
      </w:r>
      <w:proofErr w:type="spellStart"/>
      <w:r w:rsidRPr="005D6B2D">
        <w:rPr>
          <w:lang w:val="en-US"/>
        </w:rPr>
        <w:t>Sansoni</w:t>
      </w:r>
      <w:proofErr w:type="spellEnd"/>
      <w:r w:rsidRPr="005D6B2D">
        <w:rPr>
          <w:lang w:val="en-US"/>
        </w:rPr>
        <w:t>, 1960), 212.</w:t>
      </w:r>
    </w:p>
  </w:footnote>
  <w:footnote w:id="29">
    <w:p w14:paraId="15709D52" w14:textId="77777777" w:rsidR="00182EED" w:rsidRDefault="00182EED">
      <w:pPr>
        <w:pStyle w:val="FootnoteText"/>
      </w:pPr>
      <w:r>
        <w:rPr>
          <w:rStyle w:val="FootnoteReference"/>
        </w:rPr>
        <w:footnoteRef/>
      </w:r>
      <w:r>
        <w:t xml:space="preserve"> </w:t>
      </w:r>
      <w:r w:rsidRPr="00B15A10">
        <w:rPr>
          <w:lang w:val="en-US"/>
        </w:rPr>
        <w:t xml:space="preserve">Christiane </w:t>
      </w:r>
      <w:proofErr w:type="spellStart"/>
      <w:r w:rsidRPr="00B15A10">
        <w:rPr>
          <w:lang w:val="en-US"/>
        </w:rPr>
        <w:t>Klapisch</w:t>
      </w:r>
      <w:proofErr w:type="spellEnd"/>
      <w:r w:rsidRPr="00B15A10">
        <w:rPr>
          <w:lang w:val="en-US"/>
        </w:rPr>
        <w:t xml:space="preserve">-Zuber, </w:t>
      </w:r>
      <w:r w:rsidRPr="00B15A10">
        <w:rPr>
          <w:i/>
          <w:iCs/>
          <w:lang w:val="en-US"/>
        </w:rPr>
        <w:t>Women, Family, and Ritual in Renaissance Italy</w:t>
      </w:r>
      <w:r w:rsidRPr="00B15A10">
        <w:rPr>
          <w:lang w:val="en-US"/>
        </w:rPr>
        <w:t xml:space="preserve">, trans. Lydia Cochrane (Chicago and London: University of Chicago Press, 1985), </w:t>
      </w:r>
      <w:r>
        <w:rPr>
          <w:lang w:val="en-US"/>
        </w:rPr>
        <w:t>132-64.</w:t>
      </w:r>
    </w:p>
  </w:footnote>
  <w:footnote w:id="30">
    <w:p w14:paraId="1C501E9E" w14:textId="77777777" w:rsidR="00182EED" w:rsidRDefault="00182EED">
      <w:pPr>
        <w:pStyle w:val="FootnoteText"/>
      </w:pPr>
      <w:r>
        <w:rPr>
          <w:rStyle w:val="FootnoteReference"/>
        </w:rPr>
        <w:footnoteRef/>
      </w:r>
      <w:r>
        <w:t xml:space="preserve"> Rudolph M. Bell, </w:t>
      </w:r>
      <w:r>
        <w:rPr>
          <w:i/>
          <w:iCs/>
        </w:rPr>
        <w:t>How to do it. Guides to good living for Renaissance Italians</w:t>
      </w:r>
      <w:r>
        <w:t xml:space="preserve"> (Chicago and London: The University of Chicago Press, 1999), 131-36.</w:t>
      </w:r>
    </w:p>
  </w:footnote>
  <w:footnote w:id="31">
    <w:p w14:paraId="48B36658" w14:textId="77777777" w:rsidR="00182EED" w:rsidRDefault="00182EED" w:rsidP="001840E8">
      <w:pPr>
        <w:pStyle w:val="FootnoteText"/>
      </w:pPr>
      <w:r w:rsidRPr="00391186">
        <w:rPr>
          <w:rStyle w:val="FootnoteReference"/>
        </w:rPr>
        <w:footnoteRef/>
      </w:r>
      <w:r>
        <w:t xml:space="preserve"> </w:t>
      </w:r>
      <w:r w:rsidRPr="00482177">
        <w:rPr>
          <w:lang w:val="en-US"/>
        </w:rPr>
        <w:t>“</w:t>
      </w:r>
      <w:proofErr w:type="spellStart"/>
      <w:r>
        <w:rPr>
          <w:lang w:val="en-US"/>
        </w:rPr>
        <w:t>T</w:t>
      </w:r>
      <w:r w:rsidRPr="00482177">
        <w:rPr>
          <w:lang w:val="en-US"/>
        </w:rPr>
        <w:t>irai</w:t>
      </w:r>
      <w:proofErr w:type="spellEnd"/>
      <w:r w:rsidRPr="00482177">
        <w:rPr>
          <w:lang w:val="en-US"/>
        </w:rPr>
        <w:t xml:space="preserve"> dal latte </w:t>
      </w:r>
      <w:proofErr w:type="spellStart"/>
      <w:r w:rsidRPr="00482177">
        <w:rPr>
          <w:lang w:val="en-US"/>
        </w:rPr>
        <w:t>della</w:t>
      </w:r>
      <w:proofErr w:type="spellEnd"/>
      <w:r w:rsidRPr="00482177">
        <w:rPr>
          <w:lang w:val="en-US"/>
        </w:rPr>
        <w:t xml:space="preserve"> </w:t>
      </w:r>
      <w:proofErr w:type="spellStart"/>
      <w:r w:rsidRPr="00482177">
        <w:rPr>
          <w:lang w:val="en-US"/>
        </w:rPr>
        <w:t>mia</w:t>
      </w:r>
      <w:proofErr w:type="spellEnd"/>
      <w:r w:rsidRPr="00482177">
        <w:rPr>
          <w:lang w:val="en-US"/>
        </w:rPr>
        <w:t xml:space="preserve"> </w:t>
      </w:r>
      <w:proofErr w:type="spellStart"/>
      <w:r w:rsidRPr="00482177">
        <w:rPr>
          <w:lang w:val="en-US"/>
        </w:rPr>
        <w:t>balia</w:t>
      </w:r>
      <w:proofErr w:type="spellEnd"/>
      <w:r w:rsidRPr="00482177">
        <w:rPr>
          <w:lang w:val="en-US"/>
        </w:rPr>
        <w:t xml:space="preserve"> </w:t>
      </w:r>
      <w:proofErr w:type="spellStart"/>
      <w:r w:rsidRPr="00482177">
        <w:rPr>
          <w:lang w:val="en-US"/>
        </w:rPr>
        <w:t>gli</w:t>
      </w:r>
      <w:proofErr w:type="spellEnd"/>
      <w:r w:rsidRPr="00482177">
        <w:rPr>
          <w:lang w:val="en-US"/>
        </w:rPr>
        <w:t xml:space="preserve"> </w:t>
      </w:r>
      <w:proofErr w:type="spellStart"/>
      <w:r w:rsidRPr="00482177">
        <w:rPr>
          <w:lang w:val="en-US"/>
        </w:rPr>
        <w:t>scarpegli</w:t>
      </w:r>
      <w:proofErr w:type="spellEnd"/>
      <w:r w:rsidRPr="00482177">
        <w:rPr>
          <w:lang w:val="en-US"/>
        </w:rPr>
        <w:t xml:space="preserve"> e ‘l </w:t>
      </w:r>
      <w:proofErr w:type="spellStart"/>
      <w:r w:rsidRPr="00482177">
        <w:rPr>
          <w:lang w:val="en-US"/>
        </w:rPr>
        <w:t>mazzuolo</w:t>
      </w:r>
      <w:proofErr w:type="spellEnd"/>
      <w:r w:rsidRPr="00482177">
        <w:rPr>
          <w:lang w:val="en-US"/>
        </w:rPr>
        <w:t xml:space="preserve"> con </w:t>
      </w:r>
      <w:proofErr w:type="spellStart"/>
      <w:r w:rsidRPr="00482177">
        <w:rPr>
          <w:lang w:val="en-US"/>
        </w:rPr>
        <w:t>che</w:t>
      </w:r>
      <w:proofErr w:type="spellEnd"/>
      <w:r w:rsidRPr="00482177">
        <w:rPr>
          <w:lang w:val="en-US"/>
        </w:rPr>
        <w:t xml:space="preserve"> </w:t>
      </w:r>
      <w:proofErr w:type="spellStart"/>
      <w:r w:rsidRPr="00482177">
        <w:rPr>
          <w:lang w:val="en-US"/>
        </w:rPr>
        <w:t>io</w:t>
      </w:r>
      <w:proofErr w:type="spellEnd"/>
      <w:r w:rsidRPr="00482177">
        <w:rPr>
          <w:lang w:val="en-US"/>
        </w:rPr>
        <w:t xml:space="preserve"> </w:t>
      </w:r>
      <w:proofErr w:type="spellStart"/>
      <w:r w:rsidRPr="00482177">
        <w:rPr>
          <w:lang w:val="en-US"/>
        </w:rPr>
        <w:t>fo</w:t>
      </w:r>
      <w:proofErr w:type="spellEnd"/>
      <w:r w:rsidRPr="00482177">
        <w:rPr>
          <w:lang w:val="en-US"/>
        </w:rPr>
        <w:t xml:space="preserve"> le </w:t>
      </w:r>
      <w:r w:rsidRPr="001952D1">
        <w:rPr>
          <w:i/>
          <w:iCs/>
          <w:lang w:val="en-US"/>
        </w:rPr>
        <w:t>figure</w:t>
      </w:r>
      <w:r w:rsidRPr="00482177">
        <w:rPr>
          <w:lang w:val="en-US"/>
        </w:rPr>
        <w:t xml:space="preserve">.” This anecdote is reported by Giorgio Vasari, </w:t>
      </w:r>
      <w:r w:rsidRPr="00482177">
        <w:rPr>
          <w:i/>
          <w:iCs/>
          <w:lang w:val="en-US"/>
        </w:rPr>
        <w:t xml:space="preserve">Le </w:t>
      </w:r>
      <w:proofErr w:type="spellStart"/>
      <w:r w:rsidRPr="00482177">
        <w:rPr>
          <w:i/>
          <w:iCs/>
          <w:lang w:val="en-US"/>
        </w:rPr>
        <w:t>vite</w:t>
      </w:r>
      <w:proofErr w:type="spellEnd"/>
      <w:r w:rsidRPr="00482177">
        <w:rPr>
          <w:i/>
          <w:iCs/>
          <w:lang w:val="en-US"/>
        </w:rPr>
        <w:t xml:space="preserve"> </w:t>
      </w:r>
      <w:proofErr w:type="spellStart"/>
      <w:r w:rsidRPr="00482177">
        <w:rPr>
          <w:i/>
          <w:iCs/>
          <w:lang w:val="en-US"/>
        </w:rPr>
        <w:t>dei</w:t>
      </w:r>
      <w:proofErr w:type="spellEnd"/>
      <w:r w:rsidRPr="00482177">
        <w:rPr>
          <w:i/>
          <w:iCs/>
          <w:lang w:val="en-US"/>
        </w:rPr>
        <w:t xml:space="preserve"> </w:t>
      </w:r>
      <w:proofErr w:type="spellStart"/>
      <w:r w:rsidRPr="00482177">
        <w:rPr>
          <w:i/>
          <w:iCs/>
          <w:lang w:val="en-US"/>
        </w:rPr>
        <w:t>più</w:t>
      </w:r>
      <w:proofErr w:type="spellEnd"/>
      <w:r w:rsidRPr="00482177">
        <w:rPr>
          <w:i/>
          <w:iCs/>
          <w:lang w:val="en-US"/>
        </w:rPr>
        <w:t xml:space="preserve"> </w:t>
      </w:r>
      <w:proofErr w:type="spellStart"/>
      <w:r w:rsidRPr="00482177">
        <w:rPr>
          <w:i/>
          <w:iCs/>
          <w:lang w:val="en-US"/>
        </w:rPr>
        <w:t>eccellenti</w:t>
      </w:r>
      <w:proofErr w:type="spellEnd"/>
      <w:r w:rsidRPr="00482177">
        <w:rPr>
          <w:i/>
          <w:iCs/>
          <w:lang w:val="en-US"/>
        </w:rPr>
        <w:t xml:space="preserve"> </w:t>
      </w:r>
      <w:proofErr w:type="spellStart"/>
      <w:r w:rsidRPr="00482177">
        <w:rPr>
          <w:i/>
          <w:iCs/>
          <w:lang w:val="en-US"/>
        </w:rPr>
        <w:t>pittori</w:t>
      </w:r>
      <w:proofErr w:type="spellEnd"/>
      <w:r w:rsidRPr="00482177">
        <w:rPr>
          <w:i/>
          <w:iCs/>
          <w:lang w:val="en-US"/>
        </w:rPr>
        <w:t xml:space="preserve">, </w:t>
      </w:r>
      <w:proofErr w:type="spellStart"/>
      <w:r w:rsidRPr="00482177">
        <w:rPr>
          <w:i/>
          <w:iCs/>
          <w:lang w:val="en-US"/>
        </w:rPr>
        <w:t>scultori</w:t>
      </w:r>
      <w:proofErr w:type="spellEnd"/>
      <w:r w:rsidRPr="00482177">
        <w:rPr>
          <w:i/>
          <w:iCs/>
          <w:lang w:val="en-US"/>
        </w:rPr>
        <w:t xml:space="preserve"> e </w:t>
      </w:r>
      <w:proofErr w:type="spellStart"/>
      <w:r w:rsidRPr="00482177">
        <w:rPr>
          <w:i/>
          <w:iCs/>
          <w:lang w:val="en-US"/>
        </w:rPr>
        <w:t>architetti</w:t>
      </w:r>
      <w:proofErr w:type="spellEnd"/>
      <w:r w:rsidRPr="00482177">
        <w:rPr>
          <w:lang w:val="en-US"/>
        </w:rPr>
        <w:t xml:space="preserve">, ed. Maurizio Marini (Rome: </w:t>
      </w:r>
      <w:proofErr w:type="spellStart"/>
      <w:r w:rsidRPr="00482177">
        <w:rPr>
          <w:lang w:val="en-US"/>
        </w:rPr>
        <w:t>Grandi</w:t>
      </w:r>
      <w:proofErr w:type="spellEnd"/>
      <w:r w:rsidRPr="00482177">
        <w:rPr>
          <w:lang w:val="en-US"/>
        </w:rPr>
        <w:t xml:space="preserve"> </w:t>
      </w:r>
      <w:proofErr w:type="spellStart"/>
      <w:r w:rsidRPr="00482177">
        <w:rPr>
          <w:lang w:val="en-US"/>
        </w:rPr>
        <w:t>Tascabili</w:t>
      </w:r>
      <w:proofErr w:type="spellEnd"/>
      <w:r w:rsidRPr="00482177">
        <w:rPr>
          <w:lang w:val="en-US"/>
        </w:rPr>
        <w:t xml:space="preserve"> </w:t>
      </w:r>
      <w:proofErr w:type="spellStart"/>
      <w:r w:rsidRPr="00482177">
        <w:rPr>
          <w:lang w:val="en-US"/>
        </w:rPr>
        <w:t>Economici</w:t>
      </w:r>
      <w:proofErr w:type="spellEnd"/>
      <w:r w:rsidRPr="00482177">
        <w:rPr>
          <w:lang w:val="en-US"/>
        </w:rPr>
        <w:t xml:space="preserve"> Newton, 2005), 1202; See also Louis Haas, </w:t>
      </w:r>
      <w:r w:rsidRPr="00482177">
        <w:rPr>
          <w:i/>
          <w:iCs/>
          <w:lang w:val="en-US"/>
        </w:rPr>
        <w:t>The Renaissance Man and His Children: Childbirth and Early Childhood in Florence, 1300-1600</w:t>
      </w:r>
      <w:r w:rsidRPr="00482177">
        <w:rPr>
          <w:lang w:val="en-US"/>
        </w:rPr>
        <w:t xml:space="preserve"> (</w:t>
      </w:r>
      <w:r>
        <w:rPr>
          <w:lang w:val="en-US"/>
        </w:rPr>
        <w:t xml:space="preserve">Basingstoke: </w:t>
      </w:r>
      <w:r w:rsidRPr="00482177">
        <w:rPr>
          <w:lang w:val="en-US"/>
        </w:rPr>
        <w:t xml:space="preserve">Macmillan, 1998), 91; Patricia Simons, “The Social and Religious Context of Iconographic Oddity: Breastfeeding in Ghirlandaio’s Birth of the Baptist,” in </w:t>
      </w:r>
      <w:r w:rsidRPr="00482177">
        <w:rPr>
          <w:i/>
          <w:iCs/>
          <w:lang w:val="en-US"/>
        </w:rPr>
        <w:t xml:space="preserve">Medieval and Renaissance Lactations: Images, </w:t>
      </w:r>
      <w:proofErr w:type="spellStart"/>
      <w:r w:rsidRPr="00482177">
        <w:rPr>
          <w:i/>
          <w:iCs/>
          <w:lang w:val="en-US"/>
        </w:rPr>
        <w:t>Rhetorics</w:t>
      </w:r>
      <w:proofErr w:type="spellEnd"/>
      <w:r w:rsidRPr="00482177">
        <w:rPr>
          <w:i/>
          <w:iCs/>
          <w:lang w:val="en-US"/>
        </w:rPr>
        <w:t>, Practices</w:t>
      </w:r>
      <w:r w:rsidRPr="00482177">
        <w:rPr>
          <w:lang w:val="en-US"/>
        </w:rPr>
        <w:t>, ed. Jutta Gisela Sperling (</w:t>
      </w:r>
      <w:proofErr w:type="spellStart"/>
      <w:r w:rsidRPr="00482177">
        <w:rPr>
          <w:lang w:val="en-US"/>
        </w:rPr>
        <w:t>Farnham</w:t>
      </w:r>
      <w:proofErr w:type="spellEnd"/>
      <w:r w:rsidRPr="00482177">
        <w:rPr>
          <w:lang w:val="en-US"/>
        </w:rPr>
        <w:t xml:space="preserve"> and Burlington, VT: Ashgate, 2013), 223.</w:t>
      </w:r>
    </w:p>
  </w:footnote>
  <w:footnote w:id="32">
    <w:p w14:paraId="256A1ABB" w14:textId="77777777" w:rsidR="00182EED" w:rsidRDefault="00182EED" w:rsidP="001840E8">
      <w:pPr>
        <w:pStyle w:val="FootnoteText"/>
      </w:pPr>
      <w:r w:rsidRPr="00391186">
        <w:rPr>
          <w:rStyle w:val="FootnoteReference"/>
        </w:rPr>
        <w:footnoteRef/>
      </w:r>
      <w:r>
        <w:t xml:space="preserve"> </w:t>
      </w:r>
      <w:r w:rsidRPr="00D252ED">
        <w:rPr>
          <w:lang w:val="en-US"/>
        </w:rPr>
        <w:t xml:space="preserve">Vasari, </w:t>
      </w:r>
      <w:r w:rsidRPr="00D252ED">
        <w:rPr>
          <w:i/>
          <w:iCs/>
          <w:lang w:val="en-US"/>
        </w:rPr>
        <w:t xml:space="preserve">Le </w:t>
      </w:r>
      <w:proofErr w:type="spellStart"/>
      <w:r w:rsidRPr="00D252ED">
        <w:rPr>
          <w:i/>
          <w:iCs/>
          <w:lang w:val="en-US"/>
        </w:rPr>
        <w:t>vite</w:t>
      </w:r>
      <w:proofErr w:type="spellEnd"/>
      <w:r w:rsidRPr="00D252ED">
        <w:rPr>
          <w:i/>
          <w:iCs/>
          <w:lang w:val="en-US"/>
        </w:rPr>
        <w:t xml:space="preserve"> </w:t>
      </w:r>
      <w:proofErr w:type="spellStart"/>
      <w:r w:rsidRPr="00D252ED">
        <w:rPr>
          <w:i/>
          <w:iCs/>
          <w:lang w:val="en-US"/>
        </w:rPr>
        <w:t>dei</w:t>
      </w:r>
      <w:proofErr w:type="spellEnd"/>
      <w:r w:rsidRPr="00D252ED">
        <w:rPr>
          <w:i/>
          <w:iCs/>
          <w:lang w:val="en-US"/>
        </w:rPr>
        <w:t xml:space="preserve"> </w:t>
      </w:r>
      <w:proofErr w:type="spellStart"/>
      <w:r w:rsidRPr="00D252ED">
        <w:rPr>
          <w:i/>
          <w:iCs/>
          <w:lang w:val="en-US"/>
        </w:rPr>
        <w:t>più</w:t>
      </w:r>
      <w:proofErr w:type="spellEnd"/>
      <w:r w:rsidRPr="00D252ED">
        <w:rPr>
          <w:i/>
          <w:iCs/>
          <w:lang w:val="en-US"/>
        </w:rPr>
        <w:t xml:space="preserve"> </w:t>
      </w:r>
      <w:proofErr w:type="spellStart"/>
      <w:r w:rsidRPr="00D252ED">
        <w:rPr>
          <w:i/>
          <w:iCs/>
          <w:lang w:val="en-US"/>
        </w:rPr>
        <w:t>eccellenti</w:t>
      </w:r>
      <w:proofErr w:type="spellEnd"/>
      <w:r w:rsidRPr="00D252ED">
        <w:rPr>
          <w:i/>
          <w:iCs/>
          <w:lang w:val="en-US"/>
        </w:rPr>
        <w:t xml:space="preserve"> </w:t>
      </w:r>
      <w:proofErr w:type="spellStart"/>
      <w:r w:rsidRPr="00D252ED">
        <w:rPr>
          <w:i/>
          <w:iCs/>
          <w:lang w:val="en-US"/>
        </w:rPr>
        <w:t>pittori</w:t>
      </w:r>
      <w:proofErr w:type="spellEnd"/>
      <w:r w:rsidRPr="00D252ED">
        <w:rPr>
          <w:i/>
          <w:iCs/>
          <w:lang w:val="en-US"/>
        </w:rPr>
        <w:t xml:space="preserve">, </w:t>
      </w:r>
      <w:proofErr w:type="spellStart"/>
      <w:r w:rsidRPr="00D252ED">
        <w:rPr>
          <w:i/>
          <w:iCs/>
          <w:lang w:val="en-US"/>
        </w:rPr>
        <w:t>scultori</w:t>
      </w:r>
      <w:proofErr w:type="spellEnd"/>
      <w:r w:rsidRPr="00D252ED">
        <w:rPr>
          <w:i/>
          <w:iCs/>
          <w:lang w:val="en-US"/>
        </w:rPr>
        <w:t xml:space="preserve"> e </w:t>
      </w:r>
      <w:proofErr w:type="spellStart"/>
      <w:r w:rsidRPr="00D252ED">
        <w:rPr>
          <w:i/>
          <w:iCs/>
          <w:lang w:val="en-US"/>
        </w:rPr>
        <w:t>architetti</w:t>
      </w:r>
      <w:proofErr w:type="spellEnd"/>
      <w:r w:rsidRPr="00D252ED">
        <w:rPr>
          <w:lang w:val="en-US"/>
        </w:rPr>
        <w:t>, 619; See also Simons, “The Social and Religious Context of Iconographic Oddity: Breastfeeding in Ghirlandaio’s Birth of the Baptist,” 223.</w:t>
      </w:r>
    </w:p>
  </w:footnote>
  <w:footnote w:id="33">
    <w:p w14:paraId="72904CD3" w14:textId="77777777" w:rsidR="00182EED" w:rsidRDefault="00182EED" w:rsidP="001840E8">
      <w:pPr>
        <w:pStyle w:val="FootnoteText"/>
      </w:pPr>
      <w:r w:rsidRPr="00391186">
        <w:rPr>
          <w:rStyle w:val="FootnoteReference"/>
        </w:rPr>
        <w:footnoteRef/>
      </w:r>
      <w:r>
        <w:t xml:space="preserve"> </w:t>
      </w:r>
      <w:r w:rsidRPr="001927D6">
        <w:rPr>
          <w:lang w:val="en-US"/>
        </w:rPr>
        <w:t xml:space="preserve">Vasari, </w:t>
      </w:r>
      <w:r w:rsidRPr="001927D6">
        <w:rPr>
          <w:i/>
          <w:iCs/>
          <w:lang w:val="en-US"/>
        </w:rPr>
        <w:t xml:space="preserve">Le </w:t>
      </w:r>
      <w:proofErr w:type="spellStart"/>
      <w:r w:rsidRPr="001927D6">
        <w:rPr>
          <w:i/>
          <w:iCs/>
          <w:lang w:val="en-US"/>
        </w:rPr>
        <w:t>vite</w:t>
      </w:r>
      <w:proofErr w:type="spellEnd"/>
      <w:r w:rsidRPr="001927D6">
        <w:rPr>
          <w:i/>
          <w:iCs/>
          <w:lang w:val="en-US"/>
        </w:rPr>
        <w:t xml:space="preserve"> </w:t>
      </w:r>
      <w:proofErr w:type="spellStart"/>
      <w:r w:rsidRPr="001927D6">
        <w:rPr>
          <w:i/>
          <w:iCs/>
          <w:lang w:val="en-US"/>
        </w:rPr>
        <w:t>dei</w:t>
      </w:r>
      <w:proofErr w:type="spellEnd"/>
      <w:r w:rsidRPr="001927D6">
        <w:rPr>
          <w:i/>
          <w:iCs/>
          <w:lang w:val="en-US"/>
        </w:rPr>
        <w:t xml:space="preserve"> </w:t>
      </w:r>
      <w:proofErr w:type="spellStart"/>
      <w:r w:rsidRPr="001927D6">
        <w:rPr>
          <w:i/>
          <w:iCs/>
          <w:lang w:val="en-US"/>
        </w:rPr>
        <w:t>più</w:t>
      </w:r>
      <w:proofErr w:type="spellEnd"/>
      <w:r w:rsidRPr="001927D6">
        <w:rPr>
          <w:i/>
          <w:iCs/>
          <w:lang w:val="en-US"/>
        </w:rPr>
        <w:t xml:space="preserve"> </w:t>
      </w:r>
      <w:proofErr w:type="spellStart"/>
      <w:r w:rsidRPr="001927D6">
        <w:rPr>
          <w:i/>
          <w:iCs/>
          <w:lang w:val="en-US"/>
        </w:rPr>
        <w:t>eccellenti</w:t>
      </w:r>
      <w:proofErr w:type="spellEnd"/>
      <w:r w:rsidRPr="001927D6">
        <w:rPr>
          <w:i/>
          <w:iCs/>
          <w:lang w:val="en-US"/>
        </w:rPr>
        <w:t xml:space="preserve"> </w:t>
      </w:r>
      <w:proofErr w:type="spellStart"/>
      <w:r w:rsidRPr="001927D6">
        <w:rPr>
          <w:i/>
          <w:iCs/>
          <w:lang w:val="en-US"/>
        </w:rPr>
        <w:t>pittori</w:t>
      </w:r>
      <w:proofErr w:type="spellEnd"/>
      <w:r w:rsidRPr="001927D6">
        <w:rPr>
          <w:i/>
          <w:iCs/>
          <w:lang w:val="en-US"/>
        </w:rPr>
        <w:t xml:space="preserve">, </w:t>
      </w:r>
      <w:proofErr w:type="spellStart"/>
      <w:r w:rsidRPr="001927D6">
        <w:rPr>
          <w:i/>
          <w:iCs/>
          <w:lang w:val="en-US"/>
        </w:rPr>
        <w:t>scultori</w:t>
      </w:r>
      <w:proofErr w:type="spellEnd"/>
      <w:r w:rsidRPr="001927D6">
        <w:rPr>
          <w:i/>
          <w:iCs/>
          <w:lang w:val="en-US"/>
        </w:rPr>
        <w:t xml:space="preserve"> e </w:t>
      </w:r>
      <w:proofErr w:type="spellStart"/>
      <w:r w:rsidRPr="001927D6">
        <w:rPr>
          <w:i/>
          <w:iCs/>
          <w:lang w:val="en-US"/>
        </w:rPr>
        <w:t>architetti</w:t>
      </w:r>
      <w:proofErr w:type="spellEnd"/>
      <w:r w:rsidRPr="001927D6">
        <w:rPr>
          <w:lang w:val="en-US"/>
        </w:rPr>
        <w:t xml:space="preserve">; Cf. Giorgio Vasari, </w:t>
      </w:r>
      <w:r w:rsidRPr="001927D6">
        <w:rPr>
          <w:i/>
          <w:iCs/>
          <w:lang w:val="en-US"/>
        </w:rPr>
        <w:t xml:space="preserve">Le </w:t>
      </w:r>
      <w:proofErr w:type="spellStart"/>
      <w:r w:rsidRPr="001927D6">
        <w:rPr>
          <w:i/>
          <w:iCs/>
          <w:lang w:val="en-US"/>
        </w:rPr>
        <w:t>Vite</w:t>
      </w:r>
      <w:proofErr w:type="spellEnd"/>
      <w:r w:rsidRPr="001927D6">
        <w:rPr>
          <w:i/>
          <w:iCs/>
          <w:lang w:val="en-US"/>
        </w:rPr>
        <w:t xml:space="preserve"> </w:t>
      </w:r>
      <w:r w:rsidRPr="001927D6">
        <w:rPr>
          <w:lang w:val="en-US"/>
        </w:rPr>
        <w:t xml:space="preserve">Terza </w:t>
      </w:r>
      <w:proofErr w:type="spellStart"/>
      <w:r w:rsidRPr="001927D6">
        <w:rPr>
          <w:lang w:val="en-US"/>
        </w:rPr>
        <w:t>Parte</w:t>
      </w:r>
      <w:proofErr w:type="spellEnd"/>
      <w:r w:rsidRPr="001927D6">
        <w:rPr>
          <w:lang w:val="en-US"/>
        </w:rPr>
        <w:t xml:space="preserve"> (Florence: Lorenzo </w:t>
      </w:r>
      <w:proofErr w:type="spellStart"/>
      <w:r w:rsidRPr="001927D6">
        <w:rPr>
          <w:lang w:val="en-US"/>
        </w:rPr>
        <w:t>Torrentino</w:t>
      </w:r>
      <w:proofErr w:type="spellEnd"/>
      <w:r w:rsidRPr="001927D6">
        <w:rPr>
          <w:lang w:val="en-US"/>
        </w:rPr>
        <w:t xml:space="preserve"> </w:t>
      </w:r>
      <w:proofErr w:type="spellStart"/>
      <w:r w:rsidRPr="001927D6">
        <w:rPr>
          <w:lang w:val="en-US"/>
        </w:rPr>
        <w:t>impressor</w:t>
      </w:r>
      <w:proofErr w:type="spellEnd"/>
      <w:r w:rsidRPr="001927D6">
        <w:rPr>
          <w:lang w:val="en-US"/>
        </w:rPr>
        <w:t xml:space="preserve"> </w:t>
      </w:r>
      <w:proofErr w:type="spellStart"/>
      <w:r w:rsidRPr="001927D6">
        <w:rPr>
          <w:lang w:val="en-US"/>
        </w:rPr>
        <w:t>ducale</w:t>
      </w:r>
      <w:proofErr w:type="spellEnd"/>
      <w:r w:rsidRPr="001927D6">
        <w:rPr>
          <w:lang w:val="en-US"/>
        </w:rPr>
        <w:t>, 1550)</w:t>
      </w:r>
      <w:r>
        <w:rPr>
          <w:lang w:val="en-US"/>
        </w:rPr>
        <w:t>.</w:t>
      </w:r>
      <w:r w:rsidRPr="001927D6">
        <w:rPr>
          <w:lang w:val="en-US"/>
        </w:rPr>
        <w:t xml:space="preserve"> </w:t>
      </w:r>
      <w:proofErr w:type="spellStart"/>
      <w:r w:rsidRPr="001927D6">
        <w:rPr>
          <w:lang w:val="en-US"/>
        </w:rPr>
        <w:t>Barbaro’s</w:t>
      </w:r>
      <w:proofErr w:type="spellEnd"/>
      <w:r w:rsidRPr="001927D6">
        <w:rPr>
          <w:lang w:val="en-US"/>
        </w:rPr>
        <w:t xml:space="preserve"> </w:t>
      </w:r>
      <w:r w:rsidRPr="001927D6">
        <w:rPr>
          <w:i/>
          <w:iCs/>
          <w:lang w:val="en-US"/>
        </w:rPr>
        <w:t xml:space="preserve">De re </w:t>
      </w:r>
      <w:proofErr w:type="spellStart"/>
      <w:r w:rsidRPr="001927D6">
        <w:rPr>
          <w:i/>
          <w:iCs/>
          <w:lang w:val="en-US"/>
        </w:rPr>
        <w:t>uxoria</w:t>
      </w:r>
      <w:proofErr w:type="spellEnd"/>
      <w:r w:rsidRPr="001927D6">
        <w:rPr>
          <w:lang w:val="en-US"/>
        </w:rPr>
        <w:t xml:space="preserve"> was prepared for circulation in manuscript form in Verona in 1428. More than fifty manuscript copies survive, most of which are from the fifteenth century. Only in 1548 was it translated into Italian by Alberto </w:t>
      </w:r>
      <w:proofErr w:type="spellStart"/>
      <w:r w:rsidRPr="001927D6">
        <w:rPr>
          <w:lang w:val="en-US"/>
        </w:rPr>
        <w:t>Lollio</w:t>
      </w:r>
      <w:proofErr w:type="spellEnd"/>
      <w:r w:rsidRPr="001927D6">
        <w:rPr>
          <w:lang w:val="en-US"/>
        </w:rPr>
        <w:t xml:space="preserve">, with the title </w:t>
      </w:r>
      <w:proofErr w:type="spellStart"/>
      <w:r w:rsidRPr="001927D6">
        <w:rPr>
          <w:i/>
          <w:iCs/>
          <w:lang w:val="en-US"/>
        </w:rPr>
        <w:t>Prudentissimi</w:t>
      </w:r>
      <w:proofErr w:type="spellEnd"/>
      <w:r w:rsidRPr="001927D6">
        <w:rPr>
          <w:i/>
          <w:iCs/>
          <w:lang w:val="en-US"/>
        </w:rPr>
        <w:t xml:space="preserve"> et </w:t>
      </w:r>
      <w:proofErr w:type="spellStart"/>
      <w:r w:rsidRPr="001927D6">
        <w:rPr>
          <w:i/>
          <w:iCs/>
          <w:lang w:val="en-US"/>
        </w:rPr>
        <w:t>Gravi</w:t>
      </w:r>
      <w:proofErr w:type="spellEnd"/>
      <w:r w:rsidRPr="001927D6">
        <w:rPr>
          <w:i/>
          <w:iCs/>
          <w:lang w:val="en-US"/>
        </w:rPr>
        <w:t xml:space="preserve"> </w:t>
      </w:r>
      <w:proofErr w:type="spellStart"/>
      <w:r w:rsidRPr="001927D6">
        <w:rPr>
          <w:i/>
          <w:iCs/>
          <w:lang w:val="en-US"/>
        </w:rPr>
        <w:t>Documenti</w:t>
      </w:r>
      <w:proofErr w:type="spellEnd"/>
      <w:r w:rsidRPr="001927D6">
        <w:rPr>
          <w:i/>
          <w:iCs/>
          <w:lang w:val="en-US"/>
        </w:rPr>
        <w:t xml:space="preserve"> circa la </w:t>
      </w:r>
      <w:proofErr w:type="spellStart"/>
      <w:r w:rsidRPr="001927D6">
        <w:rPr>
          <w:i/>
          <w:iCs/>
          <w:lang w:val="en-US"/>
        </w:rPr>
        <w:t>Elettion</w:t>
      </w:r>
      <w:proofErr w:type="spellEnd"/>
      <w:r w:rsidRPr="001927D6">
        <w:rPr>
          <w:i/>
          <w:iCs/>
          <w:lang w:val="en-US"/>
        </w:rPr>
        <w:t xml:space="preserve"> </w:t>
      </w:r>
      <w:proofErr w:type="spellStart"/>
      <w:r w:rsidRPr="001927D6">
        <w:rPr>
          <w:i/>
          <w:iCs/>
          <w:lang w:val="en-US"/>
        </w:rPr>
        <w:t>della</w:t>
      </w:r>
      <w:proofErr w:type="spellEnd"/>
      <w:r w:rsidRPr="001927D6">
        <w:rPr>
          <w:i/>
          <w:iCs/>
          <w:lang w:val="en-US"/>
        </w:rPr>
        <w:t xml:space="preserve"> </w:t>
      </w:r>
      <w:proofErr w:type="spellStart"/>
      <w:r w:rsidRPr="001927D6">
        <w:rPr>
          <w:i/>
          <w:iCs/>
          <w:lang w:val="en-US"/>
        </w:rPr>
        <w:t>Moglie</w:t>
      </w:r>
      <w:proofErr w:type="spellEnd"/>
      <w:r w:rsidRPr="001927D6">
        <w:rPr>
          <w:lang w:val="en-US"/>
        </w:rPr>
        <w:t xml:space="preserve">, and was subsequently printed in Venice. See also Frick, “The Downcast Eyes of the Women of the Upper Class in Francesco </w:t>
      </w:r>
      <w:proofErr w:type="spellStart"/>
      <w:r w:rsidRPr="001927D6">
        <w:rPr>
          <w:lang w:val="en-US"/>
        </w:rPr>
        <w:t>Barbaro’s</w:t>
      </w:r>
      <w:proofErr w:type="spellEnd"/>
      <w:r w:rsidRPr="001927D6">
        <w:rPr>
          <w:lang w:val="en-US"/>
        </w:rPr>
        <w:t xml:space="preserve"> </w:t>
      </w:r>
      <w:r w:rsidRPr="001927D6">
        <w:rPr>
          <w:i/>
          <w:iCs/>
          <w:lang w:val="en-US"/>
        </w:rPr>
        <w:t xml:space="preserve">De Re </w:t>
      </w:r>
      <w:proofErr w:type="spellStart"/>
      <w:r w:rsidRPr="001927D6">
        <w:rPr>
          <w:i/>
          <w:iCs/>
          <w:lang w:val="en-US"/>
        </w:rPr>
        <w:t>Uxoria</w:t>
      </w:r>
      <w:proofErr w:type="spellEnd"/>
      <w:r w:rsidRPr="001927D6">
        <w:rPr>
          <w:lang w:val="en-US"/>
        </w:rPr>
        <w:t>.”</w:t>
      </w:r>
    </w:p>
  </w:footnote>
  <w:footnote w:id="34">
    <w:p w14:paraId="24E03324" w14:textId="77777777" w:rsidR="00182EED" w:rsidRDefault="00182EED" w:rsidP="001840E8">
      <w:pPr>
        <w:pStyle w:val="FootnoteText"/>
      </w:pPr>
      <w:r w:rsidRPr="00391186">
        <w:rPr>
          <w:rStyle w:val="FootnoteReference"/>
        </w:rPr>
        <w:footnoteRef/>
      </w:r>
      <w:r>
        <w:t xml:space="preserve"> </w:t>
      </w:r>
      <w:proofErr w:type="spellStart"/>
      <w:r w:rsidRPr="00D252ED">
        <w:rPr>
          <w:lang w:val="en-US"/>
        </w:rPr>
        <w:t>Shulamith</w:t>
      </w:r>
      <w:proofErr w:type="spellEnd"/>
      <w:r w:rsidRPr="00D252ED">
        <w:rPr>
          <w:lang w:val="en-US"/>
        </w:rPr>
        <w:t xml:space="preserve"> Shahar, </w:t>
      </w:r>
      <w:r w:rsidRPr="00D252ED">
        <w:rPr>
          <w:i/>
          <w:iCs/>
          <w:lang w:val="en-US"/>
        </w:rPr>
        <w:t>Childhood in the Middle Ages</w:t>
      </w:r>
      <w:r w:rsidRPr="00D252ED">
        <w:rPr>
          <w:lang w:val="en-US"/>
        </w:rPr>
        <w:t xml:space="preserve">, trans. Chaya </w:t>
      </w:r>
      <w:proofErr w:type="spellStart"/>
      <w:r w:rsidRPr="00D252ED">
        <w:rPr>
          <w:lang w:val="en-US"/>
        </w:rPr>
        <w:t>Galai</w:t>
      </w:r>
      <w:proofErr w:type="spellEnd"/>
      <w:r w:rsidRPr="00D252ED">
        <w:rPr>
          <w:lang w:val="en-US"/>
        </w:rPr>
        <w:t xml:space="preserve"> (London and New York: Routledge, 1990), 27</w:t>
      </w:r>
      <w:r>
        <w:rPr>
          <w:lang w:val="en-US"/>
        </w:rPr>
        <w:t>7-8</w:t>
      </w:r>
      <w:r w:rsidRPr="00D252ED">
        <w:rPr>
          <w:lang w:val="en-US"/>
        </w:rPr>
        <w:t xml:space="preserve"> n. 16.</w:t>
      </w:r>
    </w:p>
  </w:footnote>
  <w:footnote w:id="35">
    <w:p w14:paraId="4816A28D" w14:textId="77777777" w:rsidR="00182EED" w:rsidRDefault="00182EED" w:rsidP="001840E8">
      <w:pPr>
        <w:pStyle w:val="FootnoteText"/>
      </w:pPr>
      <w:r w:rsidRPr="00391186">
        <w:rPr>
          <w:rStyle w:val="FootnoteReference"/>
        </w:rPr>
        <w:footnoteRef/>
      </w:r>
      <w:r>
        <w:t xml:space="preserve"> </w:t>
      </w:r>
      <w:r w:rsidRPr="00157A91">
        <w:rPr>
          <w:lang w:val="en-US"/>
        </w:rPr>
        <w:t xml:space="preserve">“La poppa </w:t>
      </w:r>
      <w:proofErr w:type="spellStart"/>
      <w:r w:rsidRPr="00157A91">
        <w:rPr>
          <w:lang w:val="en-US"/>
        </w:rPr>
        <w:t>gli</w:t>
      </w:r>
      <w:proofErr w:type="spellEnd"/>
      <w:r w:rsidRPr="00157A91">
        <w:rPr>
          <w:lang w:val="en-US"/>
        </w:rPr>
        <w:t xml:space="preserve"> </w:t>
      </w:r>
      <w:proofErr w:type="spellStart"/>
      <w:r w:rsidRPr="00157A91">
        <w:rPr>
          <w:lang w:val="en-US"/>
        </w:rPr>
        <w:t>dava</w:t>
      </w:r>
      <w:proofErr w:type="spellEnd"/>
      <w:r w:rsidRPr="00157A91">
        <w:rPr>
          <w:lang w:val="en-US"/>
        </w:rPr>
        <w:t xml:space="preserve">.” Lucrezia Tornabuoni de’ Medici, “Vita di Sancto Giovanni Battista,” in </w:t>
      </w:r>
      <w:r w:rsidRPr="00157A91">
        <w:rPr>
          <w:i/>
          <w:iCs/>
          <w:lang w:val="en-US"/>
        </w:rPr>
        <w:t xml:space="preserve">I </w:t>
      </w:r>
      <w:proofErr w:type="spellStart"/>
      <w:r w:rsidRPr="00157A91">
        <w:rPr>
          <w:i/>
          <w:iCs/>
          <w:lang w:val="en-US"/>
        </w:rPr>
        <w:t>Poemetti</w:t>
      </w:r>
      <w:proofErr w:type="spellEnd"/>
      <w:r w:rsidRPr="00157A91">
        <w:rPr>
          <w:i/>
          <w:iCs/>
          <w:lang w:val="en-US"/>
        </w:rPr>
        <w:t xml:space="preserve"> </w:t>
      </w:r>
      <w:proofErr w:type="spellStart"/>
      <w:r w:rsidRPr="00157A91">
        <w:rPr>
          <w:i/>
          <w:iCs/>
          <w:lang w:val="en-US"/>
        </w:rPr>
        <w:t>Sacri</w:t>
      </w:r>
      <w:proofErr w:type="spellEnd"/>
      <w:r w:rsidRPr="00157A91">
        <w:rPr>
          <w:i/>
          <w:iCs/>
          <w:lang w:val="en-US"/>
        </w:rPr>
        <w:t xml:space="preserve"> di Lucrezia Tornabuoni</w:t>
      </w:r>
      <w:r w:rsidRPr="00157A91">
        <w:rPr>
          <w:lang w:val="en-US"/>
        </w:rPr>
        <w:t xml:space="preserve">, ed. </w:t>
      </w:r>
      <w:proofErr w:type="spellStart"/>
      <w:r w:rsidRPr="00157A91">
        <w:rPr>
          <w:lang w:val="en-US"/>
        </w:rPr>
        <w:t>Fulvio</w:t>
      </w:r>
      <w:proofErr w:type="spellEnd"/>
      <w:r w:rsidRPr="00157A91">
        <w:rPr>
          <w:lang w:val="en-US"/>
        </w:rPr>
        <w:t xml:space="preserve"> </w:t>
      </w:r>
      <w:proofErr w:type="spellStart"/>
      <w:r w:rsidRPr="00157A91">
        <w:rPr>
          <w:lang w:val="en-US"/>
        </w:rPr>
        <w:t>Pezzarossa</w:t>
      </w:r>
      <w:proofErr w:type="spellEnd"/>
      <w:r w:rsidRPr="00157A91">
        <w:rPr>
          <w:lang w:val="en-US"/>
        </w:rPr>
        <w:t xml:space="preserve"> (Leo S. </w:t>
      </w:r>
      <w:proofErr w:type="spellStart"/>
      <w:r w:rsidRPr="00157A91">
        <w:rPr>
          <w:lang w:val="en-US"/>
        </w:rPr>
        <w:t>Olschki</w:t>
      </w:r>
      <w:proofErr w:type="spellEnd"/>
      <w:r w:rsidRPr="00157A91">
        <w:rPr>
          <w:lang w:val="en-US"/>
        </w:rPr>
        <w:t xml:space="preserve">, 1978), 164; Lucrezia Tornabuoni de’ Medici, “The Life of St John the Baptist,” in </w:t>
      </w:r>
      <w:r w:rsidRPr="00157A91">
        <w:rPr>
          <w:i/>
          <w:iCs/>
          <w:lang w:val="en-US"/>
        </w:rPr>
        <w:t>Sacred Narratives</w:t>
      </w:r>
      <w:r w:rsidRPr="00157A91">
        <w:rPr>
          <w:lang w:val="en-US"/>
        </w:rPr>
        <w:t xml:space="preserve">, ed. and trans. Jane </w:t>
      </w:r>
      <w:proofErr w:type="spellStart"/>
      <w:r w:rsidRPr="00157A91">
        <w:rPr>
          <w:lang w:val="en-US"/>
        </w:rPr>
        <w:t>Tylus</w:t>
      </w:r>
      <w:proofErr w:type="spellEnd"/>
      <w:r w:rsidRPr="00157A91">
        <w:rPr>
          <w:lang w:val="en-US"/>
        </w:rPr>
        <w:t xml:space="preserve"> (Chicago, 2001), 234; Also mentioned in Simons, “The Social and Religious Context of Iconographic Oddity: Breastfeeding in Ghirlandaio’s Birth of the Baptist,” 218. Simons suggests that Lucrezia Tornabuoni based this account on the fourteenth-century </w:t>
      </w:r>
      <w:proofErr w:type="spellStart"/>
      <w:r w:rsidRPr="00157A91">
        <w:rPr>
          <w:lang w:val="en-US"/>
        </w:rPr>
        <w:t>Vite</w:t>
      </w:r>
      <w:proofErr w:type="spellEnd"/>
      <w:r w:rsidRPr="00157A91">
        <w:rPr>
          <w:lang w:val="en-US"/>
        </w:rPr>
        <w:t xml:space="preserve"> de’ Santi </w:t>
      </w:r>
      <w:proofErr w:type="spellStart"/>
      <w:r w:rsidRPr="00157A91">
        <w:rPr>
          <w:lang w:val="en-US"/>
        </w:rPr>
        <w:t>Padri</w:t>
      </w:r>
      <w:proofErr w:type="spellEnd"/>
      <w:r w:rsidRPr="00157A91">
        <w:rPr>
          <w:lang w:val="en-US"/>
        </w:rPr>
        <w:t xml:space="preserve"> written by Fra Domenico </w:t>
      </w:r>
      <w:proofErr w:type="spellStart"/>
      <w:r w:rsidRPr="00157A91">
        <w:rPr>
          <w:lang w:val="en-US"/>
        </w:rPr>
        <w:t>Cavalca</w:t>
      </w:r>
      <w:proofErr w:type="spellEnd"/>
      <w:r w:rsidRPr="00157A91">
        <w:rPr>
          <w:lang w:val="en-US"/>
        </w:rPr>
        <w:t>.</w:t>
      </w:r>
    </w:p>
  </w:footnote>
  <w:footnote w:id="36">
    <w:p w14:paraId="2766D716" w14:textId="77777777" w:rsidR="00182EED" w:rsidRDefault="00182EED" w:rsidP="001840E8">
      <w:pPr>
        <w:pStyle w:val="FootnoteText"/>
      </w:pPr>
      <w:r w:rsidRPr="00391186">
        <w:rPr>
          <w:rStyle w:val="FootnoteReference"/>
        </w:rPr>
        <w:footnoteRef/>
      </w:r>
      <w:r>
        <w:t xml:space="preserve"> </w:t>
      </w:r>
      <w:r w:rsidRPr="00157A91">
        <w:rPr>
          <w:lang w:val="en-US"/>
        </w:rPr>
        <w:t xml:space="preserve">Megan Holmes, “Disrobing the Virgin: The Madonna </w:t>
      </w:r>
      <w:proofErr w:type="spellStart"/>
      <w:r w:rsidRPr="00157A91">
        <w:rPr>
          <w:lang w:val="en-US"/>
        </w:rPr>
        <w:t>Lactans</w:t>
      </w:r>
      <w:proofErr w:type="spellEnd"/>
      <w:r w:rsidRPr="00157A91">
        <w:rPr>
          <w:lang w:val="en-US"/>
        </w:rPr>
        <w:t xml:space="preserve"> in Fifteenth-Century Florentine Art,” in </w:t>
      </w:r>
      <w:r w:rsidRPr="00157A91">
        <w:rPr>
          <w:i/>
          <w:iCs/>
          <w:lang w:val="en-US"/>
        </w:rPr>
        <w:t>Picturing Women in Renaissance and Baroque Italy</w:t>
      </w:r>
      <w:r w:rsidRPr="00157A91">
        <w:rPr>
          <w:lang w:val="en-US"/>
        </w:rPr>
        <w:t xml:space="preserve">, ed. Geraldine A. Johnson and Sara F. Matthews </w:t>
      </w:r>
      <w:proofErr w:type="spellStart"/>
      <w:r w:rsidRPr="00157A91">
        <w:rPr>
          <w:lang w:val="en-US"/>
        </w:rPr>
        <w:t>Grieco</w:t>
      </w:r>
      <w:proofErr w:type="spellEnd"/>
      <w:r w:rsidRPr="00157A91">
        <w:rPr>
          <w:lang w:val="en-US"/>
        </w:rPr>
        <w:t xml:space="preserve"> (Cambridge and New York: Cambridge University Press, 1997), 167–95, esp. 190.; See also King, “The School of Infancy,” 51–52. The widespread </w:t>
      </w:r>
      <w:proofErr w:type="spellStart"/>
      <w:r w:rsidRPr="00157A91">
        <w:rPr>
          <w:lang w:val="en-US"/>
        </w:rPr>
        <w:t>humanisation</w:t>
      </w:r>
      <w:proofErr w:type="spellEnd"/>
      <w:r w:rsidRPr="00157A91">
        <w:rPr>
          <w:lang w:val="en-US"/>
        </w:rPr>
        <w:t xml:space="preserve"> of the holy figure of the Virgin Mary is probably the basis for the practice of addressing the Virgin Mary as “mother”. Haas, </w:t>
      </w:r>
      <w:r w:rsidRPr="00157A91">
        <w:rPr>
          <w:i/>
          <w:iCs/>
          <w:lang w:val="en-US"/>
        </w:rPr>
        <w:t>The Renaissance Man and His Children</w:t>
      </w:r>
      <w:r w:rsidRPr="00157A91">
        <w:rPr>
          <w:lang w:val="en-US"/>
        </w:rPr>
        <w:t xml:space="preserve">, 5; Richard C Trexler, </w:t>
      </w:r>
      <w:r w:rsidRPr="00157A91">
        <w:rPr>
          <w:i/>
          <w:iCs/>
          <w:lang w:val="en-US"/>
        </w:rPr>
        <w:t>Public Life in Renaissance Florence</w:t>
      </w:r>
      <w:r w:rsidRPr="00157A91">
        <w:rPr>
          <w:lang w:val="en-US"/>
        </w:rPr>
        <w:t xml:space="preserve"> (Ithaca: Cornell University Press, 1991), 88 n. 8 mentions that Dominican nuns called a statue of the Virgin Mary nostra mamma (“our mother”), as did the Dominican friar Girolamo Savonarola.</w:t>
      </w:r>
    </w:p>
  </w:footnote>
  <w:footnote w:id="37">
    <w:p w14:paraId="2F5634FE" w14:textId="77777777" w:rsidR="00182EED" w:rsidRDefault="00182EED" w:rsidP="001840E8">
      <w:pPr>
        <w:pStyle w:val="FootnoteText"/>
      </w:pPr>
      <w:r w:rsidRPr="00391186">
        <w:rPr>
          <w:rStyle w:val="FootnoteReference"/>
        </w:rPr>
        <w:footnoteRef/>
      </w:r>
      <w:r>
        <w:t xml:space="preserve"> </w:t>
      </w:r>
      <w:r w:rsidRPr="00157A91">
        <w:rPr>
          <w:lang w:val="en-US"/>
        </w:rPr>
        <w:t>“</w:t>
      </w:r>
      <w:proofErr w:type="spellStart"/>
      <w:r w:rsidRPr="00157A91">
        <w:rPr>
          <w:lang w:val="en-US"/>
        </w:rPr>
        <w:t>Frontosa</w:t>
      </w:r>
      <w:proofErr w:type="spellEnd"/>
      <w:r w:rsidRPr="00157A91">
        <w:rPr>
          <w:lang w:val="en-US"/>
        </w:rPr>
        <w:t xml:space="preserve">, </w:t>
      </w:r>
      <w:proofErr w:type="spellStart"/>
      <w:r w:rsidRPr="00157A91">
        <w:rPr>
          <w:lang w:val="en-US"/>
        </w:rPr>
        <w:t>ponere</w:t>
      </w:r>
      <w:proofErr w:type="spellEnd"/>
      <w:r w:rsidRPr="00157A91">
        <w:rPr>
          <w:lang w:val="en-US"/>
        </w:rPr>
        <w:t xml:space="preserve"> </w:t>
      </w:r>
      <w:proofErr w:type="spellStart"/>
      <w:r w:rsidRPr="00157A91">
        <w:rPr>
          <w:lang w:val="en-US"/>
        </w:rPr>
        <w:t>ti</w:t>
      </w:r>
      <w:proofErr w:type="spellEnd"/>
      <w:r w:rsidRPr="00157A91">
        <w:rPr>
          <w:lang w:val="en-US"/>
        </w:rPr>
        <w:t xml:space="preserve"> </w:t>
      </w:r>
      <w:proofErr w:type="spellStart"/>
      <w:r w:rsidRPr="00157A91">
        <w:rPr>
          <w:lang w:val="en-US"/>
        </w:rPr>
        <w:t>vogli</w:t>
      </w:r>
      <w:proofErr w:type="spellEnd"/>
      <w:r w:rsidRPr="00157A91">
        <w:rPr>
          <w:lang w:val="en-US"/>
        </w:rPr>
        <w:t xml:space="preserve"> </w:t>
      </w:r>
      <w:proofErr w:type="spellStart"/>
      <w:r w:rsidRPr="00157A91">
        <w:rPr>
          <w:lang w:val="en-US"/>
        </w:rPr>
        <w:t>sempre</w:t>
      </w:r>
      <w:proofErr w:type="spellEnd"/>
      <w:r w:rsidRPr="00157A91">
        <w:rPr>
          <w:lang w:val="en-US"/>
        </w:rPr>
        <w:t xml:space="preserve"> </w:t>
      </w:r>
      <w:proofErr w:type="spellStart"/>
      <w:r w:rsidRPr="00157A91">
        <w:rPr>
          <w:lang w:val="en-US"/>
        </w:rPr>
        <w:t>dinanti</w:t>
      </w:r>
      <w:proofErr w:type="spellEnd"/>
      <w:r w:rsidRPr="00157A91">
        <w:rPr>
          <w:lang w:val="en-US"/>
        </w:rPr>
        <w:t xml:space="preserve"> li </w:t>
      </w:r>
      <w:proofErr w:type="spellStart"/>
      <w:r w:rsidRPr="00157A91">
        <w:rPr>
          <w:lang w:val="en-US"/>
        </w:rPr>
        <w:t>ochi</w:t>
      </w:r>
      <w:proofErr w:type="spellEnd"/>
      <w:r w:rsidRPr="00157A91">
        <w:rPr>
          <w:lang w:val="en-US"/>
        </w:rPr>
        <w:t xml:space="preserve"> </w:t>
      </w:r>
      <w:proofErr w:type="spellStart"/>
      <w:r w:rsidRPr="00157A91">
        <w:rPr>
          <w:lang w:val="en-US"/>
        </w:rPr>
        <w:t>tuoi</w:t>
      </w:r>
      <w:proofErr w:type="spellEnd"/>
      <w:r w:rsidRPr="00157A91">
        <w:rPr>
          <w:lang w:val="en-US"/>
        </w:rPr>
        <w:t xml:space="preserve"> la </w:t>
      </w:r>
      <w:proofErr w:type="spellStart"/>
      <w:r w:rsidRPr="00157A91">
        <w:rPr>
          <w:lang w:val="en-US"/>
        </w:rPr>
        <w:t>humele</w:t>
      </w:r>
      <w:proofErr w:type="spellEnd"/>
      <w:r w:rsidRPr="00157A91">
        <w:rPr>
          <w:lang w:val="en-US"/>
        </w:rPr>
        <w:t xml:space="preserve"> </w:t>
      </w:r>
      <w:proofErr w:type="spellStart"/>
      <w:r w:rsidRPr="00157A91">
        <w:rPr>
          <w:lang w:val="en-US"/>
        </w:rPr>
        <w:t>vergene</w:t>
      </w:r>
      <w:proofErr w:type="spellEnd"/>
      <w:r w:rsidRPr="00157A91">
        <w:rPr>
          <w:lang w:val="en-US"/>
        </w:rPr>
        <w:t xml:space="preserve"> de </w:t>
      </w:r>
      <w:proofErr w:type="spellStart"/>
      <w:r w:rsidRPr="00157A91">
        <w:rPr>
          <w:lang w:val="en-US"/>
        </w:rPr>
        <w:t>Idio</w:t>
      </w:r>
      <w:proofErr w:type="spellEnd"/>
      <w:r w:rsidRPr="00157A91">
        <w:rPr>
          <w:lang w:val="en-US"/>
        </w:rPr>
        <w:t xml:space="preserve"> </w:t>
      </w:r>
      <w:proofErr w:type="spellStart"/>
      <w:r w:rsidRPr="00157A91">
        <w:rPr>
          <w:lang w:val="en-US"/>
        </w:rPr>
        <w:t>fiolo</w:t>
      </w:r>
      <w:proofErr w:type="spellEnd"/>
      <w:r w:rsidRPr="00157A91">
        <w:rPr>
          <w:lang w:val="en-US"/>
        </w:rPr>
        <w:t xml:space="preserve"> </w:t>
      </w:r>
      <w:proofErr w:type="spellStart"/>
      <w:r w:rsidRPr="00157A91">
        <w:rPr>
          <w:lang w:val="en-US"/>
        </w:rPr>
        <w:t>madre</w:t>
      </w:r>
      <w:proofErr w:type="spellEnd"/>
      <w:r w:rsidRPr="00157A91">
        <w:rPr>
          <w:lang w:val="en-US"/>
        </w:rPr>
        <w:t xml:space="preserve">, la quale </w:t>
      </w:r>
      <w:proofErr w:type="spellStart"/>
      <w:r w:rsidRPr="00157A91">
        <w:rPr>
          <w:lang w:val="en-US"/>
        </w:rPr>
        <w:t>lactò</w:t>
      </w:r>
      <w:proofErr w:type="spellEnd"/>
      <w:r w:rsidRPr="00157A91">
        <w:rPr>
          <w:lang w:val="en-US"/>
        </w:rPr>
        <w:t xml:space="preserve"> </w:t>
      </w:r>
      <w:proofErr w:type="spellStart"/>
      <w:r w:rsidRPr="00157A91">
        <w:rPr>
          <w:lang w:val="en-US"/>
        </w:rPr>
        <w:t>il</w:t>
      </w:r>
      <w:proofErr w:type="spellEnd"/>
      <w:r w:rsidRPr="00157A91">
        <w:rPr>
          <w:lang w:val="en-US"/>
        </w:rPr>
        <w:t xml:space="preserve"> proprio </w:t>
      </w:r>
      <w:proofErr w:type="spellStart"/>
      <w:r w:rsidRPr="00157A91">
        <w:rPr>
          <w:lang w:val="en-US"/>
        </w:rPr>
        <w:t>suo</w:t>
      </w:r>
      <w:proofErr w:type="spellEnd"/>
      <w:r w:rsidRPr="00157A91">
        <w:rPr>
          <w:lang w:val="en-US"/>
        </w:rPr>
        <w:t xml:space="preserve"> </w:t>
      </w:r>
      <w:proofErr w:type="spellStart"/>
      <w:r w:rsidRPr="00157A91">
        <w:rPr>
          <w:lang w:val="en-US"/>
        </w:rPr>
        <w:t>fiolo</w:t>
      </w:r>
      <w:proofErr w:type="spellEnd"/>
      <w:r w:rsidRPr="00157A91">
        <w:rPr>
          <w:lang w:val="en-US"/>
        </w:rPr>
        <w:t xml:space="preserve"> e di </w:t>
      </w:r>
      <w:proofErr w:type="spellStart"/>
      <w:r w:rsidRPr="00157A91">
        <w:rPr>
          <w:lang w:val="en-US"/>
        </w:rPr>
        <w:t>quello</w:t>
      </w:r>
      <w:proofErr w:type="spellEnd"/>
      <w:r w:rsidRPr="00157A91">
        <w:rPr>
          <w:lang w:val="en-US"/>
        </w:rPr>
        <w:t xml:space="preserve"> </w:t>
      </w:r>
      <w:proofErr w:type="spellStart"/>
      <w:r w:rsidRPr="00157A91">
        <w:rPr>
          <w:lang w:val="en-US"/>
        </w:rPr>
        <w:t>hebbe</w:t>
      </w:r>
      <w:proofErr w:type="spellEnd"/>
      <w:r w:rsidRPr="00157A91">
        <w:rPr>
          <w:lang w:val="en-US"/>
        </w:rPr>
        <w:t xml:space="preserve"> </w:t>
      </w:r>
      <w:proofErr w:type="spellStart"/>
      <w:r w:rsidRPr="00157A91">
        <w:rPr>
          <w:lang w:val="en-US"/>
        </w:rPr>
        <w:t>tanta</w:t>
      </w:r>
      <w:proofErr w:type="spellEnd"/>
      <w:r w:rsidRPr="00157A91">
        <w:rPr>
          <w:lang w:val="en-US"/>
        </w:rPr>
        <w:t xml:space="preserve"> </w:t>
      </w:r>
      <w:proofErr w:type="spellStart"/>
      <w:r w:rsidRPr="00157A91">
        <w:rPr>
          <w:lang w:val="en-US"/>
        </w:rPr>
        <w:t>cura</w:t>
      </w:r>
      <w:proofErr w:type="spellEnd"/>
      <w:r w:rsidRPr="00157A91">
        <w:rPr>
          <w:lang w:val="en-US"/>
        </w:rPr>
        <w:t xml:space="preserve">.” </w:t>
      </w:r>
      <w:r>
        <w:rPr>
          <w:lang w:val="en-US"/>
        </w:rPr>
        <w:t xml:space="preserve">M. </w:t>
      </w:r>
      <w:r w:rsidRPr="00157A91">
        <w:rPr>
          <w:lang w:val="en-US"/>
        </w:rPr>
        <w:t xml:space="preserve">Savonarola, </w:t>
      </w:r>
      <w:r w:rsidRPr="00157A91">
        <w:rPr>
          <w:i/>
          <w:iCs/>
          <w:lang w:val="en-US"/>
        </w:rPr>
        <w:t xml:space="preserve">Il </w:t>
      </w:r>
      <w:proofErr w:type="spellStart"/>
      <w:r w:rsidRPr="00157A91">
        <w:rPr>
          <w:i/>
          <w:iCs/>
          <w:lang w:val="en-US"/>
        </w:rPr>
        <w:t>Trattato</w:t>
      </w:r>
      <w:proofErr w:type="spellEnd"/>
      <w:r w:rsidRPr="00157A91">
        <w:rPr>
          <w:i/>
          <w:iCs/>
          <w:lang w:val="en-US"/>
        </w:rPr>
        <w:t xml:space="preserve"> </w:t>
      </w:r>
      <w:proofErr w:type="spellStart"/>
      <w:r w:rsidRPr="00157A91">
        <w:rPr>
          <w:i/>
          <w:iCs/>
          <w:lang w:val="en-US"/>
        </w:rPr>
        <w:t>Ginecologico-Pediatrico</w:t>
      </w:r>
      <w:proofErr w:type="spellEnd"/>
      <w:r w:rsidRPr="00157A91">
        <w:rPr>
          <w:lang w:val="en-US"/>
        </w:rPr>
        <w:t>, 148.</w:t>
      </w:r>
    </w:p>
  </w:footnote>
  <w:footnote w:id="38">
    <w:p w14:paraId="4BFD1FD4" w14:textId="424D3AE9" w:rsidR="00182EED" w:rsidRDefault="00182EED" w:rsidP="00F20467">
      <w:pPr>
        <w:pStyle w:val="FootnoteText"/>
      </w:pPr>
      <w:r>
        <w:rPr>
          <w:rStyle w:val="FootnoteReference"/>
        </w:rPr>
        <w:footnoteRef/>
      </w:r>
      <w:r>
        <w:t xml:space="preserve"> On prescriptive literature and its use for research see Frances E. Dolan, </w:t>
      </w:r>
      <w:r w:rsidRPr="00F20467">
        <w:rPr>
          <w:i/>
          <w:iCs/>
        </w:rPr>
        <w:t>True relations: reading, literature, and evidence in seventeenth-century England</w:t>
      </w:r>
      <w:r>
        <w:rPr>
          <w:i/>
          <w:iCs/>
        </w:rPr>
        <w:t xml:space="preserve"> </w:t>
      </w:r>
      <w:r>
        <w:t>(Philadelphia: University of Pennsylvania Press, 2013), esp. chapter 5 “</w:t>
      </w:r>
      <w:r w:rsidRPr="002A75A8">
        <w:t>The Rule of Relation Domestic Advice Literature and Its Readers</w:t>
      </w:r>
      <w:r>
        <w:t>”,</w:t>
      </w:r>
      <w:r w:rsidRPr="002A75A8">
        <w:t xml:space="preserve"> </w:t>
      </w:r>
      <w:r>
        <w:t>154-201.</w:t>
      </w:r>
    </w:p>
  </w:footnote>
  <w:footnote w:id="39">
    <w:p w14:paraId="193BD17D" w14:textId="77777777" w:rsidR="00182EED" w:rsidRDefault="00182EED" w:rsidP="001840E8">
      <w:pPr>
        <w:pStyle w:val="FootnoteText"/>
      </w:pPr>
      <w:r w:rsidRPr="00391186">
        <w:rPr>
          <w:rStyle w:val="FootnoteReference"/>
        </w:rPr>
        <w:footnoteRef/>
      </w:r>
      <w:r>
        <w:t xml:space="preserve"> </w:t>
      </w:r>
      <w:r w:rsidRPr="00DE29E2">
        <w:rPr>
          <w:lang w:val="en-US"/>
        </w:rPr>
        <w:t>King, “The School of Infancy,” 47.</w:t>
      </w:r>
    </w:p>
  </w:footnote>
  <w:footnote w:id="40">
    <w:p w14:paraId="26E05A64" w14:textId="77777777" w:rsidR="00182EED" w:rsidRDefault="00182EED" w:rsidP="001840E8">
      <w:pPr>
        <w:pStyle w:val="FootnoteText"/>
      </w:pPr>
      <w:r w:rsidRPr="00391186">
        <w:rPr>
          <w:rStyle w:val="FootnoteReference"/>
        </w:rPr>
        <w:footnoteRef/>
      </w:r>
      <w:r>
        <w:t xml:space="preserve"> </w:t>
      </w:r>
      <w:proofErr w:type="spellStart"/>
      <w:r w:rsidRPr="001651E3">
        <w:rPr>
          <w:lang w:val="en-US"/>
        </w:rPr>
        <w:t>Maffeo</w:t>
      </w:r>
      <w:proofErr w:type="spellEnd"/>
      <w:r w:rsidRPr="001651E3">
        <w:rPr>
          <w:lang w:val="en-US"/>
        </w:rPr>
        <w:t xml:space="preserve"> </w:t>
      </w:r>
      <w:proofErr w:type="spellStart"/>
      <w:r w:rsidRPr="001651E3">
        <w:rPr>
          <w:lang w:val="en-US"/>
        </w:rPr>
        <w:t>Vegio</w:t>
      </w:r>
      <w:proofErr w:type="spellEnd"/>
      <w:r w:rsidRPr="001651E3">
        <w:rPr>
          <w:lang w:val="en-US"/>
        </w:rPr>
        <w:t xml:space="preserve"> (</w:t>
      </w:r>
      <w:proofErr w:type="spellStart"/>
      <w:r w:rsidRPr="001651E3">
        <w:rPr>
          <w:lang w:val="en-US"/>
        </w:rPr>
        <w:t>Maphei</w:t>
      </w:r>
      <w:proofErr w:type="spellEnd"/>
      <w:r w:rsidRPr="001651E3">
        <w:rPr>
          <w:lang w:val="en-US"/>
        </w:rPr>
        <w:t xml:space="preserve"> </w:t>
      </w:r>
      <w:proofErr w:type="spellStart"/>
      <w:r w:rsidRPr="001651E3">
        <w:rPr>
          <w:lang w:val="en-US"/>
        </w:rPr>
        <w:t>Vegii</w:t>
      </w:r>
      <w:proofErr w:type="spellEnd"/>
      <w:r w:rsidRPr="001651E3">
        <w:rPr>
          <w:lang w:val="en-US"/>
        </w:rPr>
        <w:t xml:space="preserve"> </w:t>
      </w:r>
      <w:proofErr w:type="spellStart"/>
      <w:r w:rsidRPr="001651E3">
        <w:rPr>
          <w:lang w:val="en-US"/>
        </w:rPr>
        <w:t>Laudensis</w:t>
      </w:r>
      <w:proofErr w:type="spellEnd"/>
      <w:r w:rsidRPr="001651E3">
        <w:rPr>
          <w:lang w:val="en-US"/>
        </w:rPr>
        <w:t xml:space="preserve">), </w:t>
      </w:r>
      <w:r w:rsidRPr="001651E3">
        <w:rPr>
          <w:i/>
          <w:iCs/>
          <w:lang w:val="en-US"/>
        </w:rPr>
        <w:t xml:space="preserve">De </w:t>
      </w:r>
      <w:proofErr w:type="spellStart"/>
      <w:r w:rsidRPr="001651E3">
        <w:rPr>
          <w:i/>
          <w:iCs/>
          <w:lang w:val="en-US"/>
        </w:rPr>
        <w:t>Educatione</w:t>
      </w:r>
      <w:proofErr w:type="spellEnd"/>
      <w:r w:rsidRPr="001651E3">
        <w:rPr>
          <w:i/>
          <w:iCs/>
          <w:lang w:val="en-US"/>
        </w:rPr>
        <w:t xml:space="preserve"> </w:t>
      </w:r>
      <w:proofErr w:type="spellStart"/>
      <w:r w:rsidRPr="001651E3">
        <w:rPr>
          <w:i/>
          <w:iCs/>
          <w:lang w:val="en-US"/>
        </w:rPr>
        <w:t>Liberorum</w:t>
      </w:r>
      <w:proofErr w:type="spellEnd"/>
      <w:r w:rsidRPr="001651E3">
        <w:rPr>
          <w:i/>
          <w:iCs/>
          <w:lang w:val="en-US"/>
        </w:rPr>
        <w:t xml:space="preserve"> et </w:t>
      </w:r>
      <w:proofErr w:type="spellStart"/>
      <w:r w:rsidRPr="001651E3">
        <w:rPr>
          <w:i/>
          <w:iCs/>
          <w:lang w:val="en-US"/>
        </w:rPr>
        <w:t>Eorum</w:t>
      </w:r>
      <w:proofErr w:type="spellEnd"/>
      <w:r w:rsidRPr="001651E3">
        <w:rPr>
          <w:i/>
          <w:iCs/>
          <w:lang w:val="en-US"/>
        </w:rPr>
        <w:t xml:space="preserve"> Claris </w:t>
      </w:r>
      <w:proofErr w:type="spellStart"/>
      <w:r w:rsidRPr="001651E3">
        <w:rPr>
          <w:i/>
          <w:iCs/>
          <w:lang w:val="en-US"/>
        </w:rPr>
        <w:t>Moribus</w:t>
      </w:r>
      <w:proofErr w:type="spellEnd"/>
      <w:r w:rsidRPr="001651E3">
        <w:rPr>
          <w:i/>
          <w:iCs/>
          <w:lang w:val="en-US"/>
        </w:rPr>
        <w:t xml:space="preserve"> Libri Sex: A Critical Text of Books I-III</w:t>
      </w:r>
      <w:r w:rsidRPr="001651E3">
        <w:rPr>
          <w:lang w:val="en-US"/>
        </w:rPr>
        <w:t xml:space="preserve">, </w:t>
      </w:r>
      <w:r w:rsidRPr="001651E3">
        <w:rPr>
          <w:lang w:val="en-US"/>
        </w:rPr>
        <w:t>2.I, 51; 2.II, 54; King, “The School of Infancy,” 47.</w:t>
      </w:r>
    </w:p>
  </w:footnote>
  <w:footnote w:id="41">
    <w:p w14:paraId="07F867BA" w14:textId="77777777" w:rsidR="00182EED" w:rsidRDefault="00182EED" w:rsidP="001840E8">
      <w:pPr>
        <w:pStyle w:val="FootnoteText"/>
      </w:pPr>
      <w:r w:rsidRPr="00391186">
        <w:rPr>
          <w:rStyle w:val="FootnoteReference"/>
        </w:rPr>
        <w:footnoteRef/>
      </w:r>
      <w:r>
        <w:t xml:space="preserve"> </w:t>
      </w:r>
      <w:r w:rsidRPr="00157A91">
        <w:rPr>
          <w:lang w:val="en-US"/>
        </w:rPr>
        <w:t>“</w:t>
      </w:r>
      <w:proofErr w:type="spellStart"/>
      <w:r w:rsidRPr="00157A91">
        <w:rPr>
          <w:lang w:val="en-US"/>
        </w:rPr>
        <w:t>Stimo</w:t>
      </w:r>
      <w:proofErr w:type="spellEnd"/>
      <w:r w:rsidRPr="00157A91">
        <w:rPr>
          <w:lang w:val="en-US"/>
        </w:rPr>
        <w:t xml:space="preserve"> </w:t>
      </w:r>
      <w:proofErr w:type="spellStart"/>
      <w:r w:rsidRPr="00157A91">
        <w:rPr>
          <w:lang w:val="en-US"/>
        </w:rPr>
        <w:t>tutta</w:t>
      </w:r>
      <w:proofErr w:type="spellEnd"/>
      <w:r w:rsidRPr="00157A91">
        <w:rPr>
          <w:lang w:val="en-US"/>
        </w:rPr>
        <w:t xml:space="preserve"> </w:t>
      </w:r>
      <w:proofErr w:type="spellStart"/>
      <w:r w:rsidRPr="00157A91">
        <w:rPr>
          <w:lang w:val="en-US"/>
        </w:rPr>
        <w:t>quella</w:t>
      </w:r>
      <w:proofErr w:type="spellEnd"/>
      <w:r w:rsidRPr="00157A91">
        <w:rPr>
          <w:lang w:val="en-US"/>
        </w:rPr>
        <w:t xml:space="preserve"> </w:t>
      </w:r>
      <w:proofErr w:type="spellStart"/>
      <w:r w:rsidRPr="00157A91">
        <w:rPr>
          <w:lang w:val="en-US"/>
        </w:rPr>
        <w:t>età</w:t>
      </w:r>
      <w:proofErr w:type="spellEnd"/>
      <w:r w:rsidRPr="00157A91">
        <w:rPr>
          <w:lang w:val="en-US"/>
        </w:rPr>
        <w:t xml:space="preserve"> </w:t>
      </w:r>
      <w:proofErr w:type="spellStart"/>
      <w:r w:rsidRPr="00157A91">
        <w:rPr>
          <w:lang w:val="en-US"/>
        </w:rPr>
        <w:t>tenerina</w:t>
      </w:r>
      <w:proofErr w:type="spellEnd"/>
      <w:r w:rsidRPr="00157A91">
        <w:rPr>
          <w:lang w:val="en-US"/>
        </w:rPr>
        <w:t xml:space="preserve"> </w:t>
      </w:r>
      <w:proofErr w:type="spellStart"/>
      <w:r w:rsidRPr="00157A91">
        <w:rPr>
          <w:lang w:val="en-US"/>
        </w:rPr>
        <w:t>piú</w:t>
      </w:r>
      <w:proofErr w:type="spellEnd"/>
      <w:r w:rsidRPr="00157A91">
        <w:rPr>
          <w:lang w:val="en-US"/>
        </w:rPr>
        <w:t xml:space="preserve"> </w:t>
      </w:r>
      <w:proofErr w:type="spellStart"/>
      <w:r w:rsidRPr="00157A91">
        <w:rPr>
          <w:lang w:val="en-US"/>
        </w:rPr>
        <w:t>tosto</w:t>
      </w:r>
      <w:proofErr w:type="spellEnd"/>
      <w:r w:rsidRPr="00157A91">
        <w:rPr>
          <w:lang w:val="en-US"/>
        </w:rPr>
        <w:t xml:space="preserve"> </w:t>
      </w:r>
      <w:proofErr w:type="spellStart"/>
      <w:r w:rsidRPr="00157A91">
        <w:rPr>
          <w:lang w:val="en-US"/>
        </w:rPr>
        <w:t>devota</w:t>
      </w:r>
      <w:proofErr w:type="spellEnd"/>
      <w:r w:rsidRPr="00157A91">
        <w:rPr>
          <w:lang w:val="en-US"/>
        </w:rPr>
        <w:t xml:space="preserve"> al </w:t>
      </w:r>
      <w:proofErr w:type="spellStart"/>
      <w:r w:rsidRPr="00157A91">
        <w:rPr>
          <w:lang w:val="en-US"/>
        </w:rPr>
        <w:t>riposo</w:t>
      </w:r>
      <w:proofErr w:type="spellEnd"/>
      <w:r w:rsidRPr="00157A91">
        <w:rPr>
          <w:lang w:val="en-US"/>
        </w:rPr>
        <w:t xml:space="preserve"> </w:t>
      </w:r>
      <w:proofErr w:type="spellStart"/>
      <w:r w:rsidRPr="00157A91">
        <w:rPr>
          <w:lang w:val="en-US"/>
        </w:rPr>
        <w:t>delle</w:t>
      </w:r>
      <w:proofErr w:type="spellEnd"/>
      <w:r w:rsidRPr="00157A91">
        <w:rPr>
          <w:lang w:val="en-US"/>
        </w:rPr>
        <w:t xml:space="preserve"> </w:t>
      </w:r>
      <w:proofErr w:type="spellStart"/>
      <w:r w:rsidRPr="00157A91">
        <w:rPr>
          <w:lang w:val="en-US"/>
        </w:rPr>
        <w:t>donne</w:t>
      </w:r>
      <w:proofErr w:type="spellEnd"/>
      <w:r w:rsidRPr="00157A91">
        <w:rPr>
          <w:lang w:val="en-US"/>
        </w:rPr>
        <w:t xml:space="preserve">, </w:t>
      </w:r>
      <w:proofErr w:type="spellStart"/>
      <w:r w:rsidRPr="00157A91">
        <w:rPr>
          <w:lang w:val="en-US"/>
        </w:rPr>
        <w:t>che</w:t>
      </w:r>
      <w:proofErr w:type="spellEnd"/>
      <w:r w:rsidRPr="00157A91">
        <w:rPr>
          <w:lang w:val="en-US"/>
        </w:rPr>
        <w:t xml:space="preserve"> </w:t>
      </w:r>
      <w:proofErr w:type="spellStart"/>
      <w:r w:rsidRPr="00157A91">
        <w:rPr>
          <w:lang w:val="en-US"/>
        </w:rPr>
        <w:t>allo</w:t>
      </w:r>
      <w:proofErr w:type="spellEnd"/>
      <w:r w:rsidRPr="00157A91">
        <w:rPr>
          <w:lang w:val="en-US"/>
        </w:rPr>
        <w:t xml:space="preserve"> </w:t>
      </w:r>
      <w:proofErr w:type="spellStart"/>
      <w:r w:rsidRPr="00157A91">
        <w:rPr>
          <w:lang w:val="en-US"/>
        </w:rPr>
        <w:t>essercizio</w:t>
      </w:r>
      <w:proofErr w:type="spellEnd"/>
      <w:r w:rsidRPr="00157A91">
        <w:rPr>
          <w:lang w:val="en-US"/>
        </w:rPr>
        <w:t xml:space="preserve"> </w:t>
      </w:r>
      <w:proofErr w:type="spellStart"/>
      <w:r w:rsidRPr="00157A91">
        <w:rPr>
          <w:lang w:val="en-US"/>
        </w:rPr>
        <w:t>degli</w:t>
      </w:r>
      <w:proofErr w:type="spellEnd"/>
      <w:r w:rsidRPr="00157A91">
        <w:rPr>
          <w:lang w:val="en-US"/>
        </w:rPr>
        <w:t xml:space="preserve"> </w:t>
      </w:r>
      <w:proofErr w:type="spellStart"/>
      <w:r w:rsidRPr="00157A91">
        <w:rPr>
          <w:lang w:val="en-US"/>
        </w:rPr>
        <w:t>uomini</w:t>
      </w:r>
      <w:proofErr w:type="spellEnd"/>
      <w:r w:rsidRPr="00157A91">
        <w:rPr>
          <w:lang w:val="en-US"/>
        </w:rPr>
        <w:t xml:space="preserve"> … </w:t>
      </w:r>
      <w:proofErr w:type="spellStart"/>
      <w:r w:rsidRPr="00157A91">
        <w:rPr>
          <w:lang w:val="en-US"/>
        </w:rPr>
        <w:t>Adunque</w:t>
      </w:r>
      <w:proofErr w:type="spellEnd"/>
      <w:r w:rsidRPr="00157A91">
        <w:rPr>
          <w:lang w:val="en-US"/>
        </w:rPr>
        <w:t xml:space="preserve"> </w:t>
      </w:r>
      <w:proofErr w:type="spellStart"/>
      <w:r w:rsidRPr="00157A91">
        <w:rPr>
          <w:lang w:val="en-US"/>
        </w:rPr>
        <w:t>sia</w:t>
      </w:r>
      <w:proofErr w:type="spellEnd"/>
      <w:r w:rsidRPr="00157A91">
        <w:rPr>
          <w:lang w:val="en-US"/>
        </w:rPr>
        <w:t xml:space="preserve"> </w:t>
      </w:r>
      <w:proofErr w:type="spellStart"/>
      <w:r w:rsidRPr="00157A91">
        <w:rPr>
          <w:lang w:val="en-US"/>
        </w:rPr>
        <w:t>questa</w:t>
      </w:r>
      <w:proofErr w:type="spellEnd"/>
      <w:r w:rsidRPr="00157A91">
        <w:rPr>
          <w:lang w:val="en-US"/>
        </w:rPr>
        <w:t xml:space="preserve"> prima </w:t>
      </w:r>
      <w:proofErr w:type="spellStart"/>
      <w:r w:rsidRPr="00157A91">
        <w:rPr>
          <w:lang w:val="en-US"/>
        </w:rPr>
        <w:t>età</w:t>
      </w:r>
      <w:proofErr w:type="spellEnd"/>
      <w:r w:rsidRPr="00157A91">
        <w:rPr>
          <w:lang w:val="en-US"/>
        </w:rPr>
        <w:t xml:space="preserve"> in </w:t>
      </w:r>
      <w:proofErr w:type="spellStart"/>
      <w:r w:rsidRPr="00157A91">
        <w:rPr>
          <w:lang w:val="en-US"/>
        </w:rPr>
        <w:t>tutto</w:t>
      </w:r>
      <w:proofErr w:type="spellEnd"/>
      <w:r w:rsidRPr="00157A91">
        <w:rPr>
          <w:lang w:val="en-US"/>
        </w:rPr>
        <w:t xml:space="preserve"> </w:t>
      </w:r>
      <w:proofErr w:type="spellStart"/>
      <w:r w:rsidRPr="00157A91">
        <w:rPr>
          <w:lang w:val="en-US"/>
        </w:rPr>
        <w:t>fuori</w:t>
      </w:r>
      <w:proofErr w:type="spellEnd"/>
      <w:r w:rsidRPr="00157A91">
        <w:rPr>
          <w:lang w:val="en-US"/>
        </w:rPr>
        <w:t xml:space="preserve"> </w:t>
      </w:r>
      <w:proofErr w:type="spellStart"/>
      <w:r w:rsidRPr="00157A91">
        <w:rPr>
          <w:lang w:val="en-US"/>
        </w:rPr>
        <w:t>delle</w:t>
      </w:r>
      <w:proofErr w:type="spellEnd"/>
      <w:r w:rsidRPr="00157A91">
        <w:rPr>
          <w:lang w:val="en-US"/>
        </w:rPr>
        <w:t xml:space="preserve"> </w:t>
      </w:r>
      <w:proofErr w:type="spellStart"/>
      <w:r w:rsidRPr="00157A91">
        <w:rPr>
          <w:lang w:val="en-US"/>
        </w:rPr>
        <w:t>braccia</w:t>
      </w:r>
      <w:proofErr w:type="spellEnd"/>
      <w:r w:rsidRPr="00157A91">
        <w:rPr>
          <w:lang w:val="en-US"/>
        </w:rPr>
        <w:t xml:space="preserve"> de’ </w:t>
      </w:r>
      <w:proofErr w:type="spellStart"/>
      <w:r w:rsidRPr="00157A91">
        <w:rPr>
          <w:lang w:val="en-US"/>
        </w:rPr>
        <w:t>padri</w:t>
      </w:r>
      <w:proofErr w:type="spellEnd"/>
      <w:r w:rsidRPr="00157A91">
        <w:rPr>
          <w:lang w:val="en-US"/>
        </w:rPr>
        <w:t xml:space="preserve">, </w:t>
      </w:r>
      <w:proofErr w:type="spellStart"/>
      <w:r w:rsidRPr="00157A91">
        <w:rPr>
          <w:lang w:val="en-US"/>
        </w:rPr>
        <w:t>riposisi</w:t>
      </w:r>
      <w:proofErr w:type="spellEnd"/>
      <w:r w:rsidRPr="00157A91">
        <w:rPr>
          <w:lang w:val="en-US"/>
        </w:rPr>
        <w:t xml:space="preserve">, </w:t>
      </w:r>
      <w:proofErr w:type="spellStart"/>
      <w:r w:rsidRPr="00157A91">
        <w:rPr>
          <w:lang w:val="en-US"/>
        </w:rPr>
        <w:t>dorma</w:t>
      </w:r>
      <w:proofErr w:type="spellEnd"/>
      <w:r w:rsidRPr="00157A91">
        <w:rPr>
          <w:lang w:val="en-US"/>
        </w:rPr>
        <w:t xml:space="preserve"> </w:t>
      </w:r>
      <w:proofErr w:type="spellStart"/>
      <w:r w:rsidRPr="00157A91">
        <w:rPr>
          <w:lang w:val="en-US"/>
        </w:rPr>
        <w:t>nel</w:t>
      </w:r>
      <w:proofErr w:type="spellEnd"/>
      <w:r w:rsidRPr="00157A91">
        <w:rPr>
          <w:lang w:val="en-US"/>
        </w:rPr>
        <w:t xml:space="preserve"> </w:t>
      </w:r>
      <w:proofErr w:type="spellStart"/>
      <w:r w:rsidRPr="00157A91">
        <w:rPr>
          <w:lang w:val="en-US"/>
        </w:rPr>
        <w:t>grembo</w:t>
      </w:r>
      <w:proofErr w:type="spellEnd"/>
      <w:r w:rsidRPr="00157A91">
        <w:rPr>
          <w:lang w:val="en-US"/>
        </w:rPr>
        <w:t xml:space="preserve"> </w:t>
      </w:r>
      <w:proofErr w:type="spellStart"/>
      <w:r w:rsidRPr="00157A91">
        <w:rPr>
          <w:lang w:val="en-US"/>
        </w:rPr>
        <w:t>della</w:t>
      </w:r>
      <w:proofErr w:type="spellEnd"/>
      <w:r w:rsidRPr="00157A91">
        <w:rPr>
          <w:lang w:val="en-US"/>
        </w:rPr>
        <w:t xml:space="preserve"> mamma.” Alberti, </w:t>
      </w:r>
      <w:r w:rsidRPr="00157A91">
        <w:rPr>
          <w:i/>
          <w:iCs/>
          <w:lang w:val="en-US"/>
        </w:rPr>
        <w:t xml:space="preserve">I libri </w:t>
      </w:r>
      <w:proofErr w:type="spellStart"/>
      <w:r w:rsidRPr="00157A91">
        <w:rPr>
          <w:i/>
          <w:iCs/>
          <w:lang w:val="en-US"/>
        </w:rPr>
        <w:t>della</w:t>
      </w:r>
      <w:proofErr w:type="spellEnd"/>
      <w:r w:rsidRPr="00157A91">
        <w:rPr>
          <w:i/>
          <w:iCs/>
          <w:lang w:val="en-US"/>
        </w:rPr>
        <w:t xml:space="preserve"> </w:t>
      </w:r>
      <w:proofErr w:type="spellStart"/>
      <w:r w:rsidRPr="00157A91">
        <w:rPr>
          <w:i/>
          <w:iCs/>
          <w:lang w:val="en-US"/>
        </w:rPr>
        <w:t>famiglia</w:t>
      </w:r>
      <w:proofErr w:type="spellEnd"/>
      <w:r w:rsidRPr="00157A91">
        <w:rPr>
          <w:lang w:val="en-US"/>
        </w:rPr>
        <w:t xml:space="preserve">, 39–40; Quoted in translation in Patricia </w:t>
      </w:r>
      <w:proofErr w:type="spellStart"/>
      <w:r w:rsidRPr="00157A91">
        <w:rPr>
          <w:lang w:val="en-US"/>
        </w:rPr>
        <w:t>Fortini</w:t>
      </w:r>
      <w:proofErr w:type="spellEnd"/>
      <w:r w:rsidRPr="00157A91">
        <w:rPr>
          <w:lang w:val="en-US"/>
        </w:rPr>
        <w:t xml:space="preserve"> Brown, “Children and Education,” in </w:t>
      </w:r>
      <w:r w:rsidRPr="00157A91">
        <w:rPr>
          <w:i/>
          <w:iCs/>
          <w:lang w:val="en-US"/>
        </w:rPr>
        <w:t>At Home in Renaissance Italy</w:t>
      </w:r>
      <w:r w:rsidRPr="00157A91">
        <w:rPr>
          <w:lang w:val="en-US"/>
        </w:rPr>
        <w:t xml:space="preserve">, ed. Marta </w:t>
      </w:r>
      <w:proofErr w:type="spellStart"/>
      <w:r w:rsidRPr="00157A91">
        <w:rPr>
          <w:lang w:val="en-US"/>
        </w:rPr>
        <w:t>Ajmar-Wollheim</w:t>
      </w:r>
      <w:proofErr w:type="spellEnd"/>
      <w:r w:rsidRPr="00157A91">
        <w:rPr>
          <w:lang w:val="en-US"/>
        </w:rPr>
        <w:t xml:space="preserve"> and Flora Dennis (London: V&amp;A Publications, 2006), 140; See also Christiane </w:t>
      </w:r>
      <w:proofErr w:type="spellStart"/>
      <w:r w:rsidRPr="00157A91">
        <w:rPr>
          <w:lang w:val="en-US"/>
        </w:rPr>
        <w:t>Klapisch</w:t>
      </w:r>
      <w:proofErr w:type="spellEnd"/>
      <w:r w:rsidRPr="00157A91">
        <w:rPr>
          <w:lang w:val="en-US"/>
        </w:rPr>
        <w:t xml:space="preserve">-Zuber, “Le </w:t>
      </w:r>
      <w:proofErr w:type="spellStart"/>
      <w:r w:rsidRPr="00157A91">
        <w:rPr>
          <w:lang w:val="en-US"/>
        </w:rPr>
        <w:t>Chiavi</w:t>
      </w:r>
      <w:proofErr w:type="spellEnd"/>
      <w:r w:rsidRPr="00157A91">
        <w:rPr>
          <w:lang w:val="en-US"/>
        </w:rPr>
        <w:t xml:space="preserve"> </w:t>
      </w:r>
      <w:proofErr w:type="spellStart"/>
      <w:r w:rsidRPr="00157A91">
        <w:rPr>
          <w:lang w:val="en-US"/>
        </w:rPr>
        <w:t>Fiorentine</w:t>
      </w:r>
      <w:proofErr w:type="spellEnd"/>
      <w:r w:rsidRPr="00157A91">
        <w:rPr>
          <w:lang w:val="en-US"/>
        </w:rPr>
        <w:t xml:space="preserve"> di </w:t>
      </w:r>
      <w:proofErr w:type="spellStart"/>
      <w:r w:rsidRPr="00157A91">
        <w:rPr>
          <w:lang w:val="en-US"/>
        </w:rPr>
        <w:t>Barbablù</w:t>
      </w:r>
      <w:proofErr w:type="spellEnd"/>
      <w:r w:rsidRPr="00157A91">
        <w:rPr>
          <w:lang w:val="en-US"/>
        </w:rPr>
        <w:t xml:space="preserve">: </w:t>
      </w:r>
      <w:proofErr w:type="spellStart"/>
      <w:r w:rsidRPr="00157A91">
        <w:rPr>
          <w:lang w:val="en-US"/>
        </w:rPr>
        <w:t>L’apprendimento</w:t>
      </w:r>
      <w:proofErr w:type="spellEnd"/>
      <w:r w:rsidRPr="00157A91">
        <w:rPr>
          <w:lang w:val="en-US"/>
        </w:rPr>
        <w:t xml:space="preserve"> </w:t>
      </w:r>
      <w:proofErr w:type="spellStart"/>
      <w:r w:rsidRPr="00157A91">
        <w:rPr>
          <w:lang w:val="en-US"/>
        </w:rPr>
        <w:t>della</w:t>
      </w:r>
      <w:proofErr w:type="spellEnd"/>
      <w:r w:rsidRPr="00157A91">
        <w:rPr>
          <w:lang w:val="en-US"/>
        </w:rPr>
        <w:t xml:space="preserve"> </w:t>
      </w:r>
      <w:proofErr w:type="spellStart"/>
      <w:r w:rsidRPr="00157A91">
        <w:rPr>
          <w:lang w:val="en-US"/>
        </w:rPr>
        <w:t>Lettura</w:t>
      </w:r>
      <w:proofErr w:type="spellEnd"/>
      <w:r w:rsidRPr="00157A91">
        <w:rPr>
          <w:lang w:val="en-US"/>
        </w:rPr>
        <w:t xml:space="preserve"> a Firenze </w:t>
      </w:r>
      <w:proofErr w:type="spellStart"/>
      <w:r w:rsidRPr="00157A91">
        <w:rPr>
          <w:lang w:val="en-US"/>
        </w:rPr>
        <w:t>nel</w:t>
      </w:r>
      <w:proofErr w:type="spellEnd"/>
      <w:r w:rsidRPr="00157A91">
        <w:rPr>
          <w:lang w:val="en-US"/>
        </w:rPr>
        <w:t xml:space="preserve"> XV </w:t>
      </w:r>
      <w:proofErr w:type="spellStart"/>
      <w:r w:rsidRPr="00157A91">
        <w:rPr>
          <w:lang w:val="en-US"/>
        </w:rPr>
        <w:t>Secolo</w:t>
      </w:r>
      <w:proofErr w:type="spellEnd"/>
      <w:r w:rsidRPr="00157A91">
        <w:rPr>
          <w:lang w:val="en-US"/>
        </w:rPr>
        <w:t xml:space="preserve">,” trans. Maddalena Santini, </w:t>
      </w:r>
      <w:proofErr w:type="spellStart"/>
      <w:r w:rsidRPr="00157A91">
        <w:rPr>
          <w:i/>
          <w:iCs/>
          <w:lang w:val="en-US"/>
        </w:rPr>
        <w:t>Quaderni</w:t>
      </w:r>
      <w:proofErr w:type="spellEnd"/>
      <w:r w:rsidRPr="00157A91">
        <w:rPr>
          <w:i/>
          <w:iCs/>
          <w:lang w:val="en-US"/>
        </w:rPr>
        <w:t xml:space="preserve"> </w:t>
      </w:r>
      <w:proofErr w:type="spellStart"/>
      <w:r w:rsidRPr="00157A91">
        <w:rPr>
          <w:i/>
          <w:iCs/>
          <w:lang w:val="en-US"/>
        </w:rPr>
        <w:t>storici</w:t>
      </w:r>
      <w:proofErr w:type="spellEnd"/>
      <w:r w:rsidRPr="00157A91">
        <w:rPr>
          <w:lang w:val="en-US"/>
        </w:rPr>
        <w:t xml:space="preserve"> Vol. 19, no. 57 (3) (December 1984): 769.</w:t>
      </w:r>
    </w:p>
  </w:footnote>
  <w:footnote w:id="42">
    <w:p w14:paraId="5FB0034A" w14:textId="77777777" w:rsidR="00182EED" w:rsidRDefault="00182EED" w:rsidP="001840E8">
      <w:pPr>
        <w:pStyle w:val="FootnoteText"/>
      </w:pPr>
      <w:r w:rsidRPr="00391186">
        <w:rPr>
          <w:rStyle w:val="FootnoteReference"/>
        </w:rPr>
        <w:footnoteRef/>
      </w:r>
      <w:r>
        <w:t xml:space="preserve"> </w:t>
      </w:r>
      <w:r w:rsidRPr="00391186">
        <w:rPr>
          <w:lang w:val="en-US"/>
        </w:rPr>
        <w:t>“</w:t>
      </w:r>
      <w:proofErr w:type="spellStart"/>
      <w:r w:rsidRPr="00391186">
        <w:rPr>
          <w:lang w:val="en-US"/>
        </w:rPr>
        <w:t>Postquam</w:t>
      </w:r>
      <w:proofErr w:type="spellEnd"/>
      <w:r w:rsidRPr="00391186">
        <w:rPr>
          <w:lang w:val="en-US"/>
        </w:rPr>
        <w:t xml:space="preserve"> ex </w:t>
      </w:r>
      <w:proofErr w:type="spellStart"/>
      <w:r w:rsidRPr="00391186">
        <w:rPr>
          <w:lang w:val="en-US"/>
        </w:rPr>
        <w:t>infantibus</w:t>
      </w:r>
      <w:proofErr w:type="spellEnd"/>
      <w:r w:rsidRPr="00391186">
        <w:rPr>
          <w:lang w:val="en-US"/>
        </w:rPr>
        <w:t xml:space="preserve"> </w:t>
      </w:r>
      <w:proofErr w:type="spellStart"/>
      <w:r w:rsidRPr="00391186">
        <w:rPr>
          <w:lang w:val="en-US"/>
        </w:rPr>
        <w:t>excesserint</w:t>
      </w:r>
      <w:proofErr w:type="spellEnd"/>
      <w:r w:rsidRPr="00391186">
        <w:rPr>
          <w:lang w:val="en-US"/>
        </w:rPr>
        <w:t xml:space="preserve">, </w:t>
      </w:r>
      <w:proofErr w:type="spellStart"/>
      <w:r w:rsidRPr="00391186">
        <w:rPr>
          <w:lang w:val="en-US"/>
        </w:rPr>
        <w:t>ut</w:t>
      </w:r>
      <w:proofErr w:type="spellEnd"/>
      <w:r w:rsidRPr="00391186">
        <w:rPr>
          <w:lang w:val="en-US"/>
        </w:rPr>
        <w:t xml:space="preserve"> animi et corporis </w:t>
      </w:r>
      <w:proofErr w:type="spellStart"/>
      <w:r w:rsidRPr="00391186">
        <w:rPr>
          <w:lang w:val="en-US"/>
        </w:rPr>
        <w:t>dotibus</w:t>
      </w:r>
      <w:proofErr w:type="spellEnd"/>
      <w:r w:rsidRPr="00391186">
        <w:rPr>
          <w:lang w:val="en-US"/>
        </w:rPr>
        <w:t xml:space="preserve"> </w:t>
      </w:r>
      <w:proofErr w:type="spellStart"/>
      <w:r w:rsidRPr="00391186">
        <w:rPr>
          <w:lang w:val="en-US"/>
        </w:rPr>
        <w:t>excellant</w:t>
      </w:r>
      <w:proofErr w:type="spellEnd"/>
      <w:r w:rsidRPr="00391186">
        <w:rPr>
          <w:lang w:val="en-US"/>
        </w:rPr>
        <w:t xml:space="preserve">, </w:t>
      </w:r>
      <w:proofErr w:type="spellStart"/>
      <w:r w:rsidRPr="00391186">
        <w:rPr>
          <w:lang w:val="en-US"/>
        </w:rPr>
        <w:t>ingenium</w:t>
      </w:r>
      <w:proofErr w:type="spellEnd"/>
      <w:r w:rsidRPr="00391186">
        <w:rPr>
          <w:lang w:val="en-US"/>
        </w:rPr>
        <w:t xml:space="preserve">, </w:t>
      </w:r>
      <w:proofErr w:type="spellStart"/>
      <w:r w:rsidRPr="00391186">
        <w:rPr>
          <w:lang w:val="en-US"/>
        </w:rPr>
        <w:t>curam</w:t>
      </w:r>
      <w:proofErr w:type="spellEnd"/>
      <w:r w:rsidRPr="00391186">
        <w:rPr>
          <w:lang w:val="en-US"/>
        </w:rPr>
        <w:t xml:space="preserve">, </w:t>
      </w:r>
      <w:proofErr w:type="spellStart"/>
      <w:r w:rsidRPr="00391186">
        <w:rPr>
          <w:lang w:val="en-US"/>
        </w:rPr>
        <w:t>operam</w:t>
      </w:r>
      <w:proofErr w:type="spellEnd"/>
      <w:r w:rsidRPr="00391186">
        <w:rPr>
          <w:lang w:val="en-US"/>
        </w:rPr>
        <w:t xml:space="preserve">, </w:t>
      </w:r>
      <w:proofErr w:type="spellStart"/>
      <w:r w:rsidRPr="00391186">
        <w:rPr>
          <w:lang w:val="en-US"/>
        </w:rPr>
        <w:t>matres</w:t>
      </w:r>
      <w:proofErr w:type="spellEnd"/>
      <w:r w:rsidRPr="00391186">
        <w:rPr>
          <w:lang w:val="en-US"/>
        </w:rPr>
        <w:t xml:space="preserve"> </w:t>
      </w:r>
      <w:proofErr w:type="spellStart"/>
      <w:r w:rsidRPr="00391186">
        <w:rPr>
          <w:lang w:val="en-US"/>
        </w:rPr>
        <w:t>impendant</w:t>
      </w:r>
      <w:proofErr w:type="spellEnd"/>
      <w:r w:rsidRPr="00391186">
        <w:rPr>
          <w:lang w:val="en-US"/>
        </w:rPr>
        <w:t xml:space="preserve">.” </w:t>
      </w:r>
      <w:proofErr w:type="spellStart"/>
      <w:r w:rsidRPr="00391186">
        <w:rPr>
          <w:lang w:val="en-US"/>
        </w:rPr>
        <w:t>Barbaro</w:t>
      </w:r>
      <w:proofErr w:type="spellEnd"/>
      <w:r w:rsidRPr="00391186">
        <w:rPr>
          <w:lang w:val="en-US"/>
        </w:rPr>
        <w:t>, “</w:t>
      </w:r>
      <w:r w:rsidRPr="00391186">
        <w:rPr>
          <w:i/>
          <w:iCs/>
          <w:lang w:val="en-US"/>
        </w:rPr>
        <w:t xml:space="preserve">De </w:t>
      </w:r>
      <w:proofErr w:type="spellStart"/>
      <w:r w:rsidRPr="00391186">
        <w:rPr>
          <w:i/>
          <w:iCs/>
          <w:lang w:val="en-US"/>
        </w:rPr>
        <w:t>Liberorum</w:t>
      </w:r>
      <w:proofErr w:type="spellEnd"/>
      <w:r w:rsidRPr="00391186">
        <w:rPr>
          <w:i/>
          <w:iCs/>
          <w:lang w:val="en-US"/>
        </w:rPr>
        <w:t xml:space="preserve"> </w:t>
      </w:r>
      <w:proofErr w:type="spellStart"/>
      <w:r w:rsidRPr="00391186">
        <w:rPr>
          <w:i/>
          <w:iCs/>
          <w:lang w:val="en-US"/>
        </w:rPr>
        <w:t>Educatione</w:t>
      </w:r>
      <w:proofErr w:type="spellEnd"/>
      <w:r w:rsidRPr="00391186">
        <w:rPr>
          <w:lang w:val="en-US"/>
        </w:rPr>
        <w:t xml:space="preserve"> Dal </w:t>
      </w:r>
      <w:r w:rsidRPr="00391186">
        <w:rPr>
          <w:i/>
          <w:iCs/>
          <w:lang w:val="en-US"/>
        </w:rPr>
        <w:t xml:space="preserve">De Re </w:t>
      </w:r>
      <w:proofErr w:type="spellStart"/>
      <w:r w:rsidRPr="00391186">
        <w:rPr>
          <w:i/>
          <w:iCs/>
          <w:lang w:val="en-US"/>
        </w:rPr>
        <w:t>Uxoria</w:t>
      </w:r>
      <w:proofErr w:type="spellEnd"/>
      <w:r w:rsidRPr="00391186">
        <w:rPr>
          <w:lang w:val="en-US"/>
        </w:rPr>
        <w:t xml:space="preserve">,” 140–42; Also quoted in Woodward, </w:t>
      </w:r>
      <w:proofErr w:type="spellStart"/>
      <w:r w:rsidRPr="00391186">
        <w:rPr>
          <w:i/>
          <w:iCs/>
          <w:lang w:val="en-US"/>
        </w:rPr>
        <w:t>Vittorino</w:t>
      </w:r>
      <w:proofErr w:type="spellEnd"/>
      <w:r w:rsidRPr="00391186">
        <w:rPr>
          <w:i/>
          <w:iCs/>
          <w:lang w:val="en-US"/>
        </w:rPr>
        <w:t xml:space="preserve"> da Feltre</w:t>
      </w:r>
      <w:r w:rsidRPr="00391186">
        <w:rPr>
          <w:lang w:val="en-US"/>
        </w:rPr>
        <w:t xml:space="preserve">, 193; English translation from </w:t>
      </w:r>
      <w:proofErr w:type="spellStart"/>
      <w:r w:rsidRPr="00391186">
        <w:rPr>
          <w:lang w:val="en-US"/>
        </w:rPr>
        <w:t>Barbaro</w:t>
      </w:r>
      <w:proofErr w:type="spellEnd"/>
      <w:r w:rsidRPr="00391186">
        <w:rPr>
          <w:lang w:val="en-US"/>
        </w:rPr>
        <w:t>, “On Wifely Duties,” 224; Also quoted in King, “The School of Infancy,” 60–61.</w:t>
      </w:r>
    </w:p>
  </w:footnote>
  <w:footnote w:id="43">
    <w:p w14:paraId="7E7B1AFA" w14:textId="77777777" w:rsidR="00182EED" w:rsidRDefault="00182EED" w:rsidP="001840E8">
      <w:pPr>
        <w:pStyle w:val="FootnoteText"/>
      </w:pPr>
      <w:r w:rsidRPr="00391186">
        <w:rPr>
          <w:rStyle w:val="FootnoteReference"/>
        </w:rPr>
        <w:footnoteRef/>
      </w:r>
      <w:r>
        <w:t xml:space="preserve"> </w:t>
      </w:r>
      <w:r w:rsidRPr="00DE29E2">
        <w:rPr>
          <w:lang w:val="en-US"/>
        </w:rPr>
        <w:t>King, “The School of Infancy,” 55.</w:t>
      </w:r>
    </w:p>
  </w:footnote>
  <w:footnote w:id="44">
    <w:p w14:paraId="53C6D4A4" w14:textId="77777777" w:rsidR="00182EED" w:rsidRDefault="00182EED" w:rsidP="001840E8">
      <w:pPr>
        <w:pStyle w:val="FootnoteText"/>
      </w:pPr>
      <w:r w:rsidRPr="00391186">
        <w:rPr>
          <w:rStyle w:val="FootnoteReference"/>
        </w:rPr>
        <w:footnoteRef/>
      </w:r>
      <w:r>
        <w:t xml:space="preserve"> </w:t>
      </w:r>
      <w:r w:rsidRPr="00157A91">
        <w:rPr>
          <w:lang w:val="en-US"/>
        </w:rPr>
        <w:t>“</w:t>
      </w:r>
      <w:proofErr w:type="spellStart"/>
      <w:r w:rsidRPr="00157A91">
        <w:rPr>
          <w:lang w:val="en-US"/>
        </w:rPr>
        <w:t>Maternus</w:t>
      </w:r>
      <w:proofErr w:type="spellEnd"/>
      <w:r w:rsidRPr="00157A91">
        <w:rPr>
          <w:lang w:val="en-US"/>
        </w:rPr>
        <w:t xml:space="preserve"> </w:t>
      </w:r>
      <w:proofErr w:type="spellStart"/>
      <w:r w:rsidRPr="00157A91">
        <w:rPr>
          <w:lang w:val="en-US"/>
        </w:rPr>
        <w:t>sermo</w:t>
      </w:r>
      <w:proofErr w:type="spellEnd"/>
      <w:r w:rsidRPr="00157A91">
        <w:rPr>
          <w:lang w:val="en-US"/>
        </w:rPr>
        <w:t xml:space="preserve"> </w:t>
      </w:r>
      <w:proofErr w:type="spellStart"/>
      <w:r w:rsidRPr="00157A91">
        <w:rPr>
          <w:lang w:val="en-US"/>
        </w:rPr>
        <w:t>patientia</w:t>
      </w:r>
      <w:proofErr w:type="spellEnd"/>
      <w:r w:rsidRPr="00157A91">
        <w:rPr>
          <w:lang w:val="en-US"/>
        </w:rPr>
        <w:t xml:space="preserve"> </w:t>
      </w:r>
      <w:proofErr w:type="spellStart"/>
      <w:r w:rsidRPr="00157A91">
        <w:rPr>
          <w:lang w:val="en-US"/>
        </w:rPr>
        <w:t>conditus</w:t>
      </w:r>
      <w:proofErr w:type="spellEnd"/>
      <w:r w:rsidRPr="00157A91">
        <w:rPr>
          <w:lang w:val="en-US"/>
        </w:rPr>
        <w:t xml:space="preserve"> et </w:t>
      </w:r>
      <w:proofErr w:type="spellStart"/>
      <w:r w:rsidRPr="00157A91">
        <w:rPr>
          <w:lang w:val="en-US"/>
        </w:rPr>
        <w:t>elegantia</w:t>
      </w:r>
      <w:proofErr w:type="spellEnd"/>
      <w:r w:rsidRPr="00157A91">
        <w:rPr>
          <w:lang w:val="en-US"/>
        </w:rPr>
        <w:t xml:space="preserve"> </w:t>
      </w:r>
      <w:proofErr w:type="spellStart"/>
      <w:r w:rsidRPr="00157A91">
        <w:rPr>
          <w:lang w:val="en-US"/>
        </w:rPr>
        <w:t>saepe</w:t>
      </w:r>
      <w:proofErr w:type="spellEnd"/>
      <w:r w:rsidRPr="00157A91">
        <w:rPr>
          <w:lang w:val="en-US"/>
        </w:rPr>
        <w:t xml:space="preserve"> </w:t>
      </w:r>
      <w:proofErr w:type="spellStart"/>
      <w:r w:rsidRPr="00157A91">
        <w:rPr>
          <w:lang w:val="en-US"/>
        </w:rPr>
        <w:t>filius</w:t>
      </w:r>
      <w:proofErr w:type="spellEnd"/>
      <w:r w:rsidRPr="00157A91">
        <w:rPr>
          <w:lang w:val="en-US"/>
        </w:rPr>
        <w:t xml:space="preserve"> </w:t>
      </w:r>
      <w:proofErr w:type="spellStart"/>
      <w:r w:rsidRPr="00157A91">
        <w:rPr>
          <w:lang w:val="en-US"/>
        </w:rPr>
        <w:t>profuit</w:t>
      </w:r>
      <w:proofErr w:type="spellEnd"/>
      <w:r w:rsidRPr="00157A91">
        <w:rPr>
          <w:lang w:val="en-US"/>
        </w:rPr>
        <w:t xml:space="preserve">, </w:t>
      </w:r>
      <w:proofErr w:type="spellStart"/>
      <w:r w:rsidRPr="00157A91">
        <w:rPr>
          <w:lang w:val="en-US"/>
        </w:rPr>
        <w:t>ut</w:t>
      </w:r>
      <w:proofErr w:type="spellEnd"/>
      <w:r w:rsidRPr="00157A91">
        <w:rPr>
          <w:lang w:val="en-US"/>
        </w:rPr>
        <w:t xml:space="preserve"> de Cornelia, </w:t>
      </w:r>
      <w:proofErr w:type="spellStart"/>
      <w:r w:rsidRPr="00157A91">
        <w:rPr>
          <w:lang w:val="en-US"/>
        </w:rPr>
        <w:t>Graccorum</w:t>
      </w:r>
      <w:proofErr w:type="spellEnd"/>
      <w:r w:rsidRPr="00157A91">
        <w:rPr>
          <w:lang w:val="en-US"/>
        </w:rPr>
        <w:t xml:space="preserve"> </w:t>
      </w:r>
      <w:proofErr w:type="spellStart"/>
      <w:r w:rsidRPr="00157A91">
        <w:rPr>
          <w:lang w:val="en-US"/>
        </w:rPr>
        <w:t>matre</w:t>
      </w:r>
      <w:proofErr w:type="spellEnd"/>
      <w:r w:rsidRPr="00157A91">
        <w:rPr>
          <w:lang w:val="en-US"/>
        </w:rPr>
        <w:t xml:space="preserve">, </w:t>
      </w:r>
      <w:proofErr w:type="spellStart"/>
      <w:r w:rsidRPr="00157A91">
        <w:rPr>
          <w:lang w:val="en-US"/>
        </w:rPr>
        <w:t>plerique</w:t>
      </w:r>
      <w:proofErr w:type="spellEnd"/>
      <w:r w:rsidRPr="00157A91">
        <w:rPr>
          <w:lang w:val="en-US"/>
        </w:rPr>
        <w:t xml:space="preserve"> </w:t>
      </w:r>
      <w:proofErr w:type="spellStart"/>
      <w:r w:rsidRPr="00157A91">
        <w:rPr>
          <w:lang w:val="en-US"/>
        </w:rPr>
        <w:t>scribunt</w:t>
      </w:r>
      <w:proofErr w:type="spellEnd"/>
      <w:r w:rsidRPr="00157A91">
        <w:rPr>
          <w:lang w:val="en-US"/>
        </w:rPr>
        <w:t xml:space="preserve">, </w:t>
      </w:r>
      <w:proofErr w:type="spellStart"/>
      <w:r w:rsidRPr="00157A91">
        <w:rPr>
          <w:lang w:val="en-US"/>
        </w:rPr>
        <w:t>cuius</w:t>
      </w:r>
      <w:proofErr w:type="spellEnd"/>
      <w:r w:rsidRPr="00157A91">
        <w:rPr>
          <w:lang w:val="en-US"/>
        </w:rPr>
        <w:t xml:space="preserve"> </w:t>
      </w:r>
      <w:proofErr w:type="spellStart"/>
      <w:r w:rsidRPr="00157A91">
        <w:rPr>
          <w:lang w:val="en-US"/>
        </w:rPr>
        <w:t>eloquentia</w:t>
      </w:r>
      <w:proofErr w:type="spellEnd"/>
      <w:r w:rsidRPr="00157A91">
        <w:rPr>
          <w:lang w:val="en-US"/>
        </w:rPr>
        <w:t xml:space="preserve"> in </w:t>
      </w:r>
      <w:proofErr w:type="spellStart"/>
      <w:r w:rsidRPr="00157A91">
        <w:rPr>
          <w:lang w:val="en-US"/>
        </w:rPr>
        <w:t>filiis</w:t>
      </w:r>
      <w:proofErr w:type="spellEnd"/>
      <w:r w:rsidRPr="00157A91">
        <w:rPr>
          <w:lang w:val="en-US"/>
        </w:rPr>
        <w:t xml:space="preserve"> </w:t>
      </w:r>
      <w:proofErr w:type="spellStart"/>
      <w:r w:rsidRPr="00157A91">
        <w:rPr>
          <w:lang w:val="en-US"/>
        </w:rPr>
        <w:t>redolebat</w:t>
      </w:r>
      <w:proofErr w:type="spellEnd"/>
      <w:r w:rsidRPr="00157A91">
        <w:rPr>
          <w:lang w:val="en-US"/>
        </w:rPr>
        <w:t xml:space="preserve">.” </w:t>
      </w:r>
      <w:proofErr w:type="spellStart"/>
      <w:r w:rsidRPr="00157A91">
        <w:rPr>
          <w:lang w:val="en-US"/>
        </w:rPr>
        <w:t>Piccolomini</w:t>
      </w:r>
      <w:proofErr w:type="spellEnd"/>
      <w:r w:rsidRPr="00157A91">
        <w:rPr>
          <w:lang w:val="en-US"/>
        </w:rPr>
        <w:t xml:space="preserve">, “De </w:t>
      </w:r>
      <w:proofErr w:type="spellStart"/>
      <w:r w:rsidRPr="00157A91">
        <w:rPr>
          <w:lang w:val="en-US"/>
        </w:rPr>
        <w:t>Liberorum</w:t>
      </w:r>
      <w:proofErr w:type="spellEnd"/>
      <w:r w:rsidRPr="00157A91">
        <w:rPr>
          <w:lang w:val="en-US"/>
        </w:rPr>
        <w:t xml:space="preserve"> </w:t>
      </w:r>
      <w:proofErr w:type="spellStart"/>
      <w:r w:rsidRPr="00157A91">
        <w:rPr>
          <w:lang w:val="en-US"/>
        </w:rPr>
        <w:t>Educatione</w:t>
      </w:r>
      <w:proofErr w:type="spellEnd"/>
      <w:r w:rsidRPr="00157A91">
        <w:rPr>
          <w:lang w:val="en-US"/>
        </w:rPr>
        <w:t xml:space="preserve">,” 162–63; See also Woodward, </w:t>
      </w:r>
      <w:proofErr w:type="spellStart"/>
      <w:r w:rsidRPr="00157A91">
        <w:rPr>
          <w:i/>
          <w:iCs/>
          <w:lang w:val="en-US"/>
        </w:rPr>
        <w:t>Vittorino</w:t>
      </w:r>
      <w:proofErr w:type="spellEnd"/>
      <w:r w:rsidRPr="00157A91">
        <w:rPr>
          <w:i/>
          <w:iCs/>
          <w:lang w:val="en-US"/>
        </w:rPr>
        <w:t xml:space="preserve"> da Feltre</w:t>
      </w:r>
      <w:r w:rsidRPr="00157A91">
        <w:rPr>
          <w:lang w:val="en-US"/>
        </w:rPr>
        <w:t>, 141.</w:t>
      </w:r>
    </w:p>
  </w:footnote>
  <w:footnote w:id="45">
    <w:p w14:paraId="0DD8801B" w14:textId="77777777" w:rsidR="00182EED" w:rsidRDefault="00182EED" w:rsidP="001840E8">
      <w:pPr>
        <w:pStyle w:val="FootnoteText"/>
      </w:pPr>
      <w:r w:rsidRPr="00391186">
        <w:rPr>
          <w:rStyle w:val="FootnoteReference"/>
        </w:rPr>
        <w:footnoteRef/>
      </w:r>
      <w:r>
        <w:t xml:space="preserve"> </w:t>
      </w:r>
      <w:proofErr w:type="spellStart"/>
      <w:r w:rsidRPr="00391186">
        <w:rPr>
          <w:lang w:val="en-US"/>
        </w:rPr>
        <w:t>Barbaro</w:t>
      </w:r>
      <w:proofErr w:type="spellEnd"/>
      <w:r w:rsidRPr="00391186">
        <w:rPr>
          <w:lang w:val="en-US"/>
        </w:rPr>
        <w:t>, “</w:t>
      </w:r>
      <w:r w:rsidRPr="00391186">
        <w:rPr>
          <w:i/>
          <w:iCs/>
          <w:lang w:val="en-US"/>
        </w:rPr>
        <w:t xml:space="preserve">De </w:t>
      </w:r>
      <w:proofErr w:type="spellStart"/>
      <w:r w:rsidRPr="00391186">
        <w:rPr>
          <w:i/>
          <w:iCs/>
          <w:lang w:val="en-US"/>
        </w:rPr>
        <w:t>Liberorum</w:t>
      </w:r>
      <w:proofErr w:type="spellEnd"/>
      <w:r w:rsidRPr="00391186">
        <w:rPr>
          <w:i/>
          <w:iCs/>
          <w:lang w:val="en-US"/>
        </w:rPr>
        <w:t xml:space="preserve"> </w:t>
      </w:r>
      <w:proofErr w:type="spellStart"/>
      <w:r w:rsidRPr="00391186">
        <w:rPr>
          <w:i/>
          <w:iCs/>
          <w:lang w:val="en-US"/>
        </w:rPr>
        <w:t>Educatione</w:t>
      </w:r>
      <w:proofErr w:type="spellEnd"/>
      <w:r w:rsidRPr="00391186">
        <w:rPr>
          <w:lang w:val="en-US"/>
        </w:rPr>
        <w:t xml:space="preserve"> Dal </w:t>
      </w:r>
      <w:r w:rsidRPr="00391186">
        <w:rPr>
          <w:i/>
          <w:iCs/>
          <w:lang w:val="en-US"/>
        </w:rPr>
        <w:t xml:space="preserve">De Re </w:t>
      </w:r>
      <w:proofErr w:type="spellStart"/>
      <w:r w:rsidRPr="00391186">
        <w:rPr>
          <w:i/>
          <w:iCs/>
          <w:lang w:val="en-US"/>
        </w:rPr>
        <w:t>Uxoria</w:t>
      </w:r>
      <w:proofErr w:type="spellEnd"/>
      <w:r w:rsidRPr="00391186">
        <w:rPr>
          <w:lang w:val="en-US"/>
        </w:rPr>
        <w:t xml:space="preserve">,” 140; English translation from </w:t>
      </w:r>
      <w:proofErr w:type="spellStart"/>
      <w:r w:rsidRPr="00391186">
        <w:rPr>
          <w:lang w:val="en-US"/>
        </w:rPr>
        <w:t>Barbaro</w:t>
      </w:r>
      <w:proofErr w:type="spellEnd"/>
      <w:r w:rsidRPr="00391186">
        <w:rPr>
          <w:lang w:val="en-US"/>
        </w:rPr>
        <w:t>, “On Wifely Duties,” 223.</w:t>
      </w:r>
    </w:p>
  </w:footnote>
  <w:footnote w:id="46">
    <w:p w14:paraId="45B74E32" w14:textId="77777777" w:rsidR="00182EED" w:rsidRDefault="00182EED" w:rsidP="001840E8">
      <w:pPr>
        <w:pStyle w:val="FootnoteText"/>
      </w:pPr>
      <w:r w:rsidRPr="00391186">
        <w:rPr>
          <w:rStyle w:val="FootnoteReference"/>
        </w:rPr>
        <w:footnoteRef/>
      </w:r>
      <w:r>
        <w:t xml:space="preserve"> </w:t>
      </w:r>
      <w:r w:rsidRPr="00952409">
        <w:rPr>
          <w:lang w:val="en-US"/>
        </w:rPr>
        <w:t xml:space="preserve">Palmieri, </w:t>
      </w:r>
      <w:r w:rsidRPr="00952409">
        <w:rPr>
          <w:i/>
          <w:iCs/>
          <w:lang w:val="en-US"/>
        </w:rPr>
        <w:t xml:space="preserve">Vita </w:t>
      </w:r>
      <w:proofErr w:type="spellStart"/>
      <w:r w:rsidRPr="00952409">
        <w:rPr>
          <w:i/>
          <w:iCs/>
          <w:lang w:val="en-US"/>
        </w:rPr>
        <w:t>Civile</w:t>
      </w:r>
      <w:proofErr w:type="spellEnd"/>
      <w:r w:rsidRPr="00952409">
        <w:rPr>
          <w:lang w:val="en-US"/>
        </w:rPr>
        <w:t xml:space="preserve">, 20; See also </w:t>
      </w:r>
      <w:proofErr w:type="spellStart"/>
      <w:r w:rsidRPr="00952409">
        <w:rPr>
          <w:lang w:val="en-US"/>
        </w:rPr>
        <w:t>Klapisch</w:t>
      </w:r>
      <w:proofErr w:type="spellEnd"/>
      <w:r w:rsidRPr="00952409">
        <w:rPr>
          <w:lang w:val="en-US"/>
        </w:rPr>
        <w:t xml:space="preserve">-Zuber, “Le </w:t>
      </w:r>
      <w:proofErr w:type="spellStart"/>
      <w:r w:rsidRPr="00952409">
        <w:rPr>
          <w:lang w:val="en-US"/>
        </w:rPr>
        <w:t>Chiavi</w:t>
      </w:r>
      <w:proofErr w:type="spellEnd"/>
      <w:r w:rsidRPr="00952409">
        <w:rPr>
          <w:lang w:val="en-US"/>
        </w:rPr>
        <w:t xml:space="preserve"> </w:t>
      </w:r>
      <w:proofErr w:type="spellStart"/>
      <w:r w:rsidRPr="00952409">
        <w:rPr>
          <w:lang w:val="en-US"/>
        </w:rPr>
        <w:t>Fiorentine</w:t>
      </w:r>
      <w:proofErr w:type="spellEnd"/>
      <w:r w:rsidRPr="00952409">
        <w:rPr>
          <w:lang w:val="en-US"/>
        </w:rPr>
        <w:t xml:space="preserve"> di </w:t>
      </w:r>
      <w:proofErr w:type="spellStart"/>
      <w:r w:rsidRPr="00952409">
        <w:rPr>
          <w:lang w:val="en-US"/>
        </w:rPr>
        <w:t>Barbablù</w:t>
      </w:r>
      <w:proofErr w:type="spellEnd"/>
      <w:r w:rsidRPr="00952409">
        <w:rPr>
          <w:lang w:val="en-US"/>
        </w:rPr>
        <w:t>,” 786, n. 29, in which the author interprets Palmieri’s text as describing the mother’s attitude, although my understanding is that it is a more a suggestion of the qualities which should be sought in a nurse.</w:t>
      </w:r>
    </w:p>
  </w:footnote>
  <w:footnote w:id="47">
    <w:p w14:paraId="243FAB75" w14:textId="77777777" w:rsidR="00182EED" w:rsidRDefault="00182EED" w:rsidP="001840E8">
      <w:pPr>
        <w:pStyle w:val="FootnoteText"/>
      </w:pPr>
      <w:r w:rsidRPr="00391186">
        <w:rPr>
          <w:rStyle w:val="FootnoteReference"/>
        </w:rPr>
        <w:footnoteRef/>
      </w:r>
      <w:r>
        <w:t xml:space="preserve"> </w:t>
      </w:r>
      <w:proofErr w:type="spellStart"/>
      <w:r w:rsidRPr="00875823">
        <w:rPr>
          <w:lang w:val="en-US"/>
        </w:rPr>
        <w:t>Maffeo</w:t>
      </w:r>
      <w:proofErr w:type="spellEnd"/>
      <w:r w:rsidRPr="00875823">
        <w:rPr>
          <w:lang w:val="en-US"/>
        </w:rPr>
        <w:t xml:space="preserve"> </w:t>
      </w:r>
      <w:proofErr w:type="spellStart"/>
      <w:r w:rsidRPr="00875823">
        <w:rPr>
          <w:lang w:val="en-US"/>
        </w:rPr>
        <w:t>Vegio</w:t>
      </w:r>
      <w:proofErr w:type="spellEnd"/>
      <w:r w:rsidRPr="00875823">
        <w:rPr>
          <w:lang w:val="en-US"/>
        </w:rPr>
        <w:t xml:space="preserve"> (</w:t>
      </w:r>
      <w:proofErr w:type="spellStart"/>
      <w:r w:rsidRPr="00875823">
        <w:rPr>
          <w:lang w:val="en-US"/>
        </w:rPr>
        <w:t>Maphei</w:t>
      </w:r>
      <w:proofErr w:type="spellEnd"/>
      <w:r w:rsidRPr="00875823">
        <w:rPr>
          <w:lang w:val="en-US"/>
        </w:rPr>
        <w:t xml:space="preserve"> </w:t>
      </w:r>
      <w:proofErr w:type="spellStart"/>
      <w:r w:rsidRPr="00875823">
        <w:rPr>
          <w:lang w:val="en-US"/>
        </w:rPr>
        <w:t>Vegii</w:t>
      </w:r>
      <w:proofErr w:type="spellEnd"/>
      <w:r w:rsidRPr="00875823">
        <w:rPr>
          <w:lang w:val="en-US"/>
        </w:rPr>
        <w:t xml:space="preserve"> </w:t>
      </w:r>
      <w:proofErr w:type="spellStart"/>
      <w:r w:rsidRPr="00875823">
        <w:rPr>
          <w:lang w:val="en-US"/>
        </w:rPr>
        <w:t>Laudensis</w:t>
      </w:r>
      <w:proofErr w:type="spellEnd"/>
      <w:r w:rsidRPr="00875823">
        <w:rPr>
          <w:lang w:val="en-US"/>
        </w:rPr>
        <w:t xml:space="preserve">), “De </w:t>
      </w:r>
      <w:proofErr w:type="spellStart"/>
      <w:r w:rsidRPr="00875823">
        <w:rPr>
          <w:lang w:val="en-US"/>
        </w:rPr>
        <w:t>Educatione</w:t>
      </w:r>
      <w:proofErr w:type="spellEnd"/>
      <w:r w:rsidRPr="00875823">
        <w:rPr>
          <w:lang w:val="en-US"/>
        </w:rPr>
        <w:t xml:space="preserve"> </w:t>
      </w:r>
      <w:proofErr w:type="spellStart"/>
      <w:r w:rsidRPr="00875823">
        <w:rPr>
          <w:lang w:val="en-US"/>
        </w:rPr>
        <w:t>Liberorum</w:t>
      </w:r>
      <w:proofErr w:type="spellEnd"/>
      <w:r w:rsidRPr="00875823">
        <w:rPr>
          <w:lang w:val="en-US"/>
        </w:rPr>
        <w:t xml:space="preserve">,” 1.IX, 30; See </w:t>
      </w:r>
      <w:proofErr w:type="spellStart"/>
      <w:r w:rsidRPr="00875823">
        <w:rPr>
          <w:lang w:val="en-US"/>
        </w:rPr>
        <w:t>Klapisch</w:t>
      </w:r>
      <w:proofErr w:type="spellEnd"/>
      <w:r w:rsidRPr="00875823">
        <w:rPr>
          <w:lang w:val="en-US"/>
        </w:rPr>
        <w:t xml:space="preserve">-Zuber, “Le </w:t>
      </w:r>
      <w:proofErr w:type="spellStart"/>
      <w:r w:rsidRPr="00875823">
        <w:rPr>
          <w:lang w:val="en-US"/>
        </w:rPr>
        <w:t>Chiavi</w:t>
      </w:r>
      <w:proofErr w:type="spellEnd"/>
      <w:r w:rsidRPr="00875823">
        <w:rPr>
          <w:lang w:val="en-US"/>
        </w:rPr>
        <w:t xml:space="preserve"> </w:t>
      </w:r>
      <w:proofErr w:type="spellStart"/>
      <w:r w:rsidRPr="00875823">
        <w:rPr>
          <w:lang w:val="en-US"/>
        </w:rPr>
        <w:t>Fiorentine</w:t>
      </w:r>
      <w:proofErr w:type="spellEnd"/>
      <w:r w:rsidRPr="00875823">
        <w:rPr>
          <w:lang w:val="en-US"/>
        </w:rPr>
        <w:t xml:space="preserve"> di </w:t>
      </w:r>
      <w:proofErr w:type="spellStart"/>
      <w:r w:rsidRPr="00875823">
        <w:rPr>
          <w:lang w:val="en-US"/>
        </w:rPr>
        <w:t>Barbablù</w:t>
      </w:r>
      <w:proofErr w:type="spellEnd"/>
      <w:r w:rsidRPr="00875823">
        <w:rPr>
          <w:lang w:val="en-US"/>
        </w:rPr>
        <w:t xml:space="preserve">,” 769, n. 29; Hairston, “The Economics of Milk and Blood,” 191; On Jacopo di </w:t>
      </w:r>
      <w:proofErr w:type="spellStart"/>
      <w:r w:rsidRPr="00875823">
        <w:rPr>
          <w:lang w:val="en-US"/>
        </w:rPr>
        <w:t>Porcia’s</w:t>
      </w:r>
      <w:proofErr w:type="spellEnd"/>
      <w:r w:rsidRPr="00875823">
        <w:rPr>
          <w:lang w:val="en-US"/>
        </w:rPr>
        <w:t xml:space="preserve"> advice, see Woodward, </w:t>
      </w:r>
      <w:proofErr w:type="spellStart"/>
      <w:r w:rsidRPr="00875823">
        <w:rPr>
          <w:i/>
          <w:iCs/>
          <w:lang w:val="en-US"/>
        </w:rPr>
        <w:t>Vittorino</w:t>
      </w:r>
      <w:proofErr w:type="spellEnd"/>
      <w:r w:rsidRPr="00875823">
        <w:rPr>
          <w:i/>
          <w:iCs/>
          <w:lang w:val="en-US"/>
        </w:rPr>
        <w:t xml:space="preserve"> da Feltre</w:t>
      </w:r>
      <w:r w:rsidRPr="00875823">
        <w:rPr>
          <w:lang w:val="en-US"/>
        </w:rPr>
        <w:t>, esp. 193 n. 1.</w:t>
      </w:r>
    </w:p>
  </w:footnote>
  <w:footnote w:id="48">
    <w:p w14:paraId="39A1726F" w14:textId="77777777" w:rsidR="00182EED" w:rsidRDefault="00182EED" w:rsidP="001840E8">
      <w:pPr>
        <w:pStyle w:val="FootnoteText"/>
      </w:pPr>
      <w:r w:rsidRPr="00391186">
        <w:rPr>
          <w:rStyle w:val="FootnoteReference"/>
        </w:rPr>
        <w:footnoteRef/>
      </w:r>
      <w:r>
        <w:t xml:space="preserve"> </w:t>
      </w:r>
      <w:r w:rsidRPr="0096534A">
        <w:rPr>
          <w:lang w:val="en-US"/>
        </w:rPr>
        <w:t xml:space="preserve">Quintilian, </w:t>
      </w:r>
      <w:proofErr w:type="spellStart"/>
      <w:r w:rsidRPr="0096534A">
        <w:rPr>
          <w:i/>
          <w:iCs/>
          <w:lang w:val="en-US"/>
        </w:rPr>
        <w:t>Institutio</w:t>
      </w:r>
      <w:proofErr w:type="spellEnd"/>
      <w:r w:rsidRPr="0096534A">
        <w:rPr>
          <w:i/>
          <w:iCs/>
          <w:lang w:val="en-US"/>
        </w:rPr>
        <w:t xml:space="preserve"> </w:t>
      </w:r>
      <w:proofErr w:type="spellStart"/>
      <w:r w:rsidRPr="0096534A">
        <w:rPr>
          <w:i/>
          <w:iCs/>
          <w:lang w:val="en-US"/>
        </w:rPr>
        <w:t>Oratoria</w:t>
      </w:r>
      <w:proofErr w:type="spellEnd"/>
      <w:r w:rsidRPr="0096534A">
        <w:rPr>
          <w:lang w:val="en-US"/>
        </w:rPr>
        <w:t>, trans. H. E. Butler (London: William Heinemann, 1920), 20–23; See also King, “The School of Infancy,” 55.</w:t>
      </w:r>
    </w:p>
  </w:footnote>
  <w:footnote w:id="49">
    <w:p w14:paraId="01AFD861" w14:textId="77777777" w:rsidR="00182EED" w:rsidRDefault="00182EED" w:rsidP="001840E8">
      <w:pPr>
        <w:pStyle w:val="FootnoteText"/>
      </w:pPr>
      <w:r w:rsidRPr="00391186">
        <w:rPr>
          <w:rStyle w:val="FootnoteReference"/>
        </w:rPr>
        <w:footnoteRef/>
      </w:r>
      <w:r>
        <w:t xml:space="preserve"> </w:t>
      </w:r>
      <w:r w:rsidRPr="00952409">
        <w:rPr>
          <w:lang w:val="en-US"/>
        </w:rPr>
        <w:t xml:space="preserve">Palmieri, </w:t>
      </w:r>
      <w:r w:rsidRPr="00952409">
        <w:rPr>
          <w:i/>
          <w:iCs/>
          <w:lang w:val="en-US"/>
        </w:rPr>
        <w:t xml:space="preserve">Vita </w:t>
      </w:r>
      <w:proofErr w:type="spellStart"/>
      <w:r w:rsidRPr="00952409">
        <w:rPr>
          <w:i/>
          <w:iCs/>
          <w:lang w:val="en-US"/>
        </w:rPr>
        <w:t>Civile</w:t>
      </w:r>
      <w:proofErr w:type="spellEnd"/>
      <w:r w:rsidRPr="00952409">
        <w:rPr>
          <w:lang w:val="en-US"/>
        </w:rPr>
        <w:t xml:space="preserve">, 24; See also Robert Black, </w:t>
      </w:r>
      <w:r w:rsidRPr="00952409">
        <w:rPr>
          <w:i/>
          <w:iCs/>
          <w:lang w:val="en-US"/>
        </w:rPr>
        <w:t>Education and Society in Florentine Tuscany. Teachers, Pupils and Schools, c.1250-1500</w:t>
      </w:r>
      <w:r w:rsidRPr="00952409">
        <w:rPr>
          <w:lang w:val="en-US"/>
        </w:rPr>
        <w:t xml:space="preserve"> (Leiden and Boston: Brill, 2007), 121.</w:t>
      </w:r>
    </w:p>
  </w:footnote>
  <w:footnote w:id="50">
    <w:p w14:paraId="520CC2BA" w14:textId="77777777" w:rsidR="00182EED" w:rsidRDefault="00182EED" w:rsidP="001840E8">
      <w:pPr>
        <w:pStyle w:val="FootnoteText"/>
      </w:pPr>
      <w:r w:rsidRPr="00391186">
        <w:rPr>
          <w:rStyle w:val="FootnoteReference"/>
        </w:rPr>
        <w:footnoteRef/>
      </w:r>
      <w:r>
        <w:t xml:space="preserve"> </w:t>
      </w:r>
      <w:r w:rsidRPr="00205892">
        <w:rPr>
          <w:lang w:val="en-US"/>
        </w:rPr>
        <w:t>“</w:t>
      </w:r>
      <w:proofErr w:type="spellStart"/>
      <w:r w:rsidRPr="00205892">
        <w:rPr>
          <w:lang w:val="en-US"/>
        </w:rPr>
        <w:t>Infino</w:t>
      </w:r>
      <w:proofErr w:type="spellEnd"/>
      <w:r w:rsidRPr="00205892">
        <w:rPr>
          <w:lang w:val="en-US"/>
        </w:rPr>
        <w:t xml:space="preserve"> ne’ </w:t>
      </w:r>
      <w:proofErr w:type="spellStart"/>
      <w:r w:rsidRPr="00205892">
        <w:rPr>
          <w:lang w:val="en-US"/>
        </w:rPr>
        <w:t>primi</w:t>
      </w:r>
      <w:proofErr w:type="spellEnd"/>
      <w:r w:rsidRPr="00205892">
        <w:rPr>
          <w:lang w:val="en-US"/>
        </w:rPr>
        <w:t xml:space="preserve"> </w:t>
      </w:r>
      <w:proofErr w:type="spellStart"/>
      <w:r w:rsidRPr="00205892">
        <w:rPr>
          <w:lang w:val="en-US"/>
        </w:rPr>
        <w:t>anni</w:t>
      </w:r>
      <w:proofErr w:type="spellEnd"/>
      <w:r w:rsidRPr="00205892">
        <w:rPr>
          <w:lang w:val="en-US"/>
        </w:rPr>
        <w:t xml:space="preserve">, </w:t>
      </w:r>
      <w:proofErr w:type="spellStart"/>
      <w:r w:rsidRPr="00205892">
        <w:rPr>
          <w:lang w:val="en-US"/>
        </w:rPr>
        <w:t>i</w:t>
      </w:r>
      <w:proofErr w:type="spellEnd"/>
      <w:r w:rsidRPr="00205892">
        <w:rPr>
          <w:lang w:val="en-US"/>
        </w:rPr>
        <w:t xml:space="preserve"> </w:t>
      </w:r>
      <w:proofErr w:type="spellStart"/>
      <w:r w:rsidRPr="00205892">
        <w:rPr>
          <w:lang w:val="en-US"/>
        </w:rPr>
        <w:t>quali</w:t>
      </w:r>
      <w:proofErr w:type="spellEnd"/>
      <w:r w:rsidRPr="00205892">
        <w:rPr>
          <w:lang w:val="en-US"/>
        </w:rPr>
        <w:t xml:space="preserve"> </w:t>
      </w:r>
      <w:proofErr w:type="spellStart"/>
      <w:r w:rsidRPr="00205892">
        <w:rPr>
          <w:lang w:val="en-US"/>
        </w:rPr>
        <w:t>s’atribuiscono</w:t>
      </w:r>
      <w:proofErr w:type="spellEnd"/>
      <w:r w:rsidRPr="00205892">
        <w:rPr>
          <w:lang w:val="en-US"/>
        </w:rPr>
        <w:t xml:space="preserve"> al </w:t>
      </w:r>
      <w:proofErr w:type="spellStart"/>
      <w:r w:rsidRPr="00205892">
        <w:rPr>
          <w:lang w:val="en-US"/>
        </w:rPr>
        <w:t>governo</w:t>
      </w:r>
      <w:proofErr w:type="spellEnd"/>
      <w:r w:rsidRPr="00205892">
        <w:rPr>
          <w:lang w:val="en-US"/>
        </w:rPr>
        <w:t xml:space="preserve"> </w:t>
      </w:r>
      <w:proofErr w:type="spellStart"/>
      <w:r w:rsidRPr="00205892">
        <w:rPr>
          <w:lang w:val="en-US"/>
        </w:rPr>
        <w:t>della</w:t>
      </w:r>
      <w:proofErr w:type="spellEnd"/>
      <w:r w:rsidRPr="00205892">
        <w:rPr>
          <w:lang w:val="en-US"/>
        </w:rPr>
        <w:t xml:space="preserve"> </w:t>
      </w:r>
      <w:proofErr w:type="spellStart"/>
      <w:r w:rsidRPr="00205892">
        <w:rPr>
          <w:lang w:val="en-US"/>
        </w:rPr>
        <w:t>balia</w:t>
      </w:r>
      <w:proofErr w:type="spellEnd"/>
      <w:r w:rsidRPr="00205892">
        <w:rPr>
          <w:lang w:val="en-US"/>
        </w:rPr>
        <w:t xml:space="preserve">, </w:t>
      </w:r>
      <w:proofErr w:type="spellStart"/>
      <w:r w:rsidRPr="00205892">
        <w:rPr>
          <w:lang w:val="en-US"/>
        </w:rPr>
        <w:t>essere</w:t>
      </w:r>
      <w:proofErr w:type="spellEnd"/>
      <w:r w:rsidRPr="00205892">
        <w:rPr>
          <w:lang w:val="en-US"/>
        </w:rPr>
        <w:t xml:space="preserve"> utile dare a’ </w:t>
      </w:r>
      <w:proofErr w:type="spellStart"/>
      <w:r w:rsidRPr="00205892">
        <w:rPr>
          <w:lang w:val="en-US"/>
        </w:rPr>
        <w:t>piccoli</w:t>
      </w:r>
      <w:proofErr w:type="spellEnd"/>
      <w:r w:rsidRPr="00205892">
        <w:rPr>
          <w:lang w:val="en-US"/>
        </w:rPr>
        <w:t xml:space="preserve"> </w:t>
      </w:r>
      <w:proofErr w:type="spellStart"/>
      <w:r w:rsidRPr="00205892">
        <w:rPr>
          <w:lang w:val="en-US"/>
        </w:rPr>
        <w:t>qualche</w:t>
      </w:r>
      <w:proofErr w:type="spellEnd"/>
      <w:r w:rsidRPr="00205892">
        <w:rPr>
          <w:lang w:val="en-US"/>
        </w:rPr>
        <w:t xml:space="preserve"> </w:t>
      </w:r>
      <w:proofErr w:type="spellStart"/>
      <w:r w:rsidRPr="00205892">
        <w:rPr>
          <w:lang w:val="en-US"/>
        </w:rPr>
        <w:t>informatione</w:t>
      </w:r>
      <w:proofErr w:type="spellEnd"/>
      <w:r w:rsidRPr="00205892">
        <w:rPr>
          <w:lang w:val="en-US"/>
        </w:rPr>
        <w:t xml:space="preserve"> di </w:t>
      </w:r>
      <w:proofErr w:type="spellStart"/>
      <w:r w:rsidRPr="00205892">
        <w:rPr>
          <w:lang w:val="en-US"/>
        </w:rPr>
        <w:t>lettere</w:t>
      </w:r>
      <w:proofErr w:type="spellEnd"/>
      <w:r w:rsidRPr="00205892">
        <w:rPr>
          <w:lang w:val="en-US"/>
        </w:rPr>
        <w:t xml:space="preserve">.” Palmieri, </w:t>
      </w:r>
      <w:r w:rsidRPr="00205892">
        <w:rPr>
          <w:i/>
          <w:iCs/>
          <w:lang w:val="en-US"/>
        </w:rPr>
        <w:t xml:space="preserve">Vita </w:t>
      </w:r>
      <w:proofErr w:type="spellStart"/>
      <w:r w:rsidRPr="00205892">
        <w:rPr>
          <w:i/>
          <w:iCs/>
          <w:lang w:val="en-US"/>
        </w:rPr>
        <w:t>Civile</w:t>
      </w:r>
      <w:proofErr w:type="spellEnd"/>
      <w:r w:rsidRPr="00205892">
        <w:rPr>
          <w:lang w:val="en-US"/>
        </w:rPr>
        <w:t>, 24.</w:t>
      </w:r>
    </w:p>
  </w:footnote>
  <w:footnote w:id="51">
    <w:p w14:paraId="4E9729F8" w14:textId="77777777" w:rsidR="00182EED" w:rsidRDefault="00182EED" w:rsidP="001840E8">
      <w:pPr>
        <w:pStyle w:val="FootnoteText"/>
      </w:pPr>
      <w:r w:rsidRPr="00391186">
        <w:rPr>
          <w:rStyle w:val="FootnoteReference"/>
        </w:rPr>
        <w:footnoteRef/>
      </w:r>
      <w:r>
        <w:t xml:space="preserve"> </w:t>
      </w:r>
      <w:r w:rsidRPr="00205892">
        <w:rPr>
          <w:lang w:val="en-US"/>
        </w:rPr>
        <w:t xml:space="preserve">“Come </w:t>
      </w:r>
      <w:proofErr w:type="spellStart"/>
      <w:r w:rsidRPr="00205892">
        <w:rPr>
          <w:lang w:val="en-US"/>
        </w:rPr>
        <w:t>colui</w:t>
      </w:r>
      <w:proofErr w:type="spellEnd"/>
      <w:r w:rsidRPr="00205892">
        <w:rPr>
          <w:lang w:val="en-US"/>
        </w:rPr>
        <w:t xml:space="preserve"> </w:t>
      </w:r>
      <w:proofErr w:type="spellStart"/>
      <w:r w:rsidRPr="00205892">
        <w:rPr>
          <w:lang w:val="en-US"/>
        </w:rPr>
        <w:t>che</w:t>
      </w:r>
      <w:proofErr w:type="spellEnd"/>
      <w:r w:rsidRPr="00205892">
        <w:rPr>
          <w:lang w:val="en-US"/>
        </w:rPr>
        <w:t xml:space="preserve"> </w:t>
      </w:r>
      <w:proofErr w:type="spellStart"/>
      <w:r w:rsidRPr="00205892">
        <w:rPr>
          <w:lang w:val="en-US"/>
        </w:rPr>
        <w:t>formava</w:t>
      </w:r>
      <w:proofErr w:type="spellEnd"/>
      <w:r w:rsidRPr="00205892">
        <w:rPr>
          <w:lang w:val="en-US"/>
        </w:rPr>
        <w:t xml:space="preserve"> le </w:t>
      </w:r>
      <w:proofErr w:type="spellStart"/>
      <w:r w:rsidRPr="00205892">
        <w:rPr>
          <w:lang w:val="en-US"/>
        </w:rPr>
        <w:t>lettere</w:t>
      </w:r>
      <w:proofErr w:type="spellEnd"/>
      <w:r w:rsidRPr="00205892">
        <w:rPr>
          <w:lang w:val="en-US"/>
        </w:rPr>
        <w:t xml:space="preserve"> in </w:t>
      </w:r>
      <w:proofErr w:type="spellStart"/>
      <w:r w:rsidRPr="00205892">
        <w:rPr>
          <w:lang w:val="en-US"/>
        </w:rPr>
        <w:t>frutte</w:t>
      </w:r>
      <w:proofErr w:type="spellEnd"/>
      <w:r w:rsidRPr="00205892">
        <w:rPr>
          <w:lang w:val="en-US"/>
        </w:rPr>
        <w:t xml:space="preserve">, </w:t>
      </w:r>
      <w:proofErr w:type="spellStart"/>
      <w:r w:rsidRPr="00205892">
        <w:rPr>
          <w:lang w:val="en-US"/>
        </w:rPr>
        <w:t>berlingozi</w:t>
      </w:r>
      <w:proofErr w:type="spellEnd"/>
      <w:r w:rsidRPr="00205892">
        <w:rPr>
          <w:lang w:val="en-US"/>
        </w:rPr>
        <w:t xml:space="preserve">, et </w:t>
      </w:r>
      <w:proofErr w:type="spellStart"/>
      <w:r w:rsidRPr="00205892">
        <w:rPr>
          <w:lang w:val="en-US"/>
        </w:rPr>
        <w:t>altri</w:t>
      </w:r>
      <w:proofErr w:type="spellEnd"/>
      <w:r w:rsidRPr="00205892">
        <w:rPr>
          <w:lang w:val="en-US"/>
        </w:rPr>
        <w:t xml:space="preserve"> </w:t>
      </w:r>
      <w:proofErr w:type="spellStart"/>
      <w:r w:rsidRPr="00205892">
        <w:rPr>
          <w:lang w:val="en-US"/>
        </w:rPr>
        <w:t>cibi</w:t>
      </w:r>
      <w:proofErr w:type="spellEnd"/>
      <w:r w:rsidRPr="00205892">
        <w:rPr>
          <w:lang w:val="en-US"/>
        </w:rPr>
        <w:t xml:space="preserve"> </w:t>
      </w:r>
      <w:proofErr w:type="spellStart"/>
      <w:r w:rsidRPr="00205892">
        <w:rPr>
          <w:lang w:val="en-US"/>
        </w:rPr>
        <w:t>puerili</w:t>
      </w:r>
      <w:proofErr w:type="spellEnd"/>
      <w:r w:rsidRPr="00205892">
        <w:rPr>
          <w:lang w:val="en-US"/>
        </w:rPr>
        <w:t xml:space="preserve">; poi, </w:t>
      </w:r>
      <w:proofErr w:type="spellStart"/>
      <w:r w:rsidRPr="00205892">
        <w:rPr>
          <w:lang w:val="en-US"/>
        </w:rPr>
        <w:t>incitando</w:t>
      </w:r>
      <w:proofErr w:type="spellEnd"/>
      <w:r w:rsidRPr="00205892">
        <w:rPr>
          <w:lang w:val="en-US"/>
        </w:rPr>
        <w:t xml:space="preserve"> </w:t>
      </w:r>
      <w:proofErr w:type="spellStart"/>
      <w:r w:rsidRPr="00205892">
        <w:rPr>
          <w:lang w:val="en-US"/>
        </w:rPr>
        <w:t>il</w:t>
      </w:r>
      <w:proofErr w:type="spellEnd"/>
      <w:r w:rsidRPr="00205892">
        <w:rPr>
          <w:lang w:val="en-US"/>
        </w:rPr>
        <w:t xml:space="preserve"> </w:t>
      </w:r>
      <w:proofErr w:type="spellStart"/>
      <w:r w:rsidRPr="00205892">
        <w:rPr>
          <w:lang w:val="en-US"/>
        </w:rPr>
        <w:t>fanciullo</w:t>
      </w:r>
      <w:proofErr w:type="spellEnd"/>
      <w:r w:rsidRPr="00205892">
        <w:rPr>
          <w:lang w:val="en-US"/>
        </w:rPr>
        <w:t xml:space="preserve">, </w:t>
      </w:r>
      <w:proofErr w:type="spellStart"/>
      <w:r w:rsidRPr="00205892">
        <w:rPr>
          <w:lang w:val="en-US"/>
        </w:rPr>
        <w:t>promettea</w:t>
      </w:r>
      <w:proofErr w:type="spellEnd"/>
      <w:r w:rsidRPr="00205892">
        <w:rPr>
          <w:lang w:val="en-US"/>
        </w:rPr>
        <w:t xml:space="preserve"> </w:t>
      </w:r>
      <w:proofErr w:type="spellStart"/>
      <w:r w:rsidRPr="00205892">
        <w:rPr>
          <w:lang w:val="en-US"/>
        </w:rPr>
        <w:t>dargliele</w:t>
      </w:r>
      <w:proofErr w:type="spellEnd"/>
      <w:r w:rsidRPr="00205892">
        <w:rPr>
          <w:lang w:val="en-US"/>
        </w:rPr>
        <w:t xml:space="preserve"> </w:t>
      </w:r>
      <w:proofErr w:type="spellStart"/>
      <w:r w:rsidRPr="00205892">
        <w:rPr>
          <w:lang w:val="en-US"/>
        </w:rPr>
        <w:t>s’egli</w:t>
      </w:r>
      <w:proofErr w:type="spellEnd"/>
      <w:r w:rsidRPr="00205892">
        <w:rPr>
          <w:lang w:val="en-US"/>
        </w:rPr>
        <w:t xml:space="preserve"> lo </w:t>
      </w:r>
      <w:proofErr w:type="spellStart"/>
      <w:r w:rsidRPr="00205892">
        <w:rPr>
          <w:lang w:val="en-US"/>
        </w:rPr>
        <w:t>conoscesse</w:t>
      </w:r>
      <w:proofErr w:type="spellEnd"/>
      <w:r w:rsidRPr="00205892">
        <w:rPr>
          <w:lang w:val="en-US"/>
        </w:rPr>
        <w:t xml:space="preserve">, </w:t>
      </w:r>
      <w:proofErr w:type="spellStart"/>
      <w:r w:rsidRPr="00205892">
        <w:rPr>
          <w:lang w:val="en-US"/>
        </w:rPr>
        <w:t>dicendogli</w:t>
      </w:r>
      <w:proofErr w:type="spellEnd"/>
      <w:r w:rsidRPr="00205892">
        <w:rPr>
          <w:lang w:val="en-US"/>
        </w:rPr>
        <w:t>: ‘</w:t>
      </w:r>
      <w:proofErr w:type="spellStart"/>
      <w:r w:rsidRPr="00205892">
        <w:rPr>
          <w:lang w:val="en-US"/>
        </w:rPr>
        <w:t>Questo</w:t>
      </w:r>
      <w:proofErr w:type="spellEnd"/>
      <w:r w:rsidRPr="00205892">
        <w:rPr>
          <w:lang w:val="en-US"/>
        </w:rPr>
        <w:t xml:space="preserve"> </w:t>
      </w:r>
      <w:proofErr w:type="spellStart"/>
      <w:r w:rsidRPr="00205892">
        <w:rPr>
          <w:lang w:val="en-US"/>
        </w:rPr>
        <w:t>torto</w:t>
      </w:r>
      <w:proofErr w:type="spellEnd"/>
      <w:r w:rsidRPr="00205892">
        <w:rPr>
          <w:lang w:val="en-US"/>
        </w:rPr>
        <w:t xml:space="preserve"> è </w:t>
      </w:r>
      <w:proofErr w:type="spellStart"/>
      <w:r w:rsidRPr="00205892">
        <w:rPr>
          <w:lang w:val="en-US"/>
        </w:rPr>
        <w:t>uno</w:t>
      </w:r>
      <w:proofErr w:type="spellEnd"/>
      <w:r w:rsidRPr="00205892">
        <w:rPr>
          <w:lang w:val="en-US"/>
        </w:rPr>
        <w:t xml:space="preserve"> S, </w:t>
      </w:r>
      <w:proofErr w:type="spellStart"/>
      <w:r w:rsidRPr="00205892">
        <w:rPr>
          <w:lang w:val="en-US"/>
        </w:rPr>
        <w:t>questo</w:t>
      </w:r>
      <w:proofErr w:type="spellEnd"/>
      <w:r w:rsidRPr="00205892">
        <w:rPr>
          <w:lang w:val="en-US"/>
        </w:rPr>
        <w:t xml:space="preserve"> tondo </w:t>
      </w:r>
      <w:proofErr w:type="spellStart"/>
      <w:r w:rsidRPr="00205892">
        <w:rPr>
          <w:lang w:val="en-US"/>
        </w:rPr>
        <w:t>uno</w:t>
      </w:r>
      <w:proofErr w:type="spellEnd"/>
      <w:r w:rsidRPr="00205892">
        <w:rPr>
          <w:lang w:val="en-US"/>
        </w:rPr>
        <w:t xml:space="preserve"> O, </w:t>
      </w:r>
      <w:proofErr w:type="spellStart"/>
      <w:r w:rsidRPr="00205892">
        <w:rPr>
          <w:lang w:val="en-US"/>
        </w:rPr>
        <w:t>il</w:t>
      </w:r>
      <w:proofErr w:type="spellEnd"/>
      <w:r w:rsidRPr="00205892">
        <w:rPr>
          <w:lang w:val="en-US"/>
        </w:rPr>
        <w:t xml:space="preserve"> </w:t>
      </w:r>
      <w:proofErr w:type="spellStart"/>
      <w:r w:rsidRPr="00205892">
        <w:rPr>
          <w:lang w:val="en-US"/>
        </w:rPr>
        <w:t>mezo</w:t>
      </w:r>
      <w:proofErr w:type="spellEnd"/>
      <w:r w:rsidRPr="00205892">
        <w:rPr>
          <w:lang w:val="en-US"/>
        </w:rPr>
        <w:t xml:space="preserve"> tondo è </w:t>
      </w:r>
      <w:proofErr w:type="spellStart"/>
      <w:r w:rsidRPr="00205892">
        <w:rPr>
          <w:lang w:val="en-US"/>
        </w:rPr>
        <w:t>uno</w:t>
      </w:r>
      <w:proofErr w:type="spellEnd"/>
      <w:r w:rsidRPr="00205892">
        <w:rPr>
          <w:lang w:val="en-US"/>
        </w:rPr>
        <w:t xml:space="preserve"> C’ et </w:t>
      </w:r>
      <w:proofErr w:type="spellStart"/>
      <w:r w:rsidRPr="00205892">
        <w:rPr>
          <w:lang w:val="en-US"/>
        </w:rPr>
        <w:t>simele</w:t>
      </w:r>
      <w:proofErr w:type="spellEnd"/>
      <w:r w:rsidRPr="00205892">
        <w:rPr>
          <w:lang w:val="en-US"/>
        </w:rPr>
        <w:t xml:space="preserve"> </w:t>
      </w:r>
      <w:proofErr w:type="spellStart"/>
      <w:r w:rsidRPr="00205892">
        <w:rPr>
          <w:lang w:val="en-US"/>
        </w:rPr>
        <w:t>delle</w:t>
      </w:r>
      <w:proofErr w:type="spellEnd"/>
      <w:r w:rsidRPr="00205892">
        <w:rPr>
          <w:lang w:val="en-US"/>
        </w:rPr>
        <w:t xml:space="preserve"> </w:t>
      </w:r>
      <w:proofErr w:type="spellStart"/>
      <w:r w:rsidRPr="00205892">
        <w:rPr>
          <w:lang w:val="en-US"/>
        </w:rPr>
        <w:t>altre</w:t>
      </w:r>
      <w:proofErr w:type="spellEnd"/>
      <w:r w:rsidRPr="00205892">
        <w:rPr>
          <w:lang w:val="en-US"/>
        </w:rPr>
        <w:t xml:space="preserve"> </w:t>
      </w:r>
      <w:proofErr w:type="spellStart"/>
      <w:r w:rsidRPr="00205892">
        <w:rPr>
          <w:lang w:val="en-US"/>
        </w:rPr>
        <w:t>lettere</w:t>
      </w:r>
      <w:proofErr w:type="spellEnd"/>
      <w:r w:rsidRPr="00205892">
        <w:rPr>
          <w:lang w:val="en-US"/>
        </w:rPr>
        <w:t xml:space="preserve">.” Ibid., 24; See also Black, </w:t>
      </w:r>
      <w:r w:rsidRPr="00205892">
        <w:rPr>
          <w:i/>
          <w:iCs/>
          <w:lang w:val="en-US"/>
        </w:rPr>
        <w:t>Education and Society</w:t>
      </w:r>
      <w:r w:rsidRPr="00205892">
        <w:rPr>
          <w:lang w:val="en-US"/>
        </w:rPr>
        <w:t xml:space="preserve">, 121; </w:t>
      </w:r>
      <w:proofErr w:type="spellStart"/>
      <w:r w:rsidRPr="00205892">
        <w:rPr>
          <w:lang w:val="en-US"/>
        </w:rPr>
        <w:t>Klapisch</w:t>
      </w:r>
      <w:proofErr w:type="spellEnd"/>
      <w:r w:rsidRPr="00205892">
        <w:rPr>
          <w:lang w:val="en-US"/>
        </w:rPr>
        <w:t xml:space="preserve">-Zuber, “Le </w:t>
      </w:r>
      <w:proofErr w:type="spellStart"/>
      <w:r w:rsidRPr="00205892">
        <w:rPr>
          <w:lang w:val="en-US"/>
        </w:rPr>
        <w:t>Chiavi</w:t>
      </w:r>
      <w:proofErr w:type="spellEnd"/>
      <w:r w:rsidRPr="00205892">
        <w:rPr>
          <w:lang w:val="en-US"/>
        </w:rPr>
        <w:t xml:space="preserve"> </w:t>
      </w:r>
      <w:proofErr w:type="spellStart"/>
      <w:r w:rsidRPr="00205892">
        <w:rPr>
          <w:lang w:val="en-US"/>
        </w:rPr>
        <w:t>Fiorentine</w:t>
      </w:r>
      <w:proofErr w:type="spellEnd"/>
      <w:r w:rsidRPr="00205892">
        <w:rPr>
          <w:lang w:val="en-US"/>
        </w:rPr>
        <w:t xml:space="preserve"> di </w:t>
      </w:r>
      <w:proofErr w:type="spellStart"/>
      <w:r w:rsidRPr="00205892">
        <w:rPr>
          <w:lang w:val="en-US"/>
        </w:rPr>
        <w:t>Barbablù</w:t>
      </w:r>
      <w:proofErr w:type="spellEnd"/>
      <w:r w:rsidRPr="00205892">
        <w:rPr>
          <w:lang w:val="en-US"/>
        </w:rPr>
        <w:t>,” 769.</w:t>
      </w:r>
    </w:p>
  </w:footnote>
  <w:footnote w:id="52">
    <w:p w14:paraId="1831FC1E" w14:textId="77777777" w:rsidR="00182EED" w:rsidRDefault="00182EED" w:rsidP="001840E8">
      <w:pPr>
        <w:pStyle w:val="FootnoteText"/>
      </w:pPr>
      <w:r w:rsidRPr="00391186">
        <w:rPr>
          <w:rStyle w:val="FootnoteReference"/>
        </w:rPr>
        <w:footnoteRef/>
      </w:r>
      <w:r>
        <w:t xml:space="preserve"> </w:t>
      </w:r>
      <w:r w:rsidRPr="00205892">
        <w:rPr>
          <w:lang w:val="en-US"/>
        </w:rPr>
        <w:t xml:space="preserve">“Et </w:t>
      </w:r>
      <w:proofErr w:type="spellStart"/>
      <w:r w:rsidRPr="00205892">
        <w:rPr>
          <w:lang w:val="en-US"/>
        </w:rPr>
        <w:t>nel</w:t>
      </w:r>
      <w:proofErr w:type="spellEnd"/>
      <w:r w:rsidRPr="00205892">
        <w:rPr>
          <w:lang w:val="en-US"/>
        </w:rPr>
        <w:t xml:space="preserve"> principio </w:t>
      </w:r>
      <w:proofErr w:type="spellStart"/>
      <w:r w:rsidRPr="00205892">
        <w:rPr>
          <w:lang w:val="en-US"/>
        </w:rPr>
        <w:t>levatolo</w:t>
      </w:r>
      <w:proofErr w:type="spellEnd"/>
      <w:r w:rsidRPr="00205892">
        <w:rPr>
          <w:lang w:val="en-US"/>
        </w:rPr>
        <w:t xml:space="preserve"> </w:t>
      </w:r>
      <w:proofErr w:type="spellStart"/>
      <w:r w:rsidRPr="00205892">
        <w:rPr>
          <w:lang w:val="en-US"/>
        </w:rPr>
        <w:t>dalla</w:t>
      </w:r>
      <w:proofErr w:type="spellEnd"/>
      <w:r w:rsidRPr="00205892">
        <w:rPr>
          <w:lang w:val="en-US"/>
        </w:rPr>
        <w:t xml:space="preserve"> </w:t>
      </w:r>
      <w:proofErr w:type="spellStart"/>
      <w:r w:rsidRPr="00205892">
        <w:rPr>
          <w:lang w:val="en-US"/>
        </w:rPr>
        <w:t>balia</w:t>
      </w:r>
      <w:proofErr w:type="spellEnd"/>
      <w:r w:rsidRPr="00205892">
        <w:rPr>
          <w:lang w:val="en-US"/>
        </w:rPr>
        <w:t xml:space="preserve">, </w:t>
      </w:r>
      <w:proofErr w:type="spellStart"/>
      <w:r w:rsidRPr="00205892">
        <w:rPr>
          <w:lang w:val="en-US"/>
        </w:rPr>
        <w:t>formate</w:t>
      </w:r>
      <w:proofErr w:type="spellEnd"/>
      <w:r w:rsidRPr="00205892">
        <w:rPr>
          <w:lang w:val="en-US"/>
        </w:rPr>
        <w:t xml:space="preserve"> </w:t>
      </w:r>
      <w:proofErr w:type="spellStart"/>
      <w:r w:rsidRPr="00205892">
        <w:rPr>
          <w:lang w:val="en-US"/>
        </w:rPr>
        <w:t>delle</w:t>
      </w:r>
      <w:proofErr w:type="spellEnd"/>
      <w:r w:rsidRPr="00205892">
        <w:rPr>
          <w:lang w:val="en-US"/>
        </w:rPr>
        <w:t xml:space="preserve"> </w:t>
      </w:r>
      <w:proofErr w:type="spellStart"/>
      <w:r w:rsidRPr="00205892">
        <w:rPr>
          <w:lang w:val="en-US"/>
        </w:rPr>
        <w:t>lettere</w:t>
      </w:r>
      <w:proofErr w:type="spellEnd"/>
      <w:r w:rsidRPr="00205892">
        <w:rPr>
          <w:lang w:val="en-US"/>
        </w:rPr>
        <w:t xml:space="preserve"> in </w:t>
      </w:r>
      <w:proofErr w:type="spellStart"/>
      <w:r w:rsidRPr="00205892">
        <w:rPr>
          <w:lang w:val="en-US"/>
        </w:rPr>
        <w:t>frutte</w:t>
      </w:r>
      <w:proofErr w:type="spellEnd"/>
      <w:r w:rsidRPr="00205892">
        <w:rPr>
          <w:lang w:val="en-US"/>
        </w:rPr>
        <w:t xml:space="preserve">, </w:t>
      </w:r>
      <w:proofErr w:type="spellStart"/>
      <w:r w:rsidRPr="00205892">
        <w:rPr>
          <w:lang w:val="en-US"/>
        </w:rPr>
        <w:t>berlingozi</w:t>
      </w:r>
      <w:proofErr w:type="spellEnd"/>
      <w:r w:rsidRPr="00205892">
        <w:rPr>
          <w:lang w:val="en-US"/>
        </w:rPr>
        <w:t xml:space="preserve">, </w:t>
      </w:r>
      <w:proofErr w:type="spellStart"/>
      <w:r w:rsidRPr="00205892">
        <w:rPr>
          <w:lang w:val="en-US"/>
        </w:rPr>
        <w:t>zucherini</w:t>
      </w:r>
      <w:proofErr w:type="spellEnd"/>
      <w:r w:rsidRPr="00205892">
        <w:rPr>
          <w:lang w:val="en-US"/>
        </w:rPr>
        <w:t xml:space="preserve"> et </w:t>
      </w:r>
      <w:proofErr w:type="spellStart"/>
      <w:r w:rsidRPr="00205892">
        <w:rPr>
          <w:lang w:val="en-US"/>
        </w:rPr>
        <w:t>altri</w:t>
      </w:r>
      <w:proofErr w:type="spellEnd"/>
      <w:r w:rsidRPr="00205892">
        <w:rPr>
          <w:lang w:val="en-US"/>
        </w:rPr>
        <w:t xml:space="preserve"> </w:t>
      </w:r>
      <w:proofErr w:type="spellStart"/>
      <w:r w:rsidRPr="00205892">
        <w:rPr>
          <w:lang w:val="en-US"/>
        </w:rPr>
        <w:t>cibi</w:t>
      </w:r>
      <w:proofErr w:type="spellEnd"/>
      <w:r w:rsidRPr="00205892">
        <w:rPr>
          <w:lang w:val="en-US"/>
        </w:rPr>
        <w:t xml:space="preserve"> </w:t>
      </w:r>
      <w:proofErr w:type="spellStart"/>
      <w:r w:rsidRPr="00205892">
        <w:rPr>
          <w:lang w:val="en-US"/>
        </w:rPr>
        <w:t>puerili</w:t>
      </w:r>
      <w:proofErr w:type="spellEnd"/>
      <w:r w:rsidRPr="00205892">
        <w:rPr>
          <w:lang w:val="en-US"/>
        </w:rPr>
        <w:t xml:space="preserve">, </w:t>
      </w:r>
      <w:proofErr w:type="spellStart"/>
      <w:r w:rsidRPr="00205892">
        <w:rPr>
          <w:lang w:val="en-US"/>
        </w:rPr>
        <w:t>incitate</w:t>
      </w:r>
      <w:proofErr w:type="spellEnd"/>
      <w:r w:rsidRPr="00205892">
        <w:rPr>
          <w:lang w:val="en-US"/>
        </w:rPr>
        <w:t xml:space="preserve"> </w:t>
      </w:r>
      <w:proofErr w:type="spellStart"/>
      <w:r w:rsidRPr="00205892">
        <w:rPr>
          <w:lang w:val="en-US"/>
        </w:rPr>
        <w:t>il</w:t>
      </w:r>
      <w:proofErr w:type="spellEnd"/>
      <w:r w:rsidRPr="00205892">
        <w:rPr>
          <w:lang w:val="en-US"/>
        </w:rPr>
        <w:t xml:space="preserve"> </w:t>
      </w:r>
      <w:proofErr w:type="spellStart"/>
      <w:r w:rsidRPr="00205892">
        <w:rPr>
          <w:lang w:val="en-US"/>
        </w:rPr>
        <w:t>fanciullo</w:t>
      </w:r>
      <w:proofErr w:type="spellEnd"/>
      <w:r w:rsidRPr="00205892">
        <w:rPr>
          <w:lang w:val="en-US"/>
        </w:rPr>
        <w:t xml:space="preserve"> con </w:t>
      </w:r>
      <w:proofErr w:type="spellStart"/>
      <w:r w:rsidRPr="00205892">
        <w:rPr>
          <w:lang w:val="en-US"/>
        </w:rPr>
        <w:t>essi</w:t>
      </w:r>
      <w:proofErr w:type="spellEnd"/>
      <w:r w:rsidRPr="00205892">
        <w:rPr>
          <w:lang w:val="en-US"/>
        </w:rPr>
        <w:t xml:space="preserve"> </w:t>
      </w:r>
      <w:proofErr w:type="spellStart"/>
      <w:r w:rsidRPr="00205892">
        <w:rPr>
          <w:lang w:val="en-US"/>
        </w:rPr>
        <w:t>prometterli</w:t>
      </w:r>
      <w:proofErr w:type="spellEnd"/>
      <w:r w:rsidRPr="00205892">
        <w:rPr>
          <w:lang w:val="en-US"/>
        </w:rPr>
        <w:t xml:space="preserve"> </w:t>
      </w:r>
      <w:proofErr w:type="spellStart"/>
      <w:r w:rsidRPr="00205892">
        <w:rPr>
          <w:lang w:val="en-US"/>
        </w:rPr>
        <w:t>dagleli</w:t>
      </w:r>
      <w:proofErr w:type="spellEnd"/>
      <w:r w:rsidRPr="00205892">
        <w:rPr>
          <w:lang w:val="en-US"/>
        </w:rPr>
        <w:t xml:space="preserve">, </w:t>
      </w:r>
      <w:proofErr w:type="spellStart"/>
      <w:r w:rsidRPr="00205892">
        <w:rPr>
          <w:lang w:val="en-US"/>
        </w:rPr>
        <w:t>s’egli</w:t>
      </w:r>
      <w:proofErr w:type="spellEnd"/>
      <w:r w:rsidRPr="00205892">
        <w:rPr>
          <w:lang w:val="en-US"/>
        </w:rPr>
        <w:t xml:space="preserve"> li </w:t>
      </w:r>
      <w:proofErr w:type="spellStart"/>
      <w:r w:rsidRPr="00205892">
        <w:rPr>
          <w:lang w:val="en-US"/>
        </w:rPr>
        <w:t>conosce</w:t>
      </w:r>
      <w:proofErr w:type="spellEnd"/>
      <w:r w:rsidRPr="00205892">
        <w:rPr>
          <w:lang w:val="en-US"/>
        </w:rPr>
        <w:t xml:space="preserve">, </w:t>
      </w:r>
      <w:proofErr w:type="spellStart"/>
      <w:r w:rsidRPr="00205892">
        <w:rPr>
          <w:lang w:val="en-US"/>
        </w:rPr>
        <w:t>dicendoli</w:t>
      </w:r>
      <w:proofErr w:type="spellEnd"/>
      <w:r w:rsidRPr="00205892">
        <w:rPr>
          <w:lang w:val="en-US"/>
        </w:rPr>
        <w:t>: ‘</w:t>
      </w:r>
      <w:proofErr w:type="spellStart"/>
      <w:r w:rsidRPr="00205892">
        <w:rPr>
          <w:lang w:val="en-US"/>
        </w:rPr>
        <w:t>questo</w:t>
      </w:r>
      <w:proofErr w:type="spellEnd"/>
      <w:r w:rsidRPr="00205892">
        <w:rPr>
          <w:lang w:val="en-US"/>
        </w:rPr>
        <w:t xml:space="preserve"> </w:t>
      </w:r>
      <w:proofErr w:type="spellStart"/>
      <w:r w:rsidRPr="00205892">
        <w:rPr>
          <w:lang w:val="en-US"/>
        </w:rPr>
        <w:t>torto</w:t>
      </w:r>
      <w:proofErr w:type="spellEnd"/>
      <w:r w:rsidRPr="00205892">
        <w:rPr>
          <w:lang w:val="en-US"/>
        </w:rPr>
        <w:t xml:space="preserve"> è </w:t>
      </w:r>
      <w:proofErr w:type="spellStart"/>
      <w:r w:rsidRPr="00205892">
        <w:rPr>
          <w:lang w:val="en-US"/>
        </w:rPr>
        <w:t>uno</w:t>
      </w:r>
      <w:proofErr w:type="spellEnd"/>
      <w:r w:rsidRPr="00205892">
        <w:rPr>
          <w:lang w:val="en-US"/>
        </w:rPr>
        <w:t xml:space="preserve"> S, </w:t>
      </w:r>
      <w:proofErr w:type="spellStart"/>
      <w:r w:rsidRPr="00205892">
        <w:rPr>
          <w:lang w:val="en-US"/>
        </w:rPr>
        <w:t>questo</w:t>
      </w:r>
      <w:proofErr w:type="spellEnd"/>
      <w:r w:rsidRPr="00205892">
        <w:rPr>
          <w:lang w:val="en-US"/>
        </w:rPr>
        <w:t xml:space="preserve"> tondo è </w:t>
      </w:r>
      <w:proofErr w:type="spellStart"/>
      <w:r w:rsidRPr="00205892">
        <w:rPr>
          <w:lang w:val="en-US"/>
        </w:rPr>
        <w:t>uno</w:t>
      </w:r>
      <w:proofErr w:type="spellEnd"/>
      <w:r w:rsidRPr="00205892">
        <w:rPr>
          <w:lang w:val="en-US"/>
        </w:rPr>
        <w:t xml:space="preserve"> O, </w:t>
      </w:r>
      <w:proofErr w:type="spellStart"/>
      <w:r w:rsidRPr="00205892">
        <w:rPr>
          <w:lang w:val="en-US"/>
        </w:rPr>
        <w:t>questo</w:t>
      </w:r>
      <w:proofErr w:type="spellEnd"/>
      <w:r w:rsidRPr="00205892">
        <w:rPr>
          <w:lang w:val="en-US"/>
        </w:rPr>
        <w:t xml:space="preserve"> </w:t>
      </w:r>
      <w:proofErr w:type="spellStart"/>
      <w:r w:rsidRPr="00205892">
        <w:rPr>
          <w:lang w:val="en-US"/>
        </w:rPr>
        <w:t>mezo</w:t>
      </w:r>
      <w:proofErr w:type="spellEnd"/>
      <w:r w:rsidRPr="00205892">
        <w:rPr>
          <w:lang w:val="en-US"/>
        </w:rPr>
        <w:t xml:space="preserve"> tondo è </w:t>
      </w:r>
      <w:proofErr w:type="spellStart"/>
      <w:r w:rsidRPr="00205892">
        <w:rPr>
          <w:lang w:val="en-US"/>
        </w:rPr>
        <w:t>uno</w:t>
      </w:r>
      <w:proofErr w:type="spellEnd"/>
      <w:r w:rsidRPr="00205892">
        <w:rPr>
          <w:lang w:val="en-US"/>
        </w:rPr>
        <w:t xml:space="preserve"> C’, et simile </w:t>
      </w:r>
      <w:proofErr w:type="spellStart"/>
      <w:r w:rsidRPr="00205892">
        <w:rPr>
          <w:lang w:val="en-US"/>
        </w:rPr>
        <w:t>delle</w:t>
      </w:r>
      <w:proofErr w:type="spellEnd"/>
      <w:r w:rsidRPr="00205892">
        <w:rPr>
          <w:lang w:val="en-US"/>
        </w:rPr>
        <w:t xml:space="preserve"> </w:t>
      </w:r>
      <w:proofErr w:type="spellStart"/>
      <w:r w:rsidRPr="00205892">
        <w:rPr>
          <w:lang w:val="en-US"/>
        </w:rPr>
        <w:t>altre</w:t>
      </w:r>
      <w:proofErr w:type="spellEnd"/>
      <w:r w:rsidRPr="00205892">
        <w:rPr>
          <w:lang w:val="en-US"/>
        </w:rPr>
        <w:t xml:space="preserve"> </w:t>
      </w:r>
      <w:proofErr w:type="spellStart"/>
      <w:r w:rsidRPr="00205892">
        <w:rPr>
          <w:lang w:val="en-US"/>
        </w:rPr>
        <w:t>lettere</w:t>
      </w:r>
      <w:proofErr w:type="spellEnd"/>
      <w:r w:rsidRPr="00205892">
        <w:rPr>
          <w:lang w:val="en-US"/>
        </w:rPr>
        <w:t xml:space="preserve">.” Giovanni </w:t>
      </w:r>
      <w:proofErr w:type="spellStart"/>
      <w:r w:rsidRPr="00205892">
        <w:rPr>
          <w:lang w:val="en-US"/>
        </w:rPr>
        <w:t>Rucellai</w:t>
      </w:r>
      <w:proofErr w:type="spellEnd"/>
      <w:r w:rsidRPr="00205892">
        <w:rPr>
          <w:lang w:val="en-US"/>
        </w:rPr>
        <w:t xml:space="preserve">, “Il </w:t>
      </w:r>
      <w:proofErr w:type="spellStart"/>
      <w:r w:rsidRPr="00205892">
        <w:rPr>
          <w:lang w:val="en-US"/>
        </w:rPr>
        <w:t>Zibaldone</w:t>
      </w:r>
      <w:proofErr w:type="spellEnd"/>
      <w:r w:rsidRPr="00205892">
        <w:rPr>
          <w:lang w:val="en-US"/>
        </w:rPr>
        <w:t xml:space="preserve"> </w:t>
      </w:r>
      <w:proofErr w:type="spellStart"/>
      <w:r w:rsidRPr="00205892">
        <w:rPr>
          <w:lang w:val="en-US"/>
        </w:rPr>
        <w:t>Quaresimale</w:t>
      </w:r>
      <w:proofErr w:type="spellEnd"/>
      <w:r w:rsidRPr="00205892">
        <w:rPr>
          <w:lang w:val="en-US"/>
        </w:rPr>
        <w:t xml:space="preserve">,” in </w:t>
      </w:r>
      <w:r w:rsidRPr="00205892">
        <w:rPr>
          <w:i/>
          <w:iCs/>
          <w:lang w:val="en-US"/>
        </w:rPr>
        <w:t xml:space="preserve">Giovanni </w:t>
      </w:r>
      <w:proofErr w:type="spellStart"/>
      <w:r w:rsidRPr="00205892">
        <w:rPr>
          <w:i/>
          <w:iCs/>
          <w:lang w:val="en-US"/>
        </w:rPr>
        <w:t>Rucellai</w:t>
      </w:r>
      <w:proofErr w:type="spellEnd"/>
      <w:r w:rsidRPr="00205892">
        <w:rPr>
          <w:i/>
          <w:iCs/>
          <w:lang w:val="en-US"/>
        </w:rPr>
        <w:t xml:space="preserve"> Ed Il Suo </w:t>
      </w:r>
      <w:proofErr w:type="spellStart"/>
      <w:r w:rsidRPr="00205892">
        <w:rPr>
          <w:i/>
          <w:iCs/>
          <w:lang w:val="en-US"/>
        </w:rPr>
        <w:t>Zibaldone</w:t>
      </w:r>
      <w:proofErr w:type="spellEnd"/>
      <w:r w:rsidRPr="00205892">
        <w:rPr>
          <w:lang w:val="en-US"/>
        </w:rPr>
        <w:t xml:space="preserve">, ed. Alessandro </w:t>
      </w:r>
      <w:proofErr w:type="spellStart"/>
      <w:r w:rsidRPr="00205892">
        <w:rPr>
          <w:lang w:val="en-US"/>
        </w:rPr>
        <w:t>Perosa</w:t>
      </w:r>
      <w:proofErr w:type="spellEnd"/>
      <w:r w:rsidRPr="00205892">
        <w:rPr>
          <w:lang w:val="en-US"/>
        </w:rPr>
        <w:t xml:space="preserve">, vol. 1 (London: The Warburg Institute, 1960), 14; See also Black, </w:t>
      </w:r>
      <w:r w:rsidRPr="00205892">
        <w:rPr>
          <w:i/>
          <w:iCs/>
          <w:lang w:val="en-US"/>
        </w:rPr>
        <w:t>Education and Society</w:t>
      </w:r>
      <w:r w:rsidRPr="00205892">
        <w:rPr>
          <w:lang w:val="en-US"/>
        </w:rPr>
        <w:t xml:space="preserve">, 121–22; </w:t>
      </w:r>
      <w:proofErr w:type="spellStart"/>
      <w:r w:rsidRPr="00205892">
        <w:rPr>
          <w:lang w:val="en-US"/>
        </w:rPr>
        <w:t>Klapisch</w:t>
      </w:r>
      <w:proofErr w:type="spellEnd"/>
      <w:r w:rsidRPr="00205892">
        <w:rPr>
          <w:lang w:val="en-US"/>
        </w:rPr>
        <w:t xml:space="preserve">-Zuber, “Le </w:t>
      </w:r>
      <w:proofErr w:type="spellStart"/>
      <w:r w:rsidRPr="00205892">
        <w:rPr>
          <w:lang w:val="en-US"/>
        </w:rPr>
        <w:t>Chiavi</w:t>
      </w:r>
      <w:proofErr w:type="spellEnd"/>
      <w:r w:rsidRPr="00205892">
        <w:rPr>
          <w:lang w:val="en-US"/>
        </w:rPr>
        <w:t xml:space="preserve"> </w:t>
      </w:r>
      <w:proofErr w:type="spellStart"/>
      <w:r w:rsidRPr="00205892">
        <w:rPr>
          <w:lang w:val="en-US"/>
        </w:rPr>
        <w:t>Fiorentine</w:t>
      </w:r>
      <w:proofErr w:type="spellEnd"/>
      <w:r w:rsidRPr="00205892">
        <w:rPr>
          <w:lang w:val="en-US"/>
        </w:rPr>
        <w:t xml:space="preserve"> di </w:t>
      </w:r>
      <w:proofErr w:type="spellStart"/>
      <w:r w:rsidRPr="00205892">
        <w:rPr>
          <w:lang w:val="en-US"/>
        </w:rPr>
        <w:t>Barbablù</w:t>
      </w:r>
      <w:proofErr w:type="spellEnd"/>
      <w:r w:rsidRPr="00205892">
        <w:rPr>
          <w:lang w:val="en-US"/>
        </w:rPr>
        <w:t>,” 770 n. 32.</w:t>
      </w:r>
    </w:p>
  </w:footnote>
  <w:footnote w:id="53">
    <w:p w14:paraId="50A1C963" w14:textId="77777777" w:rsidR="00182EED" w:rsidRDefault="00182EED" w:rsidP="001840E8">
      <w:pPr>
        <w:pStyle w:val="FootnoteText"/>
      </w:pPr>
      <w:r w:rsidRPr="00391186">
        <w:rPr>
          <w:rStyle w:val="FootnoteReference"/>
        </w:rPr>
        <w:footnoteRef/>
      </w:r>
      <w:r>
        <w:t xml:space="preserve"> </w:t>
      </w:r>
      <w:r w:rsidRPr="006350E7">
        <w:rPr>
          <w:lang w:val="en-US"/>
        </w:rPr>
        <w:t>“</w:t>
      </w:r>
      <w:proofErr w:type="spellStart"/>
      <w:r w:rsidRPr="006350E7">
        <w:rPr>
          <w:lang w:val="en-US"/>
        </w:rPr>
        <w:t>Quando</w:t>
      </w:r>
      <w:proofErr w:type="spellEnd"/>
      <w:r w:rsidRPr="006350E7">
        <w:rPr>
          <w:lang w:val="en-US"/>
        </w:rPr>
        <w:t xml:space="preserve"> </w:t>
      </w:r>
      <w:proofErr w:type="spellStart"/>
      <w:r w:rsidRPr="006350E7">
        <w:rPr>
          <w:lang w:val="en-US"/>
        </w:rPr>
        <w:t>chol</w:t>
      </w:r>
      <w:proofErr w:type="spellEnd"/>
      <w:r w:rsidRPr="006350E7">
        <w:rPr>
          <w:lang w:val="en-US"/>
        </w:rPr>
        <w:t xml:space="preserve"> </w:t>
      </w:r>
      <w:proofErr w:type="spellStart"/>
      <w:r w:rsidRPr="006350E7">
        <w:rPr>
          <w:lang w:val="en-US"/>
        </w:rPr>
        <w:t>tocho</w:t>
      </w:r>
      <w:proofErr w:type="spellEnd"/>
      <w:r w:rsidRPr="006350E7">
        <w:rPr>
          <w:lang w:val="en-US"/>
        </w:rPr>
        <w:t xml:space="preserve"> de la tavola </w:t>
      </w:r>
      <w:proofErr w:type="spellStart"/>
      <w:r w:rsidRPr="006350E7">
        <w:rPr>
          <w:lang w:val="en-US"/>
        </w:rPr>
        <w:t>che</w:t>
      </w:r>
      <w:proofErr w:type="spellEnd"/>
      <w:r w:rsidRPr="006350E7">
        <w:rPr>
          <w:lang w:val="en-US"/>
        </w:rPr>
        <w:t xml:space="preserve"> ‘</w:t>
      </w:r>
      <w:proofErr w:type="spellStart"/>
      <w:r w:rsidRPr="006350E7">
        <w:rPr>
          <w:lang w:val="en-US"/>
        </w:rPr>
        <w:t>nparava</w:t>
      </w:r>
      <w:proofErr w:type="spellEnd"/>
      <w:r w:rsidRPr="006350E7">
        <w:rPr>
          <w:lang w:val="en-US"/>
        </w:rPr>
        <w:t xml:space="preserve"> </w:t>
      </w:r>
      <w:proofErr w:type="spellStart"/>
      <w:r w:rsidRPr="006350E7">
        <w:rPr>
          <w:lang w:val="en-US"/>
        </w:rPr>
        <w:t>l’abici</w:t>
      </w:r>
      <w:proofErr w:type="spellEnd"/>
      <w:r w:rsidRPr="006350E7">
        <w:rPr>
          <w:lang w:val="en-US"/>
        </w:rPr>
        <w:t xml:space="preserve">.” Quoted in Black, </w:t>
      </w:r>
      <w:r w:rsidRPr="006350E7">
        <w:rPr>
          <w:i/>
          <w:iCs/>
          <w:lang w:val="en-US"/>
        </w:rPr>
        <w:t>Education and Society</w:t>
      </w:r>
      <w:r w:rsidRPr="006350E7">
        <w:rPr>
          <w:lang w:val="en-US"/>
        </w:rPr>
        <w:t xml:space="preserve">, 122 and 706. Robert Black reports long extracts from the </w:t>
      </w:r>
      <w:proofErr w:type="spellStart"/>
      <w:r w:rsidRPr="006350E7">
        <w:rPr>
          <w:i/>
          <w:iCs/>
          <w:lang w:val="en-US"/>
        </w:rPr>
        <w:t>Ricordanze</w:t>
      </w:r>
      <w:proofErr w:type="spellEnd"/>
      <w:r w:rsidRPr="006350E7">
        <w:rPr>
          <w:lang w:val="en-US"/>
        </w:rPr>
        <w:t xml:space="preserve"> di </w:t>
      </w:r>
      <w:proofErr w:type="spellStart"/>
      <w:r w:rsidRPr="006350E7">
        <w:rPr>
          <w:lang w:val="en-US"/>
        </w:rPr>
        <w:t>Tribaldo</w:t>
      </w:r>
      <w:proofErr w:type="spellEnd"/>
      <w:r w:rsidRPr="006350E7">
        <w:rPr>
          <w:lang w:val="en-US"/>
        </w:rPr>
        <w:t xml:space="preserve"> di Amerigo de’ Rossi (1489–1504) in the Appendix 5 of his </w:t>
      </w:r>
      <w:r w:rsidRPr="006350E7">
        <w:rPr>
          <w:i/>
          <w:iCs/>
          <w:lang w:val="en-US"/>
        </w:rPr>
        <w:t>Education and Society</w:t>
      </w:r>
      <w:r w:rsidRPr="006350E7">
        <w:rPr>
          <w:lang w:val="en-US"/>
        </w:rPr>
        <w:t xml:space="preserve">, 695-707; In addition to this example, the schoolteacher </w:t>
      </w:r>
      <w:proofErr w:type="spellStart"/>
      <w:r w:rsidRPr="006350E7">
        <w:rPr>
          <w:lang w:val="en-US"/>
        </w:rPr>
        <w:t>Vittorino</w:t>
      </w:r>
      <w:proofErr w:type="spellEnd"/>
      <w:r w:rsidRPr="006350E7">
        <w:rPr>
          <w:lang w:val="en-US"/>
        </w:rPr>
        <w:t xml:space="preserve"> da Feltre used letter-based games to teach young children to read and to count; see Woodward, </w:t>
      </w:r>
      <w:proofErr w:type="spellStart"/>
      <w:r w:rsidRPr="006350E7">
        <w:rPr>
          <w:i/>
          <w:iCs/>
          <w:lang w:val="en-US"/>
        </w:rPr>
        <w:t>Vittorino</w:t>
      </w:r>
      <w:proofErr w:type="spellEnd"/>
      <w:r w:rsidRPr="006350E7">
        <w:rPr>
          <w:i/>
          <w:iCs/>
          <w:lang w:val="en-US"/>
        </w:rPr>
        <w:t xml:space="preserve"> da Feltre</w:t>
      </w:r>
      <w:r w:rsidRPr="006350E7">
        <w:rPr>
          <w:lang w:val="en-US"/>
        </w:rPr>
        <w:t>, 38–39 and 42.</w:t>
      </w:r>
    </w:p>
  </w:footnote>
  <w:footnote w:id="54">
    <w:p w14:paraId="69B7C789" w14:textId="77777777" w:rsidR="00182EED" w:rsidRDefault="00182EED" w:rsidP="001840E8">
      <w:pPr>
        <w:pStyle w:val="FootnoteText"/>
      </w:pPr>
      <w:r w:rsidRPr="00391186">
        <w:rPr>
          <w:rStyle w:val="FootnoteReference"/>
        </w:rPr>
        <w:footnoteRef/>
      </w:r>
      <w:r>
        <w:t xml:space="preserve"> </w:t>
      </w:r>
      <w:proofErr w:type="spellStart"/>
      <w:r w:rsidRPr="006350E7">
        <w:rPr>
          <w:lang w:val="en-US"/>
        </w:rPr>
        <w:t>Danièlle</w:t>
      </w:r>
      <w:proofErr w:type="spellEnd"/>
      <w:r w:rsidRPr="006350E7">
        <w:rPr>
          <w:lang w:val="en-US"/>
        </w:rPr>
        <w:t xml:space="preserve"> Alexandre-Bidon, “A tavola! Les rudiments de </w:t>
      </w:r>
      <w:proofErr w:type="spellStart"/>
      <w:r w:rsidRPr="006350E7">
        <w:rPr>
          <w:lang w:val="en-US"/>
        </w:rPr>
        <w:t>l’éducation</w:t>
      </w:r>
      <w:proofErr w:type="spellEnd"/>
      <w:r w:rsidRPr="006350E7">
        <w:rPr>
          <w:lang w:val="en-US"/>
        </w:rPr>
        <w:t xml:space="preserve"> des enfants </w:t>
      </w:r>
      <w:proofErr w:type="spellStart"/>
      <w:r w:rsidRPr="006350E7">
        <w:rPr>
          <w:lang w:val="en-US"/>
        </w:rPr>
        <w:t>italiens</w:t>
      </w:r>
      <w:proofErr w:type="spellEnd"/>
      <w:r w:rsidRPr="006350E7">
        <w:rPr>
          <w:lang w:val="en-US"/>
        </w:rPr>
        <w:t xml:space="preserve"> à la fin du </w:t>
      </w:r>
      <w:proofErr w:type="spellStart"/>
      <w:r w:rsidRPr="006350E7">
        <w:rPr>
          <w:lang w:val="en-US"/>
        </w:rPr>
        <w:t>Moyen</w:t>
      </w:r>
      <w:proofErr w:type="spellEnd"/>
      <w:r w:rsidRPr="006350E7">
        <w:rPr>
          <w:lang w:val="en-US"/>
        </w:rPr>
        <w:t xml:space="preserve"> Age et au </w:t>
      </w:r>
      <w:proofErr w:type="spellStart"/>
      <w:r w:rsidRPr="006350E7">
        <w:rPr>
          <w:lang w:val="en-US"/>
        </w:rPr>
        <w:t>XVIe</w:t>
      </w:r>
      <w:proofErr w:type="spellEnd"/>
      <w:r w:rsidRPr="006350E7">
        <w:rPr>
          <w:lang w:val="en-US"/>
        </w:rPr>
        <w:t xml:space="preserve"> siècle,” </w:t>
      </w:r>
      <w:proofErr w:type="spellStart"/>
      <w:r w:rsidRPr="006350E7">
        <w:rPr>
          <w:i/>
          <w:iCs/>
          <w:lang w:val="en-US"/>
        </w:rPr>
        <w:t>Chroniques</w:t>
      </w:r>
      <w:proofErr w:type="spellEnd"/>
      <w:r w:rsidRPr="006350E7">
        <w:rPr>
          <w:i/>
          <w:iCs/>
          <w:lang w:val="en-US"/>
        </w:rPr>
        <w:t xml:space="preserve"> </w:t>
      </w:r>
      <w:proofErr w:type="spellStart"/>
      <w:r w:rsidRPr="006350E7">
        <w:rPr>
          <w:i/>
          <w:iCs/>
          <w:lang w:val="en-US"/>
        </w:rPr>
        <w:t>italiennes</w:t>
      </w:r>
      <w:proofErr w:type="spellEnd"/>
      <w:r w:rsidRPr="006350E7">
        <w:rPr>
          <w:lang w:val="en-US"/>
        </w:rPr>
        <w:t>, no. 22/23 (1990): 4.</w:t>
      </w:r>
    </w:p>
  </w:footnote>
  <w:footnote w:id="55">
    <w:p w14:paraId="4A6EB42D" w14:textId="77777777" w:rsidR="00182EED" w:rsidRDefault="00182EED" w:rsidP="001840E8">
      <w:pPr>
        <w:pStyle w:val="FootnoteText"/>
      </w:pPr>
      <w:r w:rsidRPr="00391186">
        <w:rPr>
          <w:rStyle w:val="FootnoteReference"/>
        </w:rPr>
        <w:footnoteRef/>
      </w:r>
      <w:r>
        <w:t xml:space="preserve"> </w:t>
      </w:r>
      <w:r w:rsidRPr="006350E7">
        <w:rPr>
          <w:lang w:val="en-US"/>
        </w:rPr>
        <w:t xml:space="preserve">Alessandra </w:t>
      </w:r>
      <w:proofErr w:type="spellStart"/>
      <w:r w:rsidRPr="006350E7">
        <w:rPr>
          <w:lang w:val="en-US"/>
        </w:rPr>
        <w:t>Macinghi</w:t>
      </w:r>
      <w:proofErr w:type="spellEnd"/>
      <w:r w:rsidRPr="006350E7">
        <w:rPr>
          <w:lang w:val="en-US"/>
        </w:rPr>
        <w:t xml:space="preserve"> </w:t>
      </w:r>
      <w:proofErr w:type="spellStart"/>
      <w:r w:rsidRPr="006350E7">
        <w:rPr>
          <w:lang w:val="en-US"/>
        </w:rPr>
        <w:t>Strozzi</w:t>
      </w:r>
      <w:proofErr w:type="spellEnd"/>
      <w:r w:rsidRPr="006350E7">
        <w:rPr>
          <w:lang w:val="en-US"/>
        </w:rPr>
        <w:t xml:space="preserve">, </w:t>
      </w:r>
      <w:proofErr w:type="spellStart"/>
      <w:r w:rsidRPr="006350E7">
        <w:rPr>
          <w:i/>
          <w:iCs/>
          <w:lang w:val="en-US"/>
        </w:rPr>
        <w:t>Lettere</w:t>
      </w:r>
      <w:proofErr w:type="spellEnd"/>
      <w:r w:rsidRPr="006350E7">
        <w:rPr>
          <w:i/>
          <w:iCs/>
          <w:lang w:val="en-US"/>
        </w:rPr>
        <w:t xml:space="preserve"> di una </w:t>
      </w:r>
      <w:proofErr w:type="spellStart"/>
      <w:r w:rsidRPr="006350E7">
        <w:rPr>
          <w:i/>
          <w:iCs/>
          <w:lang w:val="en-US"/>
        </w:rPr>
        <w:t>gentildonna</w:t>
      </w:r>
      <w:proofErr w:type="spellEnd"/>
      <w:r w:rsidRPr="006350E7">
        <w:rPr>
          <w:i/>
          <w:iCs/>
          <w:lang w:val="en-US"/>
        </w:rPr>
        <w:t xml:space="preserve"> </w:t>
      </w:r>
      <w:proofErr w:type="spellStart"/>
      <w:r w:rsidRPr="006350E7">
        <w:rPr>
          <w:i/>
          <w:iCs/>
          <w:lang w:val="en-US"/>
        </w:rPr>
        <w:t>fiorentina</w:t>
      </w:r>
      <w:proofErr w:type="spellEnd"/>
      <w:r w:rsidRPr="006350E7">
        <w:rPr>
          <w:i/>
          <w:iCs/>
          <w:lang w:val="en-US"/>
        </w:rPr>
        <w:t xml:space="preserve"> del </w:t>
      </w:r>
      <w:proofErr w:type="spellStart"/>
      <w:r w:rsidRPr="006350E7">
        <w:rPr>
          <w:i/>
          <w:iCs/>
          <w:lang w:val="en-US"/>
        </w:rPr>
        <w:t>secolo</w:t>
      </w:r>
      <w:proofErr w:type="spellEnd"/>
      <w:r w:rsidRPr="006350E7">
        <w:rPr>
          <w:i/>
          <w:iCs/>
          <w:lang w:val="en-US"/>
        </w:rPr>
        <w:t xml:space="preserve"> XV ai </w:t>
      </w:r>
      <w:proofErr w:type="spellStart"/>
      <w:r w:rsidRPr="006350E7">
        <w:rPr>
          <w:i/>
          <w:iCs/>
          <w:lang w:val="en-US"/>
        </w:rPr>
        <w:t>figliuoli</w:t>
      </w:r>
      <w:proofErr w:type="spellEnd"/>
      <w:r w:rsidRPr="006350E7">
        <w:rPr>
          <w:i/>
          <w:iCs/>
          <w:lang w:val="en-US"/>
        </w:rPr>
        <w:t xml:space="preserve"> </w:t>
      </w:r>
      <w:proofErr w:type="spellStart"/>
      <w:r w:rsidRPr="006350E7">
        <w:rPr>
          <w:i/>
          <w:iCs/>
          <w:lang w:val="en-US"/>
        </w:rPr>
        <w:t>esuli</w:t>
      </w:r>
      <w:proofErr w:type="spellEnd"/>
      <w:r w:rsidRPr="006350E7">
        <w:rPr>
          <w:lang w:val="en-US"/>
        </w:rPr>
        <w:t xml:space="preserve">, ed. Cesare Guasti (Florence: G.C. </w:t>
      </w:r>
      <w:proofErr w:type="spellStart"/>
      <w:r w:rsidRPr="006350E7">
        <w:rPr>
          <w:lang w:val="en-US"/>
        </w:rPr>
        <w:t>Sansoni</w:t>
      </w:r>
      <w:proofErr w:type="spellEnd"/>
      <w:r w:rsidRPr="006350E7">
        <w:rPr>
          <w:lang w:val="en-US"/>
        </w:rPr>
        <w:t xml:space="preserve">, 1877), letter 70, 587; Also cited in </w:t>
      </w:r>
      <w:proofErr w:type="spellStart"/>
      <w:r w:rsidRPr="006350E7">
        <w:rPr>
          <w:lang w:val="en-US"/>
        </w:rPr>
        <w:t>Klapisch</w:t>
      </w:r>
      <w:proofErr w:type="spellEnd"/>
      <w:r w:rsidRPr="006350E7">
        <w:rPr>
          <w:lang w:val="en-US"/>
        </w:rPr>
        <w:t xml:space="preserve">-Zuber, “Le </w:t>
      </w:r>
      <w:proofErr w:type="spellStart"/>
      <w:r w:rsidRPr="006350E7">
        <w:rPr>
          <w:lang w:val="en-US"/>
        </w:rPr>
        <w:t>Chiavi</w:t>
      </w:r>
      <w:proofErr w:type="spellEnd"/>
      <w:r w:rsidRPr="006350E7">
        <w:rPr>
          <w:lang w:val="en-US"/>
        </w:rPr>
        <w:t xml:space="preserve"> </w:t>
      </w:r>
      <w:proofErr w:type="spellStart"/>
      <w:r w:rsidRPr="006350E7">
        <w:rPr>
          <w:lang w:val="en-US"/>
        </w:rPr>
        <w:t>Fiorentine</w:t>
      </w:r>
      <w:proofErr w:type="spellEnd"/>
      <w:r w:rsidRPr="006350E7">
        <w:rPr>
          <w:lang w:val="en-US"/>
        </w:rPr>
        <w:t xml:space="preserve"> di </w:t>
      </w:r>
      <w:proofErr w:type="spellStart"/>
      <w:r w:rsidRPr="006350E7">
        <w:rPr>
          <w:lang w:val="en-US"/>
        </w:rPr>
        <w:t>Barbablù</w:t>
      </w:r>
      <w:proofErr w:type="spellEnd"/>
      <w:r w:rsidRPr="006350E7">
        <w:rPr>
          <w:lang w:val="en-US"/>
        </w:rPr>
        <w:t xml:space="preserve">,” 786 n. 34; and in Black, </w:t>
      </w:r>
      <w:r w:rsidRPr="006350E7">
        <w:rPr>
          <w:i/>
          <w:iCs/>
          <w:lang w:val="en-US"/>
        </w:rPr>
        <w:t>Education and Society</w:t>
      </w:r>
      <w:r w:rsidRPr="006350E7">
        <w:rPr>
          <w:lang w:val="en-US"/>
        </w:rPr>
        <w:t>, 122.</w:t>
      </w:r>
    </w:p>
  </w:footnote>
  <w:footnote w:id="56">
    <w:p w14:paraId="14030149" w14:textId="77777777" w:rsidR="00182EED" w:rsidRDefault="00182EED" w:rsidP="001840E8">
      <w:pPr>
        <w:pStyle w:val="FootnoteText"/>
      </w:pPr>
      <w:r w:rsidRPr="00391186">
        <w:rPr>
          <w:rStyle w:val="FootnoteReference"/>
        </w:rPr>
        <w:footnoteRef/>
      </w:r>
      <w:r>
        <w:t xml:space="preserve"> </w:t>
      </w:r>
      <w:r w:rsidRPr="006350E7">
        <w:rPr>
          <w:lang w:val="en-US"/>
        </w:rPr>
        <w:t xml:space="preserve">Other introductory textbooks similar to the </w:t>
      </w:r>
      <w:r w:rsidRPr="006350E7">
        <w:rPr>
          <w:i/>
          <w:iCs/>
          <w:lang w:val="en-US"/>
        </w:rPr>
        <w:t>tavola</w:t>
      </w:r>
      <w:r w:rsidRPr="006350E7">
        <w:rPr>
          <w:lang w:val="en-US"/>
        </w:rPr>
        <w:t xml:space="preserve"> are called </w:t>
      </w:r>
      <w:r w:rsidRPr="006350E7">
        <w:rPr>
          <w:i/>
          <w:iCs/>
          <w:lang w:val="en-US"/>
        </w:rPr>
        <w:t>carta</w:t>
      </w:r>
      <w:r w:rsidRPr="006350E7">
        <w:rPr>
          <w:lang w:val="en-US"/>
        </w:rPr>
        <w:t xml:space="preserve"> (paper) and </w:t>
      </w:r>
      <w:proofErr w:type="spellStart"/>
      <w:r w:rsidRPr="006350E7">
        <w:rPr>
          <w:i/>
          <w:iCs/>
          <w:lang w:val="en-US"/>
        </w:rPr>
        <w:t>quaderno</w:t>
      </w:r>
      <w:proofErr w:type="spellEnd"/>
      <w:r w:rsidRPr="006350E7">
        <w:rPr>
          <w:lang w:val="en-US"/>
        </w:rPr>
        <w:t xml:space="preserve"> (notebook); see Paul F. </w:t>
      </w:r>
      <w:proofErr w:type="spellStart"/>
      <w:r w:rsidRPr="006350E7">
        <w:rPr>
          <w:lang w:val="en-US"/>
        </w:rPr>
        <w:t>Grendler</w:t>
      </w:r>
      <w:proofErr w:type="spellEnd"/>
      <w:r w:rsidRPr="006350E7">
        <w:rPr>
          <w:lang w:val="en-US"/>
        </w:rPr>
        <w:t xml:space="preserve">, </w:t>
      </w:r>
      <w:r w:rsidRPr="006350E7">
        <w:rPr>
          <w:i/>
          <w:iCs/>
          <w:lang w:val="en-US"/>
        </w:rPr>
        <w:t>Schooling in Renaissance Italy: Literacy and Learning, 1300-1600</w:t>
      </w:r>
      <w:r w:rsidRPr="006350E7">
        <w:rPr>
          <w:lang w:val="en-US"/>
        </w:rPr>
        <w:t xml:space="preserve">, Reprint edition (Baltimore and London: The Johns Hopkins University Press, 1989), 142–43; Black, </w:t>
      </w:r>
      <w:r w:rsidRPr="006350E7">
        <w:rPr>
          <w:i/>
          <w:iCs/>
          <w:lang w:val="en-US"/>
        </w:rPr>
        <w:t>Education and Society</w:t>
      </w:r>
      <w:r w:rsidRPr="006350E7">
        <w:rPr>
          <w:lang w:val="en-US"/>
        </w:rPr>
        <w:t xml:space="preserve">, 44–45; </w:t>
      </w:r>
      <w:proofErr w:type="spellStart"/>
      <w:r w:rsidRPr="006350E7">
        <w:rPr>
          <w:lang w:val="en-US"/>
        </w:rPr>
        <w:t>Fortini</w:t>
      </w:r>
      <w:proofErr w:type="spellEnd"/>
      <w:r w:rsidRPr="006350E7">
        <w:rPr>
          <w:lang w:val="en-US"/>
        </w:rPr>
        <w:t xml:space="preserve"> Brown, “Children and Education,” 141.</w:t>
      </w:r>
    </w:p>
  </w:footnote>
  <w:footnote w:id="57">
    <w:p w14:paraId="52550650" w14:textId="77777777" w:rsidR="00182EED" w:rsidRDefault="00182EED" w:rsidP="001840E8">
      <w:pPr>
        <w:pStyle w:val="FootnoteText"/>
      </w:pPr>
      <w:r w:rsidRPr="00391186">
        <w:rPr>
          <w:rStyle w:val="FootnoteReference"/>
        </w:rPr>
        <w:footnoteRef/>
      </w:r>
      <w:r>
        <w:t xml:space="preserve"> </w:t>
      </w:r>
      <w:proofErr w:type="spellStart"/>
      <w:r w:rsidRPr="006350E7">
        <w:rPr>
          <w:lang w:val="en-US"/>
        </w:rPr>
        <w:t>Grendler</w:t>
      </w:r>
      <w:proofErr w:type="spellEnd"/>
      <w:r w:rsidRPr="006350E7">
        <w:rPr>
          <w:lang w:val="en-US"/>
        </w:rPr>
        <w:t xml:space="preserve">, </w:t>
      </w:r>
      <w:r w:rsidRPr="006350E7">
        <w:rPr>
          <w:i/>
          <w:iCs/>
          <w:lang w:val="en-US"/>
        </w:rPr>
        <w:t>Schooling in Renaissance Italy</w:t>
      </w:r>
      <w:r w:rsidRPr="006350E7">
        <w:rPr>
          <w:lang w:val="en-US"/>
        </w:rPr>
        <w:t xml:space="preserve">, 278–80; </w:t>
      </w:r>
      <w:proofErr w:type="spellStart"/>
      <w:r w:rsidRPr="006350E7">
        <w:rPr>
          <w:lang w:val="en-US"/>
        </w:rPr>
        <w:t>Fortini</w:t>
      </w:r>
      <w:proofErr w:type="spellEnd"/>
      <w:r w:rsidRPr="006350E7">
        <w:rPr>
          <w:lang w:val="en-US"/>
        </w:rPr>
        <w:t xml:space="preserve"> Brown, “Children and Education,” 141.</w:t>
      </w:r>
    </w:p>
  </w:footnote>
  <w:footnote w:id="58">
    <w:p w14:paraId="22E01F21" w14:textId="77777777" w:rsidR="00182EED" w:rsidRDefault="00182EED" w:rsidP="001840E8">
      <w:pPr>
        <w:pStyle w:val="FootnoteText"/>
      </w:pPr>
      <w:r w:rsidRPr="00391186">
        <w:rPr>
          <w:rStyle w:val="FootnoteReference"/>
        </w:rPr>
        <w:footnoteRef/>
      </w:r>
      <w:r>
        <w:t xml:space="preserve"> </w:t>
      </w:r>
      <w:r w:rsidRPr="00205892">
        <w:rPr>
          <w:lang w:val="en-US"/>
        </w:rPr>
        <w:t>“</w:t>
      </w:r>
      <w:proofErr w:type="spellStart"/>
      <w:r w:rsidRPr="00205892">
        <w:rPr>
          <w:lang w:val="en-US"/>
        </w:rPr>
        <w:t>Acciò</w:t>
      </w:r>
      <w:proofErr w:type="spellEnd"/>
      <w:r w:rsidRPr="00205892">
        <w:rPr>
          <w:lang w:val="en-US"/>
        </w:rPr>
        <w:t xml:space="preserve"> [le </w:t>
      </w:r>
      <w:proofErr w:type="spellStart"/>
      <w:r w:rsidRPr="00205892">
        <w:rPr>
          <w:lang w:val="en-US"/>
        </w:rPr>
        <w:t>fanciulle</w:t>
      </w:r>
      <w:proofErr w:type="spellEnd"/>
      <w:r w:rsidRPr="00205892">
        <w:rPr>
          <w:lang w:val="en-US"/>
        </w:rPr>
        <w:t xml:space="preserve">] </w:t>
      </w:r>
      <w:proofErr w:type="spellStart"/>
      <w:r w:rsidRPr="00205892">
        <w:rPr>
          <w:lang w:val="en-US"/>
        </w:rPr>
        <w:t>imparino</w:t>
      </w:r>
      <w:proofErr w:type="spellEnd"/>
      <w:r w:rsidRPr="00205892">
        <w:rPr>
          <w:lang w:val="en-US"/>
        </w:rPr>
        <w:t xml:space="preserve"> à </w:t>
      </w:r>
      <w:proofErr w:type="spellStart"/>
      <w:r w:rsidRPr="00205892">
        <w:rPr>
          <w:lang w:val="en-US"/>
        </w:rPr>
        <w:t>leggere</w:t>
      </w:r>
      <w:proofErr w:type="spellEnd"/>
      <w:r w:rsidRPr="00205892">
        <w:rPr>
          <w:lang w:val="en-US"/>
        </w:rPr>
        <w:t xml:space="preserve"> </w:t>
      </w:r>
      <w:proofErr w:type="spellStart"/>
      <w:r w:rsidRPr="00205892">
        <w:rPr>
          <w:lang w:val="en-US"/>
        </w:rPr>
        <w:t>almeno</w:t>
      </w:r>
      <w:proofErr w:type="spellEnd"/>
      <w:r w:rsidRPr="00205892">
        <w:rPr>
          <w:lang w:val="en-US"/>
        </w:rPr>
        <w:t xml:space="preserve">, tanto </w:t>
      </w:r>
      <w:proofErr w:type="spellStart"/>
      <w:r w:rsidRPr="00205892">
        <w:rPr>
          <w:lang w:val="en-US"/>
        </w:rPr>
        <w:t>quanto</w:t>
      </w:r>
      <w:proofErr w:type="spellEnd"/>
      <w:r w:rsidRPr="00205892">
        <w:rPr>
          <w:lang w:val="en-US"/>
        </w:rPr>
        <w:t xml:space="preserve"> li </w:t>
      </w:r>
      <w:proofErr w:type="spellStart"/>
      <w:r w:rsidRPr="00205892">
        <w:rPr>
          <w:lang w:val="en-US"/>
        </w:rPr>
        <w:t>basta</w:t>
      </w:r>
      <w:proofErr w:type="spellEnd"/>
      <w:r w:rsidRPr="00205892">
        <w:rPr>
          <w:lang w:val="en-US"/>
        </w:rPr>
        <w:t xml:space="preserve"> à </w:t>
      </w:r>
      <w:proofErr w:type="spellStart"/>
      <w:r w:rsidRPr="00205892">
        <w:rPr>
          <w:lang w:val="en-US"/>
        </w:rPr>
        <w:t>leggere</w:t>
      </w:r>
      <w:proofErr w:type="spellEnd"/>
      <w:r w:rsidRPr="00205892">
        <w:rPr>
          <w:lang w:val="en-US"/>
        </w:rPr>
        <w:t xml:space="preserve"> </w:t>
      </w:r>
      <w:proofErr w:type="spellStart"/>
      <w:r w:rsidRPr="00205892">
        <w:rPr>
          <w:lang w:val="en-US"/>
        </w:rPr>
        <w:t>distintamente</w:t>
      </w:r>
      <w:proofErr w:type="spellEnd"/>
      <w:r w:rsidRPr="00205892">
        <w:rPr>
          <w:lang w:val="en-US"/>
        </w:rPr>
        <w:t xml:space="preserve"> </w:t>
      </w:r>
      <w:proofErr w:type="spellStart"/>
      <w:r w:rsidRPr="00205892">
        <w:rPr>
          <w:lang w:val="en-US"/>
        </w:rPr>
        <w:t>l’ufficiolo</w:t>
      </w:r>
      <w:proofErr w:type="spellEnd"/>
      <w:r w:rsidRPr="00205892">
        <w:rPr>
          <w:lang w:val="en-US"/>
        </w:rPr>
        <w:t xml:space="preserve">, </w:t>
      </w:r>
      <w:proofErr w:type="spellStart"/>
      <w:r w:rsidRPr="00205892">
        <w:rPr>
          <w:lang w:val="en-US"/>
        </w:rPr>
        <w:t>il</w:t>
      </w:r>
      <w:proofErr w:type="spellEnd"/>
      <w:r w:rsidRPr="00205892">
        <w:rPr>
          <w:lang w:val="en-US"/>
        </w:rPr>
        <w:t xml:space="preserve"> </w:t>
      </w:r>
      <w:proofErr w:type="spellStart"/>
      <w:r w:rsidRPr="00205892">
        <w:rPr>
          <w:lang w:val="en-US"/>
        </w:rPr>
        <w:t>salterio</w:t>
      </w:r>
      <w:proofErr w:type="spellEnd"/>
      <w:r w:rsidRPr="00205892">
        <w:rPr>
          <w:lang w:val="en-US"/>
        </w:rPr>
        <w:t xml:space="preserve">, &amp; </w:t>
      </w:r>
      <w:proofErr w:type="spellStart"/>
      <w:r w:rsidRPr="00205892">
        <w:rPr>
          <w:lang w:val="en-US"/>
        </w:rPr>
        <w:t>altre</w:t>
      </w:r>
      <w:proofErr w:type="spellEnd"/>
      <w:r w:rsidRPr="00205892">
        <w:rPr>
          <w:lang w:val="en-US"/>
        </w:rPr>
        <w:t xml:space="preserve"> </w:t>
      </w:r>
      <w:proofErr w:type="spellStart"/>
      <w:r w:rsidRPr="00205892">
        <w:rPr>
          <w:lang w:val="en-US"/>
        </w:rPr>
        <w:t>divote</w:t>
      </w:r>
      <w:proofErr w:type="spellEnd"/>
      <w:r w:rsidRPr="00205892">
        <w:rPr>
          <w:lang w:val="en-US"/>
        </w:rPr>
        <w:t xml:space="preserve"> &amp; </w:t>
      </w:r>
      <w:proofErr w:type="spellStart"/>
      <w:r w:rsidRPr="00205892">
        <w:rPr>
          <w:lang w:val="en-US"/>
        </w:rPr>
        <w:t>sante</w:t>
      </w:r>
      <w:proofErr w:type="spellEnd"/>
      <w:r w:rsidRPr="00205892">
        <w:rPr>
          <w:lang w:val="en-US"/>
        </w:rPr>
        <w:t xml:space="preserve"> </w:t>
      </w:r>
      <w:proofErr w:type="spellStart"/>
      <w:r w:rsidRPr="00205892">
        <w:rPr>
          <w:lang w:val="en-US"/>
        </w:rPr>
        <w:t>oration.”Quoted</w:t>
      </w:r>
      <w:proofErr w:type="spellEnd"/>
      <w:r w:rsidRPr="00205892">
        <w:rPr>
          <w:lang w:val="en-US"/>
        </w:rPr>
        <w:t xml:space="preserve"> in </w:t>
      </w:r>
      <w:proofErr w:type="spellStart"/>
      <w:r w:rsidRPr="00205892">
        <w:rPr>
          <w:lang w:val="en-US"/>
        </w:rPr>
        <w:t>Grendler</w:t>
      </w:r>
      <w:proofErr w:type="spellEnd"/>
      <w:r w:rsidRPr="00205892">
        <w:rPr>
          <w:lang w:val="en-US"/>
        </w:rPr>
        <w:t xml:space="preserve">, </w:t>
      </w:r>
      <w:r w:rsidRPr="00205892">
        <w:rPr>
          <w:i/>
          <w:iCs/>
          <w:lang w:val="en-US"/>
        </w:rPr>
        <w:t>Schooling in Renaissance Italy</w:t>
      </w:r>
      <w:r w:rsidRPr="00205892">
        <w:rPr>
          <w:lang w:val="en-US"/>
        </w:rPr>
        <w:t xml:space="preserve">, 100; In regard to girls, a similar concept appears in Ludovico </w:t>
      </w:r>
      <w:proofErr w:type="spellStart"/>
      <w:r w:rsidRPr="00205892">
        <w:rPr>
          <w:lang w:val="en-US"/>
        </w:rPr>
        <w:t>Dolce’s</w:t>
      </w:r>
      <w:proofErr w:type="spellEnd"/>
      <w:r w:rsidRPr="00205892">
        <w:rPr>
          <w:lang w:val="en-US"/>
        </w:rPr>
        <w:t xml:space="preserve"> </w:t>
      </w:r>
      <w:proofErr w:type="spellStart"/>
      <w:r w:rsidRPr="00205892">
        <w:rPr>
          <w:i/>
          <w:iCs/>
          <w:lang w:val="en-US"/>
        </w:rPr>
        <w:t>Dialogo</w:t>
      </w:r>
      <w:proofErr w:type="spellEnd"/>
      <w:r w:rsidRPr="00205892">
        <w:rPr>
          <w:i/>
          <w:iCs/>
          <w:lang w:val="en-US"/>
        </w:rPr>
        <w:t xml:space="preserve"> </w:t>
      </w:r>
      <w:proofErr w:type="spellStart"/>
      <w:r w:rsidRPr="00205892">
        <w:rPr>
          <w:i/>
          <w:iCs/>
          <w:lang w:val="en-US"/>
        </w:rPr>
        <w:t>della</w:t>
      </w:r>
      <w:proofErr w:type="spellEnd"/>
      <w:r w:rsidRPr="00205892">
        <w:rPr>
          <w:i/>
          <w:iCs/>
          <w:lang w:val="en-US"/>
        </w:rPr>
        <w:t xml:space="preserve"> </w:t>
      </w:r>
      <w:proofErr w:type="spellStart"/>
      <w:r w:rsidRPr="00205892">
        <w:rPr>
          <w:i/>
          <w:iCs/>
          <w:lang w:val="en-US"/>
        </w:rPr>
        <w:t>instituzion</w:t>
      </w:r>
      <w:proofErr w:type="spellEnd"/>
      <w:r w:rsidRPr="00205892">
        <w:rPr>
          <w:i/>
          <w:iCs/>
          <w:lang w:val="en-US"/>
        </w:rPr>
        <w:t xml:space="preserve"> </w:t>
      </w:r>
      <w:proofErr w:type="spellStart"/>
      <w:r w:rsidRPr="00205892">
        <w:rPr>
          <w:i/>
          <w:iCs/>
          <w:lang w:val="en-US"/>
        </w:rPr>
        <w:t>delle</w:t>
      </w:r>
      <w:proofErr w:type="spellEnd"/>
      <w:r w:rsidRPr="00205892">
        <w:rPr>
          <w:i/>
          <w:iCs/>
          <w:lang w:val="en-US"/>
        </w:rPr>
        <w:t xml:space="preserve"> </w:t>
      </w:r>
      <w:proofErr w:type="spellStart"/>
      <w:r w:rsidRPr="00205892">
        <w:rPr>
          <w:i/>
          <w:iCs/>
          <w:lang w:val="en-US"/>
        </w:rPr>
        <w:t>donne</w:t>
      </w:r>
      <w:proofErr w:type="spellEnd"/>
      <w:r w:rsidRPr="00205892">
        <w:rPr>
          <w:lang w:val="en-US"/>
        </w:rPr>
        <w:t xml:space="preserve"> published in 1545, in which the author recommends that girls read devotional books; see </w:t>
      </w:r>
      <w:proofErr w:type="spellStart"/>
      <w:r w:rsidRPr="00205892">
        <w:rPr>
          <w:lang w:val="en-US"/>
        </w:rPr>
        <w:t>Fortini</w:t>
      </w:r>
      <w:proofErr w:type="spellEnd"/>
      <w:r w:rsidRPr="00205892">
        <w:rPr>
          <w:lang w:val="en-US"/>
        </w:rPr>
        <w:t xml:space="preserve"> Brown, “Children and Education,” 142.</w:t>
      </w:r>
    </w:p>
  </w:footnote>
  <w:footnote w:id="59">
    <w:p w14:paraId="0B16F654" w14:textId="77777777" w:rsidR="00182EED" w:rsidRDefault="00182EED" w:rsidP="001840E8">
      <w:pPr>
        <w:pStyle w:val="FootnoteText"/>
      </w:pPr>
      <w:r w:rsidRPr="00391186">
        <w:rPr>
          <w:rStyle w:val="FootnoteReference"/>
        </w:rPr>
        <w:footnoteRef/>
      </w:r>
      <w:r>
        <w:t xml:space="preserve"> </w:t>
      </w:r>
      <w:r w:rsidRPr="00205892">
        <w:rPr>
          <w:lang w:val="en-US"/>
        </w:rPr>
        <w:t>“</w:t>
      </w:r>
      <w:proofErr w:type="spellStart"/>
      <w:r w:rsidRPr="00205892">
        <w:rPr>
          <w:lang w:val="en-US"/>
        </w:rPr>
        <w:t>Insegna</w:t>
      </w:r>
      <w:proofErr w:type="spellEnd"/>
      <w:r w:rsidRPr="00205892">
        <w:rPr>
          <w:lang w:val="en-US"/>
        </w:rPr>
        <w:t xml:space="preserve"> a </w:t>
      </w:r>
      <w:proofErr w:type="spellStart"/>
      <w:r w:rsidRPr="00205892">
        <w:rPr>
          <w:lang w:val="en-US"/>
        </w:rPr>
        <w:t>ciascheduno</w:t>
      </w:r>
      <w:proofErr w:type="spellEnd"/>
      <w:r w:rsidRPr="00205892">
        <w:rPr>
          <w:lang w:val="en-US"/>
        </w:rPr>
        <w:t xml:space="preserve"> </w:t>
      </w:r>
      <w:proofErr w:type="spellStart"/>
      <w:r w:rsidRPr="00205892">
        <w:rPr>
          <w:lang w:val="en-US"/>
        </w:rPr>
        <w:t>che</w:t>
      </w:r>
      <w:proofErr w:type="spellEnd"/>
      <w:r w:rsidRPr="00205892">
        <w:rPr>
          <w:lang w:val="en-US"/>
        </w:rPr>
        <w:t xml:space="preserve"> </w:t>
      </w:r>
      <w:proofErr w:type="spellStart"/>
      <w:r w:rsidRPr="00205892">
        <w:rPr>
          <w:lang w:val="en-US"/>
        </w:rPr>
        <w:t>sappia</w:t>
      </w:r>
      <w:proofErr w:type="spellEnd"/>
      <w:r w:rsidRPr="00205892">
        <w:rPr>
          <w:lang w:val="en-US"/>
        </w:rPr>
        <w:t xml:space="preserve"> </w:t>
      </w:r>
      <w:proofErr w:type="spellStart"/>
      <w:r w:rsidRPr="00205892">
        <w:rPr>
          <w:lang w:val="en-US"/>
        </w:rPr>
        <w:t>leggere</w:t>
      </w:r>
      <w:proofErr w:type="spellEnd"/>
      <w:r w:rsidRPr="00205892">
        <w:rPr>
          <w:lang w:val="en-US"/>
        </w:rPr>
        <w:t xml:space="preserve">, ad </w:t>
      </w:r>
      <w:proofErr w:type="spellStart"/>
      <w:r w:rsidRPr="00205892">
        <w:rPr>
          <w:lang w:val="en-US"/>
        </w:rPr>
        <w:t>insegnare</w:t>
      </w:r>
      <w:proofErr w:type="spellEnd"/>
      <w:r w:rsidRPr="00205892">
        <w:rPr>
          <w:lang w:val="en-US"/>
        </w:rPr>
        <w:t xml:space="preserve"> al </w:t>
      </w:r>
      <w:proofErr w:type="spellStart"/>
      <w:r w:rsidRPr="00205892">
        <w:rPr>
          <w:lang w:val="en-US"/>
        </w:rPr>
        <w:t>suo</w:t>
      </w:r>
      <w:proofErr w:type="spellEnd"/>
      <w:r w:rsidRPr="00205892">
        <w:rPr>
          <w:lang w:val="en-US"/>
        </w:rPr>
        <w:t xml:space="preserve"> </w:t>
      </w:r>
      <w:proofErr w:type="spellStart"/>
      <w:r w:rsidRPr="00205892">
        <w:rPr>
          <w:lang w:val="en-US"/>
        </w:rPr>
        <w:t>figliuolo</w:t>
      </w:r>
      <w:proofErr w:type="spellEnd"/>
      <w:r w:rsidRPr="00205892">
        <w:rPr>
          <w:lang w:val="en-US"/>
        </w:rPr>
        <w:t xml:space="preserve"> et </w:t>
      </w:r>
      <w:proofErr w:type="spellStart"/>
      <w:r w:rsidRPr="00205892">
        <w:rPr>
          <w:lang w:val="en-US"/>
        </w:rPr>
        <w:t>figliuola</w:t>
      </w:r>
      <w:proofErr w:type="spellEnd"/>
      <w:r w:rsidRPr="00205892">
        <w:rPr>
          <w:lang w:val="en-US"/>
        </w:rPr>
        <w:t xml:space="preserve">, o </w:t>
      </w:r>
      <w:proofErr w:type="spellStart"/>
      <w:r w:rsidRPr="00205892">
        <w:rPr>
          <w:lang w:val="en-US"/>
        </w:rPr>
        <w:t>vero</w:t>
      </w:r>
      <w:proofErr w:type="spellEnd"/>
      <w:r w:rsidRPr="00205892">
        <w:rPr>
          <w:lang w:val="en-US"/>
        </w:rPr>
        <w:t xml:space="preserve"> </w:t>
      </w:r>
      <w:proofErr w:type="spellStart"/>
      <w:r w:rsidRPr="00205892">
        <w:rPr>
          <w:lang w:val="en-US"/>
        </w:rPr>
        <w:t>amico</w:t>
      </w:r>
      <w:proofErr w:type="spellEnd"/>
      <w:r w:rsidRPr="00205892">
        <w:rPr>
          <w:lang w:val="en-US"/>
        </w:rPr>
        <w:t xml:space="preserve">, </w:t>
      </w:r>
      <w:proofErr w:type="spellStart"/>
      <w:r w:rsidRPr="00205892">
        <w:rPr>
          <w:lang w:val="en-US"/>
        </w:rPr>
        <w:t>che</w:t>
      </w:r>
      <w:proofErr w:type="spellEnd"/>
      <w:r w:rsidRPr="00205892">
        <w:rPr>
          <w:lang w:val="en-US"/>
        </w:rPr>
        <w:t xml:space="preserve"> niente </w:t>
      </w:r>
      <w:proofErr w:type="spellStart"/>
      <w:r w:rsidRPr="00205892">
        <w:rPr>
          <w:lang w:val="en-US"/>
        </w:rPr>
        <w:t>sapino</w:t>
      </w:r>
      <w:proofErr w:type="spellEnd"/>
      <w:r w:rsidRPr="00205892">
        <w:rPr>
          <w:lang w:val="en-US"/>
        </w:rPr>
        <w:t xml:space="preserve"> </w:t>
      </w:r>
      <w:proofErr w:type="spellStart"/>
      <w:r w:rsidRPr="00205892">
        <w:rPr>
          <w:lang w:val="en-US"/>
        </w:rPr>
        <w:t>leggere</w:t>
      </w:r>
      <w:proofErr w:type="spellEnd"/>
      <w:r w:rsidRPr="00205892">
        <w:rPr>
          <w:lang w:val="en-US"/>
        </w:rPr>
        <w:t xml:space="preserve">, </w:t>
      </w:r>
      <w:proofErr w:type="spellStart"/>
      <w:r w:rsidRPr="00205892">
        <w:rPr>
          <w:lang w:val="en-US"/>
        </w:rPr>
        <w:t>talmente</w:t>
      </w:r>
      <w:proofErr w:type="spellEnd"/>
      <w:r w:rsidRPr="00205892">
        <w:rPr>
          <w:lang w:val="en-US"/>
        </w:rPr>
        <w:t xml:space="preserve"> </w:t>
      </w:r>
      <w:proofErr w:type="spellStart"/>
      <w:r w:rsidRPr="00205892">
        <w:rPr>
          <w:lang w:val="en-US"/>
        </w:rPr>
        <w:t>che</w:t>
      </w:r>
      <w:proofErr w:type="spellEnd"/>
      <w:r w:rsidRPr="00205892">
        <w:rPr>
          <w:lang w:val="en-US"/>
        </w:rPr>
        <w:t xml:space="preserve"> </w:t>
      </w:r>
      <w:proofErr w:type="spellStart"/>
      <w:r w:rsidRPr="00205892">
        <w:rPr>
          <w:lang w:val="en-US"/>
        </w:rPr>
        <w:t>ciasheduno</w:t>
      </w:r>
      <w:proofErr w:type="spellEnd"/>
      <w:r w:rsidRPr="00205892">
        <w:rPr>
          <w:lang w:val="en-US"/>
        </w:rPr>
        <w:t xml:space="preserve"> </w:t>
      </w:r>
      <w:proofErr w:type="spellStart"/>
      <w:r w:rsidRPr="00205892">
        <w:rPr>
          <w:lang w:val="en-US"/>
        </w:rPr>
        <w:t>potra</w:t>
      </w:r>
      <w:proofErr w:type="spellEnd"/>
      <w:r w:rsidRPr="00205892">
        <w:rPr>
          <w:lang w:val="en-US"/>
        </w:rPr>
        <w:t xml:space="preserve"> </w:t>
      </w:r>
      <w:proofErr w:type="spellStart"/>
      <w:r w:rsidRPr="00205892">
        <w:rPr>
          <w:lang w:val="en-US"/>
        </w:rPr>
        <w:t>imparare</w:t>
      </w:r>
      <w:proofErr w:type="spellEnd"/>
      <w:r w:rsidRPr="00205892">
        <w:rPr>
          <w:lang w:val="en-US"/>
        </w:rPr>
        <w:t xml:space="preserve"> et </w:t>
      </w:r>
      <w:proofErr w:type="spellStart"/>
      <w:r w:rsidRPr="00205892">
        <w:rPr>
          <w:lang w:val="en-US"/>
        </w:rPr>
        <w:t>etiam</w:t>
      </w:r>
      <w:proofErr w:type="spellEnd"/>
      <w:r w:rsidRPr="00205892">
        <w:rPr>
          <w:lang w:val="en-US"/>
        </w:rPr>
        <w:t xml:space="preserve"> le </w:t>
      </w:r>
      <w:proofErr w:type="spellStart"/>
      <w:r w:rsidRPr="00205892">
        <w:rPr>
          <w:lang w:val="en-US"/>
        </w:rPr>
        <w:t>donne</w:t>
      </w:r>
      <w:proofErr w:type="spellEnd"/>
      <w:r w:rsidRPr="00205892">
        <w:rPr>
          <w:lang w:val="en-US"/>
        </w:rPr>
        <w:t xml:space="preserve"> </w:t>
      </w:r>
      <w:proofErr w:type="spellStart"/>
      <w:r w:rsidRPr="00205892">
        <w:rPr>
          <w:lang w:val="en-US"/>
        </w:rPr>
        <w:t>grandi</w:t>
      </w:r>
      <w:proofErr w:type="spellEnd"/>
      <w:r w:rsidRPr="00205892">
        <w:rPr>
          <w:lang w:val="en-US"/>
        </w:rPr>
        <w:t xml:space="preserve">, et </w:t>
      </w:r>
      <w:proofErr w:type="spellStart"/>
      <w:r w:rsidRPr="00205892">
        <w:rPr>
          <w:lang w:val="en-US"/>
        </w:rPr>
        <w:t>piccole</w:t>
      </w:r>
      <w:proofErr w:type="spellEnd"/>
      <w:r w:rsidRPr="00205892">
        <w:rPr>
          <w:lang w:val="en-US"/>
        </w:rPr>
        <w:t xml:space="preserve">, </w:t>
      </w:r>
      <w:proofErr w:type="spellStart"/>
      <w:r w:rsidRPr="00205892">
        <w:rPr>
          <w:lang w:val="en-US"/>
        </w:rPr>
        <w:t>che</w:t>
      </w:r>
      <w:proofErr w:type="spellEnd"/>
      <w:r w:rsidRPr="00205892">
        <w:rPr>
          <w:lang w:val="en-US"/>
        </w:rPr>
        <w:t xml:space="preserve"> niente </w:t>
      </w:r>
      <w:proofErr w:type="spellStart"/>
      <w:r w:rsidRPr="00205892">
        <w:rPr>
          <w:lang w:val="en-US"/>
        </w:rPr>
        <w:t>sanno</w:t>
      </w:r>
      <w:proofErr w:type="spellEnd"/>
      <w:r w:rsidRPr="00205892">
        <w:rPr>
          <w:lang w:val="en-US"/>
        </w:rPr>
        <w:t xml:space="preserve"> </w:t>
      </w:r>
      <w:proofErr w:type="spellStart"/>
      <w:r w:rsidRPr="00205892">
        <w:rPr>
          <w:lang w:val="en-US"/>
        </w:rPr>
        <w:t>potranno</w:t>
      </w:r>
      <w:proofErr w:type="spellEnd"/>
      <w:r w:rsidRPr="00205892">
        <w:rPr>
          <w:lang w:val="en-US"/>
        </w:rPr>
        <w:t xml:space="preserve"> </w:t>
      </w:r>
      <w:proofErr w:type="spellStart"/>
      <w:r w:rsidRPr="00205892">
        <w:rPr>
          <w:lang w:val="en-US"/>
        </w:rPr>
        <w:t>imparare</w:t>
      </w:r>
      <w:proofErr w:type="spellEnd"/>
      <w:r w:rsidRPr="00205892">
        <w:rPr>
          <w:lang w:val="en-US"/>
        </w:rPr>
        <w:t xml:space="preserve"> a </w:t>
      </w:r>
      <w:proofErr w:type="spellStart"/>
      <w:r w:rsidRPr="00205892">
        <w:rPr>
          <w:lang w:val="en-US"/>
        </w:rPr>
        <w:t>leggere</w:t>
      </w:r>
      <w:proofErr w:type="spellEnd"/>
      <w:r w:rsidRPr="00205892">
        <w:rPr>
          <w:lang w:val="en-US"/>
        </w:rPr>
        <w:t xml:space="preserve">.” Quoted in </w:t>
      </w:r>
      <w:proofErr w:type="spellStart"/>
      <w:r w:rsidRPr="00205892">
        <w:rPr>
          <w:lang w:val="en-US"/>
        </w:rPr>
        <w:t>Fortini</w:t>
      </w:r>
      <w:proofErr w:type="spellEnd"/>
      <w:r w:rsidRPr="00205892">
        <w:rPr>
          <w:lang w:val="en-US"/>
        </w:rPr>
        <w:t xml:space="preserve"> Brown, “Children and Education,” 142 (in English translation), 376 n.20 (in Italian); See also </w:t>
      </w:r>
      <w:proofErr w:type="spellStart"/>
      <w:r w:rsidRPr="00205892">
        <w:rPr>
          <w:lang w:val="en-US"/>
        </w:rPr>
        <w:t>Grendler</w:t>
      </w:r>
      <w:proofErr w:type="spellEnd"/>
      <w:r w:rsidRPr="00205892">
        <w:rPr>
          <w:lang w:val="en-US"/>
        </w:rPr>
        <w:t xml:space="preserve">, </w:t>
      </w:r>
      <w:r w:rsidRPr="00205892">
        <w:rPr>
          <w:i/>
          <w:iCs/>
          <w:lang w:val="en-US"/>
        </w:rPr>
        <w:t>Schooling in Renaissance Italy</w:t>
      </w:r>
      <w:r w:rsidRPr="00205892">
        <w:rPr>
          <w:lang w:val="en-US"/>
        </w:rPr>
        <w:t>, 100.</w:t>
      </w:r>
    </w:p>
  </w:footnote>
  <w:footnote w:id="60">
    <w:p w14:paraId="0AF4B6FB" w14:textId="77777777" w:rsidR="00182EED" w:rsidRDefault="00182EED" w:rsidP="001840E8">
      <w:pPr>
        <w:pStyle w:val="FootnoteText"/>
      </w:pPr>
      <w:r w:rsidRPr="00391186">
        <w:rPr>
          <w:rStyle w:val="FootnoteReference"/>
        </w:rPr>
        <w:footnoteRef/>
      </w:r>
      <w:r>
        <w:t xml:space="preserve"> </w:t>
      </w:r>
      <w:proofErr w:type="spellStart"/>
      <w:r w:rsidRPr="00DE7007">
        <w:rPr>
          <w:lang w:val="en-US"/>
        </w:rPr>
        <w:t>Grendler</w:t>
      </w:r>
      <w:proofErr w:type="spellEnd"/>
      <w:r w:rsidRPr="00DE7007">
        <w:rPr>
          <w:lang w:val="en-US"/>
        </w:rPr>
        <w:t xml:space="preserve">, </w:t>
      </w:r>
      <w:r w:rsidRPr="00DE7007">
        <w:rPr>
          <w:i/>
          <w:iCs/>
          <w:lang w:val="en-US"/>
        </w:rPr>
        <w:t>Schooling in Renaissance Italy</w:t>
      </w:r>
      <w:r w:rsidRPr="00DE7007">
        <w:rPr>
          <w:lang w:val="en-US"/>
        </w:rPr>
        <w:t>, 100.</w:t>
      </w:r>
    </w:p>
  </w:footnote>
  <w:footnote w:id="61">
    <w:p w14:paraId="691C7314" w14:textId="77777777" w:rsidR="00182EED" w:rsidRDefault="00182EED" w:rsidP="001840E8">
      <w:pPr>
        <w:pStyle w:val="FootnoteText"/>
      </w:pPr>
      <w:r w:rsidRPr="00391186">
        <w:rPr>
          <w:rStyle w:val="FootnoteReference"/>
        </w:rPr>
        <w:footnoteRef/>
      </w:r>
      <w:r>
        <w:t xml:space="preserve"> </w:t>
      </w:r>
      <w:r w:rsidRPr="00205892">
        <w:rPr>
          <w:lang w:val="en-US"/>
        </w:rPr>
        <w:t xml:space="preserve">“E </w:t>
      </w:r>
      <w:proofErr w:type="spellStart"/>
      <w:r w:rsidRPr="00205892">
        <w:rPr>
          <w:lang w:val="en-US"/>
        </w:rPr>
        <w:t>comincò</w:t>
      </w:r>
      <w:proofErr w:type="spellEnd"/>
      <w:r w:rsidRPr="00205892">
        <w:rPr>
          <w:lang w:val="en-US"/>
        </w:rPr>
        <w:t xml:space="preserve"> a ‘</w:t>
      </w:r>
      <w:proofErr w:type="spellStart"/>
      <w:r w:rsidRPr="00205892">
        <w:rPr>
          <w:lang w:val="en-US"/>
        </w:rPr>
        <w:t>nsegnargli</w:t>
      </w:r>
      <w:proofErr w:type="spellEnd"/>
      <w:r w:rsidRPr="00205892">
        <w:rPr>
          <w:lang w:val="en-US"/>
        </w:rPr>
        <w:t xml:space="preserve"> </w:t>
      </w:r>
      <w:proofErr w:type="spellStart"/>
      <w:r w:rsidRPr="00205892">
        <w:rPr>
          <w:lang w:val="en-US"/>
        </w:rPr>
        <w:t>il</w:t>
      </w:r>
      <w:proofErr w:type="spellEnd"/>
      <w:r w:rsidRPr="00205892">
        <w:rPr>
          <w:lang w:val="en-US"/>
        </w:rPr>
        <w:t xml:space="preserve"> </w:t>
      </w:r>
      <w:proofErr w:type="spellStart"/>
      <w:r w:rsidRPr="00205892">
        <w:rPr>
          <w:lang w:val="en-US"/>
        </w:rPr>
        <w:t>donadello</w:t>
      </w:r>
      <w:proofErr w:type="spellEnd"/>
      <w:r w:rsidRPr="00205892">
        <w:rPr>
          <w:lang w:val="en-US"/>
        </w:rPr>
        <w:t xml:space="preserve">, </w:t>
      </w:r>
      <w:proofErr w:type="spellStart"/>
      <w:r w:rsidRPr="00205892">
        <w:rPr>
          <w:lang w:val="en-US"/>
        </w:rPr>
        <w:t>ché</w:t>
      </w:r>
      <w:proofErr w:type="spellEnd"/>
      <w:r w:rsidRPr="00205892">
        <w:rPr>
          <w:lang w:val="en-US"/>
        </w:rPr>
        <w:t xml:space="preserve"> in </w:t>
      </w:r>
      <w:proofErr w:type="spellStart"/>
      <w:r w:rsidRPr="00205892">
        <w:rPr>
          <w:lang w:val="en-US"/>
        </w:rPr>
        <w:t>chasa</w:t>
      </w:r>
      <w:proofErr w:type="spellEnd"/>
      <w:r w:rsidRPr="00205892">
        <w:rPr>
          <w:lang w:val="en-US"/>
        </w:rPr>
        <w:t xml:space="preserve"> </w:t>
      </w:r>
      <w:proofErr w:type="spellStart"/>
      <w:r w:rsidRPr="00205892">
        <w:rPr>
          <w:lang w:val="en-US"/>
        </w:rPr>
        <w:t>avea</w:t>
      </w:r>
      <w:proofErr w:type="spellEnd"/>
      <w:r w:rsidRPr="00205892">
        <w:rPr>
          <w:lang w:val="en-US"/>
        </w:rPr>
        <w:t xml:space="preserve"> </w:t>
      </w:r>
      <w:proofErr w:type="spellStart"/>
      <w:r w:rsidRPr="00205892">
        <w:rPr>
          <w:lang w:val="en-US"/>
        </w:rPr>
        <w:t>inparato</w:t>
      </w:r>
      <w:proofErr w:type="spellEnd"/>
      <w:r w:rsidRPr="00205892">
        <w:rPr>
          <w:lang w:val="en-US"/>
        </w:rPr>
        <w:t xml:space="preserve"> la tavola e </w:t>
      </w:r>
      <w:proofErr w:type="spellStart"/>
      <w:r w:rsidRPr="00205892">
        <w:rPr>
          <w:lang w:val="en-US"/>
        </w:rPr>
        <w:t>il</w:t>
      </w:r>
      <w:proofErr w:type="spellEnd"/>
      <w:r w:rsidRPr="00205892">
        <w:rPr>
          <w:lang w:val="en-US"/>
        </w:rPr>
        <w:t xml:space="preserve"> </w:t>
      </w:r>
      <w:proofErr w:type="spellStart"/>
      <w:r w:rsidRPr="00205892">
        <w:rPr>
          <w:lang w:val="en-US"/>
        </w:rPr>
        <w:t>saltero</w:t>
      </w:r>
      <w:proofErr w:type="spellEnd"/>
      <w:r w:rsidRPr="00205892">
        <w:rPr>
          <w:lang w:val="en-US"/>
        </w:rPr>
        <w:t xml:space="preserve"> </w:t>
      </w:r>
      <w:proofErr w:type="spellStart"/>
      <w:r w:rsidRPr="00205892">
        <w:rPr>
          <w:lang w:val="en-US"/>
        </w:rPr>
        <w:t>dalla</w:t>
      </w:r>
      <w:proofErr w:type="spellEnd"/>
      <w:r w:rsidRPr="00205892">
        <w:rPr>
          <w:lang w:val="en-US"/>
        </w:rPr>
        <w:t xml:space="preserve"> </w:t>
      </w:r>
      <w:proofErr w:type="spellStart"/>
      <w:r w:rsidRPr="00205892">
        <w:rPr>
          <w:lang w:val="en-US"/>
        </w:rPr>
        <w:t>Bartolomea</w:t>
      </w:r>
      <w:proofErr w:type="spellEnd"/>
      <w:r w:rsidRPr="00205892">
        <w:rPr>
          <w:lang w:val="en-US"/>
        </w:rPr>
        <w:t xml:space="preserve"> </w:t>
      </w:r>
      <w:proofErr w:type="spellStart"/>
      <w:r w:rsidRPr="00205892">
        <w:rPr>
          <w:lang w:val="en-US"/>
        </w:rPr>
        <w:t>mie</w:t>
      </w:r>
      <w:proofErr w:type="spellEnd"/>
      <w:r w:rsidRPr="00205892">
        <w:rPr>
          <w:lang w:val="en-US"/>
        </w:rPr>
        <w:t xml:space="preserve"> [sic] donna.” Quoted in Black, </w:t>
      </w:r>
      <w:r w:rsidRPr="00205892">
        <w:rPr>
          <w:i/>
          <w:iCs/>
          <w:lang w:val="en-US"/>
        </w:rPr>
        <w:t>Education and Society</w:t>
      </w:r>
      <w:r w:rsidRPr="00205892">
        <w:rPr>
          <w:lang w:val="en-US"/>
        </w:rPr>
        <w:t xml:space="preserve">, 122 and 669–70; Also quoted in </w:t>
      </w:r>
      <w:proofErr w:type="spellStart"/>
      <w:r w:rsidRPr="00205892">
        <w:rPr>
          <w:lang w:val="en-US"/>
        </w:rPr>
        <w:t>Klapisch</w:t>
      </w:r>
      <w:proofErr w:type="spellEnd"/>
      <w:r w:rsidRPr="00205892">
        <w:rPr>
          <w:lang w:val="en-US"/>
        </w:rPr>
        <w:t xml:space="preserve">-Zuber, “Le </w:t>
      </w:r>
      <w:proofErr w:type="spellStart"/>
      <w:r w:rsidRPr="00205892">
        <w:rPr>
          <w:lang w:val="en-US"/>
        </w:rPr>
        <w:t>Chiavi</w:t>
      </w:r>
      <w:proofErr w:type="spellEnd"/>
      <w:r w:rsidRPr="00205892">
        <w:rPr>
          <w:lang w:val="en-US"/>
        </w:rPr>
        <w:t xml:space="preserve"> </w:t>
      </w:r>
      <w:proofErr w:type="spellStart"/>
      <w:r w:rsidRPr="00205892">
        <w:rPr>
          <w:lang w:val="en-US"/>
        </w:rPr>
        <w:t>Fiorentine</w:t>
      </w:r>
      <w:proofErr w:type="spellEnd"/>
      <w:r w:rsidRPr="00205892">
        <w:rPr>
          <w:lang w:val="en-US"/>
        </w:rPr>
        <w:t xml:space="preserve"> di </w:t>
      </w:r>
      <w:proofErr w:type="spellStart"/>
      <w:r w:rsidRPr="00205892">
        <w:rPr>
          <w:lang w:val="en-US"/>
        </w:rPr>
        <w:t>Barbablù</w:t>
      </w:r>
      <w:proofErr w:type="spellEnd"/>
      <w:r w:rsidRPr="00205892">
        <w:rPr>
          <w:lang w:val="en-US"/>
        </w:rPr>
        <w:t xml:space="preserve">,” 771; Ronald Witt, “What Did </w:t>
      </w:r>
      <w:proofErr w:type="spellStart"/>
      <w:r w:rsidRPr="00205892">
        <w:rPr>
          <w:lang w:val="en-US"/>
        </w:rPr>
        <w:t>Giovannino</w:t>
      </w:r>
      <w:proofErr w:type="spellEnd"/>
      <w:r w:rsidRPr="00205892">
        <w:rPr>
          <w:lang w:val="en-US"/>
        </w:rPr>
        <w:t xml:space="preserve"> Read and Write? Literacy in Early Renaissance Florence,” </w:t>
      </w:r>
      <w:r w:rsidRPr="00205892">
        <w:rPr>
          <w:i/>
          <w:iCs/>
          <w:lang w:val="en-US"/>
        </w:rPr>
        <w:t xml:space="preserve">I </w:t>
      </w:r>
      <w:proofErr w:type="spellStart"/>
      <w:r w:rsidRPr="00205892">
        <w:rPr>
          <w:i/>
          <w:iCs/>
          <w:lang w:val="en-US"/>
        </w:rPr>
        <w:t>Tatti</w:t>
      </w:r>
      <w:proofErr w:type="spellEnd"/>
      <w:r w:rsidRPr="00205892">
        <w:rPr>
          <w:i/>
          <w:iCs/>
          <w:lang w:val="en-US"/>
        </w:rPr>
        <w:t xml:space="preserve"> Studies in the Italian Renaissance</w:t>
      </w:r>
      <w:r w:rsidRPr="00205892">
        <w:rPr>
          <w:lang w:val="en-US"/>
        </w:rPr>
        <w:t xml:space="preserve"> 6 (1995): 96 n.42. </w:t>
      </w:r>
      <w:proofErr w:type="spellStart"/>
      <w:r w:rsidRPr="00205892">
        <w:rPr>
          <w:i/>
          <w:iCs/>
          <w:lang w:val="en-US"/>
        </w:rPr>
        <w:t>Donadello</w:t>
      </w:r>
      <w:proofErr w:type="spellEnd"/>
      <w:r w:rsidRPr="00205892">
        <w:rPr>
          <w:lang w:val="en-US"/>
        </w:rPr>
        <w:t xml:space="preserve"> is an Italian alteration of Donatus, the name given to the manual of grammar.</w:t>
      </w:r>
    </w:p>
  </w:footnote>
  <w:footnote w:id="62">
    <w:p w14:paraId="0377B371" w14:textId="77777777" w:rsidR="00182EED" w:rsidRDefault="00182EED" w:rsidP="001840E8">
      <w:pPr>
        <w:pStyle w:val="FootnoteText"/>
      </w:pPr>
      <w:r w:rsidRPr="00391186">
        <w:rPr>
          <w:rStyle w:val="FootnoteReference"/>
        </w:rPr>
        <w:footnoteRef/>
      </w:r>
      <w:r>
        <w:t xml:space="preserve"> </w:t>
      </w:r>
      <w:r w:rsidRPr="00B43FFD">
        <w:rPr>
          <w:lang w:val="en-US"/>
        </w:rPr>
        <w:t xml:space="preserve">Quoted in </w:t>
      </w:r>
      <w:proofErr w:type="spellStart"/>
      <w:r w:rsidRPr="00B43FFD">
        <w:rPr>
          <w:lang w:val="en-US"/>
        </w:rPr>
        <w:t>Grendler</w:t>
      </w:r>
      <w:proofErr w:type="spellEnd"/>
      <w:r w:rsidRPr="00B43FFD">
        <w:rPr>
          <w:lang w:val="en-US"/>
        </w:rPr>
        <w:t xml:space="preserve">, </w:t>
      </w:r>
      <w:r w:rsidRPr="00B43FFD">
        <w:rPr>
          <w:i/>
          <w:iCs/>
          <w:lang w:val="en-US"/>
        </w:rPr>
        <w:t>Schooling in Renaissance Italy</w:t>
      </w:r>
      <w:r w:rsidRPr="00B43FFD">
        <w:rPr>
          <w:lang w:val="en-US"/>
        </w:rPr>
        <w:t xml:space="preserve">, 74, n.13; and in Black, </w:t>
      </w:r>
      <w:r w:rsidRPr="00B43FFD">
        <w:rPr>
          <w:i/>
          <w:iCs/>
          <w:lang w:val="en-US"/>
        </w:rPr>
        <w:t>Education and Society</w:t>
      </w:r>
      <w:r w:rsidRPr="00B43FFD">
        <w:rPr>
          <w:lang w:val="en-US"/>
        </w:rPr>
        <w:t xml:space="preserve">, 122: “Giovanni, </w:t>
      </w:r>
      <w:proofErr w:type="spellStart"/>
      <w:r w:rsidRPr="00B43FFD">
        <w:rPr>
          <w:lang w:val="en-US"/>
        </w:rPr>
        <w:t>legie</w:t>
      </w:r>
      <w:proofErr w:type="spellEnd"/>
      <w:r w:rsidRPr="00B43FFD">
        <w:rPr>
          <w:lang w:val="en-US"/>
        </w:rPr>
        <w:t xml:space="preserve"> la tavola in </w:t>
      </w:r>
      <w:proofErr w:type="spellStart"/>
      <w:r w:rsidRPr="00B43FFD">
        <w:rPr>
          <w:lang w:val="en-US"/>
        </w:rPr>
        <w:t>chasa</w:t>
      </w:r>
      <w:proofErr w:type="spellEnd"/>
      <w:r w:rsidRPr="00B43FFD">
        <w:rPr>
          <w:lang w:val="en-US"/>
        </w:rPr>
        <w:t xml:space="preserve">, </w:t>
      </w:r>
      <w:proofErr w:type="spellStart"/>
      <w:r w:rsidRPr="00B43FFD">
        <w:rPr>
          <w:lang w:val="en-US"/>
        </w:rPr>
        <w:t>d’età</w:t>
      </w:r>
      <w:proofErr w:type="spellEnd"/>
      <w:r w:rsidRPr="00B43FFD">
        <w:rPr>
          <w:lang w:val="en-US"/>
        </w:rPr>
        <w:t xml:space="preserve"> </w:t>
      </w:r>
      <w:proofErr w:type="spellStart"/>
      <w:r w:rsidRPr="00B43FFD">
        <w:rPr>
          <w:lang w:val="en-US"/>
        </w:rPr>
        <w:t>d’anni</w:t>
      </w:r>
      <w:proofErr w:type="spellEnd"/>
      <w:r w:rsidRPr="00B43FFD">
        <w:rPr>
          <w:lang w:val="en-US"/>
        </w:rPr>
        <w:t xml:space="preserve"> 6”.</w:t>
      </w:r>
    </w:p>
  </w:footnote>
  <w:footnote w:id="63">
    <w:p w14:paraId="222B9C1E" w14:textId="77777777" w:rsidR="00182EED" w:rsidRDefault="00182EED" w:rsidP="001840E8">
      <w:pPr>
        <w:pStyle w:val="FootnoteText"/>
      </w:pPr>
      <w:r w:rsidRPr="00391186">
        <w:rPr>
          <w:rStyle w:val="FootnoteReference"/>
        </w:rPr>
        <w:footnoteRef/>
      </w:r>
      <w:r>
        <w:t xml:space="preserve"> </w:t>
      </w:r>
      <w:r w:rsidRPr="00B43FFD">
        <w:rPr>
          <w:lang w:val="en-US"/>
        </w:rPr>
        <w:t xml:space="preserve">Black, </w:t>
      </w:r>
      <w:r w:rsidRPr="00B43FFD">
        <w:rPr>
          <w:i/>
          <w:iCs/>
          <w:lang w:val="en-US"/>
        </w:rPr>
        <w:t>Education and Society</w:t>
      </w:r>
      <w:r w:rsidRPr="00B43FFD">
        <w:rPr>
          <w:lang w:val="en-US"/>
        </w:rPr>
        <w:t>, 122.</w:t>
      </w:r>
    </w:p>
  </w:footnote>
  <w:footnote w:id="64">
    <w:p w14:paraId="7E10E8DC" w14:textId="77777777" w:rsidR="00182EED" w:rsidRPr="005253FF" w:rsidRDefault="00182EED" w:rsidP="001840E8">
      <w:pPr>
        <w:pStyle w:val="FootnoteText"/>
        <w:rPr>
          <w:highlight w:val="magenta"/>
        </w:rPr>
      </w:pPr>
      <w:r w:rsidRPr="00391186">
        <w:rPr>
          <w:rStyle w:val="FootnoteReference"/>
        </w:rPr>
        <w:footnoteRef/>
      </w:r>
      <w:r>
        <w:t xml:space="preserve"> </w:t>
      </w:r>
      <w:r w:rsidRPr="00205892">
        <w:rPr>
          <w:lang w:val="en-US"/>
        </w:rPr>
        <w:t xml:space="preserve">“Nam et minores maiorum </w:t>
      </w:r>
      <w:proofErr w:type="spellStart"/>
      <w:r w:rsidRPr="00205892">
        <w:rPr>
          <w:lang w:val="en-US"/>
        </w:rPr>
        <w:t>doctrina</w:t>
      </w:r>
      <w:proofErr w:type="spellEnd"/>
      <w:r w:rsidRPr="00205892">
        <w:rPr>
          <w:lang w:val="en-US"/>
        </w:rPr>
        <w:t xml:space="preserve"> </w:t>
      </w:r>
      <w:proofErr w:type="spellStart"/>
      <w:r w:rsidRPr="00205892">
        <w:rPr>
          <w:lang w:val="en-US"/>
        </w:rPr>
        <w:t>melius</w:t>
      </w:r>
      <w:proofErr w:type="spellEnd"/>
      <w:r w:rsidRPr="00205892">
        <w:rPr>
          <w:lang w:val="en-US"/>
        </w:rPr>
        <w:t xml:space="preserve"> </w:t>
      </w:r>
      <w:proofErr w:type="spellStart"/>
      <w:r w:rsidRPr="00205892">
        <w:rPr>
          <w:lang w:val="en-US"/>
        </w:rPr>
        <w:t>celeriusque</w:t>
      </w:r>
      <w:proofErr w:type="spellEnd"/>
      <w:r w:rsidRPr="00205892">
        <w:rPr>
          <w:lang w:val="en-US"/>
        </w:rPr>
        <w:t xml:space="preserve"> </w:t>
      </w:r>
      <w:proofErr w:type="spellStart"/>
      <w:r w:rsidRPr="00205892">
        <w:rPr>
          <w:lang w:val="en-US"/>
        </w:rPr>
        <w:t>proficiunt</w:t>
      </w:r>
      <w:proofErr w:type="spellEnd"/>
      <w:r w:rsidRPr="00205892">
        <w:rPr>
          <w:lang w:val="en-US"/>
        </w:rPr>
        <w:t xml:space="preserve">.” </w:t>
      </w:r>
      <w:proofErr w:type="spellStart"/>
      <w:r w:rsidRPr="00205892">
        <w:rPr>
          <w:lang w:val="en-US"/>
        </w:rPr>
        <w:t>Maffeo</w:t>
      </w:r>
      <w:proofErr w:type="spellEnd"/>
      <w:r w:rsidRPr="00205892">
        <w:rPr>
          <w:lang w:val="en-US"/>
        </w:rPr>
        <w:t xml:space="preserve"> </w:t>
      </w:r>
      <w:proofErr w:type="spellStart"/>
      <w:r w:rsidRPr="00205892">
        <w:rPr>
          <w:lang w:val="en-US"/>
        </w:rPr>
        <w:t>Vegio</w:t>
      </w:r>
      <w:proofErr w:type="spellEnd"/>
      <w:r w:rsidRPr="00205892">
        <w:rPr>
          <w:lang w:val="en-US"/>
        </w:rPr>
        <w:t xml:space="preserve"> (</w:t>
      </w:r>
      <w:proofErr w:type="spellStart"/>
      <w:r w:rsidRPr="00205892">
        <w:rPr>
          <w:lang w:val="en-US"/>
        </w:rPr>
        <w:t>Maphei</w:t>
      </w:r>
      <w:proofErr w:type="spellEnd"/>
      <w:r w:rsidRPr="00205892">
        <w:rPr>
          <w:lang w:val="en-US"/>
        </w:rPr>
        <w:t xml:space="preserve"> </w:t>
      </w:r>
      <w:proofErr w:type="spellStart"/>
      <w:r w:rsidRPr="00205892">
        <w:rPr>
          <w:lang w:val="en-US"/>
        </w:rPr>
        <w:t>Vegii</w:t>
      </w:r>
      <w:proofErr w:type="spellEnd"/>
      <w:r w:rsidRPr="00205892">
        <w:rPr>
          <w:lang w:val="en-US"/>
        </w:rPr>
        <w:t xml:space="preserve"> </w:t>
      </w:r>
      <w:proofErr w:type="spellStart"/>
      <w:r w:rsidRPr="00205892">
        <w:rPr>
          <w:lang w:val="en-US"/>
        </w:rPr>
        <w:t>Laudensis</w:t>
      </w:r>
      <w:proofErr w:type="spellEnd"/>
      <w:r w:rsidRPr="00205892">
        <w:rPr>
          <w:lang w:val="en-US"/>
        </w:rPr>
        <w:t xml:space="preserve">), “De </w:t>
      </w:r>
      <w:proofErr w:type="spellStart"/>
      <w:r w:rsidRPr="00205892">
        <w:rPr>
          <w:lang w:val="en-US"/>
        </w:rPr>
        <w:t>Educatione</w:t>
      </w:r>
      <w:proofErr w:type="spellEnd"/>
      <w:r w:rsidRPr="00205892">
        <w:rPr>
          <w:lang w:val="en-US"/>
        </w:rPr>
        <w:t xml:space="preserve"> </w:t>
      </w:r>
      <w:proofErr w:type="spellStart"/>
      <w:r w:rsidRPr="00205892">
        <w:rPr>
          <w:lang w:val="en-US"/>
        </w:rPr>
        <w:t>Liberorum</w:t>
      </w:r>
      <w:proofErr w:type="spellEnd"/>
      <w:r w:rsidRPr="00205892">
        <w:rPr>
          <w:lang w:val="en-US"/>
        </w:rPr>
        <w:t xml:space="preserve">,” 2.IV, 57; See also Eugenio </w:t>
      </w:r>
      <w:proofErr w:type="spellStart"/>
      <w:r w:rsidRPr="00205892">
        <w:rPr>
          <w:lang w:val="en-US"/>
        </w:rPr>
        <w:t>Garin</w:t>
      </w:r>
      <w:proofErr w:type="spellEnd"/>
      <w:r w:rsidRPr="00205892">
        <w:rPr>
          <w:lang w:val="en-US"/>
        </w:rPr>
        <w:t xml:space="preserve">, </w:t>
      </w:r>
      <w:r w:rsidRPr="00205892">
        <w:rPr>
          <w:i/>
          <w:iCs/>
          <w:lang w:val="en-US"/>
        </w:rPr>
        <w:t xml:space="preserve">Il </w:t>
      </w:r>
      <w:proofErr w:type="spellStart"/>
      <w:r w:rsidRPr="00205892">
        <w:rPr>
          <w:i/>
          <w:iCs/>
          <w:lang w:val="en-US"/>
        </w:rPr>
        <w:t>pensiero</w:t>
      </w:r>
      <w:proofErr w:type="spellEnd"/>
      <w:r w:rsidRPr="00205892">
        <w:rPr>
          <w:i/>
          <w:iCs/>
          <w:lang w:val="en-US"/>
        </w:rPr>
        <w:t xml:space="preserve"> </w:t>
      </w:r>
      <w:proofErr w:type="spellStart"/>
      <w:r w:rsidRPr="00205892">
        <w:rPr>
          <w:i/>
          <w:iCs/>
          <w:lang w:val="en-US"/>
        </w:rPr>
        <w:t>pedagogico</w:t>
      </w:r>
      <w:proofErr w:type="spellEnd"/>
      <w:r w:rsidRPr="00205892">
        <w:rPr>
          <w:i/>
          <w:iCs/>
          <w:lang w:val="en-US"/>
        </w:rPr>
        <w:t xml:space="preserve"> </w:t>
      </w:r>
      <w:proofErr w:type="spellStart"/>
      <w:r w:rsidRPr="00205892">
        <w:rPr>
          <w:i/>
          <w:iCs/>
          <w:lang w:val="en-US"/>
        </w:rPr>
        <w:t>dello</w:t>
      </w:r>
      <w:proofErr w:type="spellEnd"/>
      <w:r w:rsidRPr="00205892">
        <w:rPr>
          <w:i/>
          <w:iCs/>
          <w:lang w:val="en-US"/>
        </w:rPr>
        <w:t xml:space="preserve"> </w:t>
      </w:r>
      <w:proofErr w:type="spellStart"/>
      <w:r w:rsidRPr="00205892">
        <w:rPr>
          <w:i/>
          <w:iCs/>
          <w:lang w:val="en-US"/>
        </w:rPr>
        <w:t>umanesimo</w:t>
      </w:r>
      <w:proofErr w:type="spellEnd"/>
      <w:r w:rsidRPr="00205892">
        <w:rPr>
          <w:i/>
          <w:iCs/>
          <w:lang w:val="en-US"/>
        </w:rPr>
        <w:t xml:space="preserve">. A </w:t>
      </w:r>
      <w:proofErr w:type="spellStart"/>
      <w:r w:rsidRPr="00205892">
        <w:rPr>
          <w:i/>
          <w:iCs/>
          <w:lang w:val="en-US"/>
        </w:rPr>
        <w:t>cura</w:t>
      </w:r>
      <w:proofErr w:type="spellEnd"/>
      <w:r w:rsidRPr="00205892">
        <w:rPr>
          <w:i/>
          <w:iCs/>
          <w:lang w:val="en-US"/>
        </w:rPr>
        <w:t xml:space="preserve"> di Eugenio </w:t>
      </w:r>
      <w:proofErr w:type="spellStart"/>
      <w:r w:rsidRPr="00205892">
        <w:rPr>
          <w:i/>
          <w:iCs/>
          <w:lang w:val="en-US"/>
        </w:rPr>
        <w:t>Garin</w:t>
      </w:r>
      <w:proofErr w:type="spellEnd"/>
      <w:r w:rsidRPr="00205892">
        <w:rPr>
          <w:lang w:val="en-US"/>
        </w:rPr>
        <w:t xml:space="preserve"> (Florence: </w:t>
      </w:r>
      <w:proofErr w:type="spellStart"/>
      <w:r w:rsidRPr="00205892">
        <w:rPr>
          <w:lang w:val="en-US"/>
        </w:rPr>
        <w:t>Coedizioni</w:t>
      </w:r>
      <w:proofErr w:type="spellEnd"/>
      <w:r w:rsidRPr="00205892">
        <w:rPr>
          <w:lang w:val="en-US"/>
        </w:rPr>
        <w:t xml:space="preserve"> </w:t>
      </w:r>
      <w:proofErr w:type="spellStart"/>
      <w:r w:rsidRPr="00205892">
        <w:rPr>
          <w:lang w:val="en-US"/>
        </w:rPr>
        <w:t>Giuntine</w:t>
      </w:r>
      <w:proofErr w:type="spellEnd"/>
      <w:r w:rsidRPr="00205892">
        <w:rPr>
          <w:lang w:val="en-US"/>
        </w:rPr>
        <w:t xml:space="preserve"> </w:t>
      </w:r>
      <w:proofErr w:type="spellStart"/>
      <w:r w:rsidRPr="00205892">
        <w:rPr>
          <w:lang w:val="en-US"/>
        </w:rPr>
        <w:t>Sansoni</w:t>
      </w:r>
      <w:proofErr w:type="spellEnd"/>
      <w:r w:rsidRPr="00205892">
        <w:rPr>
          <w:lang w:val="en-US"/>
        </w:rPr>
        <w:t xml:space="preserve">, 1958), 182–83; </w:t>
      </w:r>
      <w:proofErr w:type="spellStart"/>
      <w:r w:rsidRPr="00205892">
        <w:rPr>
          <w:lang w:val="en-US"/>
        </w:rPr>
        <w:t>Franzoni</w:t>
      </w:r>
      <w:proofErr w:type="spellEnd"/>
      <w:r w:rsidRPr="00205892">
        <w:rPr>
          <w:lang w:val="en-US"/>
        </w:rPr>
        <w:t xml:space="preserve">, </w:t>
      </w:r>
      <w:proofErr w:type="spellStart"/>
      <w:r w:rsidRPr="00205892">
        <w:rPr>
          <w:i/>
          <w:iCs/>
          <w:lang w:val="en-US"/>
        </w:rPr>
        <w:t>L’opera</w:t>
      </w:r>
      <w:proofErr w:type="spellEnd"/>
      <w:r w:rsidRPr="00205892">
        <w:rPr>
          <w:i/>
          <w:iCs/>
          <w:lang w:val="en-US"/>
        </w:rPr>
        <w:t xml:space="preserve"> </w:t>
      </w:r>
      <w:proofErr w:type="spellStart"/>
      <w:r w:rsidRPr="00205892">
        <w:rPr>
          <w:i/>
          <w:iCs/>
          <w:lang w:val="en-US"/>
        </w:rPr>
        <w:t>pedagogica</w:t>
      </w:r>
      <w:proofErr w:type="spellEnd"/>
      <w:r w:rsidRPr="00205892">
        <w:rPr>
          <w:i/>
          <w:iCs/>
          <w:lang w:val="en-US"/>
        </w:rPr>
        <w:t xml:space="preserve"> de </w:t>
      </w:r>
      <w:proofErr w:type="spellStart"/>
      <w:r w:rsidRPr="00205892">
        <w:rPr>
          <w:i/>
          <w:iCs/>
          <w:lang w:val="en-US"/>
        </w:rPr>
        <w:t>Maffeo</w:t>
      </w:r>
      <w:proofErr w:type="spellEnd"/>
      <w:r w:rsidRPr="00205892">
        <w:rPr>
          <w:i/>
          <w:iCs/>
          <w:lang w:val="en-US"/>
        </w:rPr>
        <w:t xml:space="preserve"> </w:t>
      </w:r>
      <w:proofErr w:type="spellStart"/>
      <w:r w:rsidRPr="00205892">
        <w:rPr>
          <w:i/>
          <w:iCs/>
          <w:lang w:val="en-US"/>
        </w:rPr>
        <w:t>Vegio</w:t>
      </w:r>
      <w:proofErr w:type="spellEnd"/>
      <w:r w:rsidRPr="00205892">
        <w:rPr>
          <w:lang w:val="en-US"/>
        </w:rPr>
        <w:t>, 134.</w:t>
      </w:r>
    </w:p>
  </w:footnote>
  <w:footnote w:id="65">
    <w:p w14:paraId="69C24870" w14:textId="77777777" w:rsidR="00182EED" w:rsidRDefault="00182EED" w:rsidP="001840E8">
      <w:pPr>
        <w:pStyle w:val="FootnoteText"/>
      </w:pPr>
      <w:r w:rsidRPr="00391186">
        <w:rPr>
          <w:rStyle w:val="FootnoteReference"/>
        </w:rPr>
        <w:footnoteRef/>
      </w:r>
      <w:r>
        <w:t xml:space="preserve"> </w:t>
      </w:r>
      <w:proofErr w:type="spellStart"/>
      <w:r w:rsidRPr="005253FF">
        <w:rPr>
          <w:lang w:val="en-US"/>
        </w:rPr>
        <w:t>Grendler</w:t>
      </w:r>
      <w:proofErr w:type="spellEnd"/>
      <w:r w:rsidRPr="005253FF">
        <w:rPr>
          <w:lang w:val="en-US"/>
        </w:rPr>
        <w:t xml:space="preserve">, </w:t>
      </w:r>
      <w:r w:rsidRPr="005253FF">
        <w:rPr>
          <w:i/>
          <w:iCs/>
          <w:lang w:val="en-US"/>
        </w:rPr>
        <w:t>Schooling in Renaissance Italy</w:t>
      </w:r>
      <w:r w:rsidRPr="005253FF">
        <w:rPr>
          <w:lang w:val="en-US"/>
        </w:rPr>
        <w:t>, 74.</w:t>
      </w:r>
    </w:p>
  </w:footnote>
  <w:footnote w:id="66">
    <w:p w14:paraId="5D61EF17" w14:textId="77777777" w:rsidR="00182EED" w:rsidRDefault="00182EED" w:rsidP="001840E8">
      <w:pPr>
        <w:pStyle w:val="FootnoteText"/>
      </w:pPr>
      <w:r w:rsidRPr="00391186">
        <w:rPr>
          <w:rStyle w:val="FootnoteReference"/>
        </w:rPr>
        <w:footnoteRef/>
      </w:r>
      <w:r>
        <w:t xml:space="preserve"> </w:t>
      </w:r>
      <w:r w:rsidRPr="005253FF">
        <w:rPr>
          <w:lang w:val="en-US"/>
        </w:rPr>
        <w:t xml:space="preserve">Ibid., 101; This is contradicted by Black, who suggests that the number of children recorded as starting their learning process directly at school would imply that domestic teaching did not occur frequently; see Black, </w:t>
      </w:r>
      <w:r w:rsidRPr="005253FF">
        <w:rPr>
          <w:i/>
          <w:iCs/>
          <w:lang w:val="en-US"/>
        </w:rPr>
        <w:t>Education and Society</w:t>
      </w:r>
      <w:r w:rsidRPr="005253FF">
        <w:rPr>
          <w:lang w:val="en-US"/>
        </w:rPr>
        <w:t>, 122–23.</w:t>
      </w:r>
    </w:p>
  </w:footnote>
  <w:footnote w:id="67">
    <w:p w14:paraId="111E2F9B" w14:textId="77777777" w:rsidR="00182EED" w:rsidRDefault="00182EED" w:rsidP="001840E8">
      <w:pPr>
        <w:pStyle w:val="FootnoteText"/>
      </w:pPr>
      <w:r w:rsidRPr="00391186">
        <w:rPr>
          <w:rStyle w:val="FootnoteReference"/>
        </w:rPr>
        <w:footnoteRef/>
      </w:r>
      <w:r>
        <w:t xml:space="preserve"> </w:t>
      </w:r>
      <w:proofErr w:type="spellStart"/>
      <w:r w:rsidRPr="005253FF">
        <w:rPr>
          <w:lang w:val="en-US"/>
        </w:rPr>
        <w:t>Grendler</w:t>
      </w:r>
      <w:proofErr w:type="spellEnd"/>
      <w:r w:rsidRPr="005253FF">
        <w:rPr>
          <w:lang w:val="en-US"/>
        </w:rPr>
        <w:t xml:space="preserve">, </w:t>
      </w:r>
      <w:r w:rsidRPr="005253FF">
        <w:rPr>
          <w:i/>
          <w:iCs/>
          <w:lang w:val="en-US"/>
        </w:rPr>
        <w:t>Schooling in Renaissance Italy</w:t>
      </w:r>
      <w:r w:rsidRPr="005253FF">
        <w:rPr>
          <w:lang w:val="en-US"/>
        </w:rPr>
        <w:t>, 101.</w:t>
      </w:r>
    </w:p>
  </w:footnote>
  <w:footnote w:id="68">
    <w:p w14:paraId="4E151683" w14:textId="77777777" w:rsidR="00182EED" w:rsidRDefault="00182EED" w:rsidP="001840E8">
      <w:pPr>
        <w:pStyle w:val="FootnoteText"/>
      </w:pPr>
      <w:r w:rsidRPr="00391186">
        <w:rPr>
          <w:rStyle w:val="FootnoteReference"/>
        </w:rPr>
        <w:footnoteRef/>
      </w:r>
      <w:r>
        <w:t xml:space="preserve"> </w:t>
      </w:r>
      <w:r w:rsidRPr="005253FF">
        <w:rPr>
          <w:lang w:val="en-US"/>
        </w:rPr>
        <w:t>Images of S</w:t>
      </w:r>
      <w:r>
        <w:rPr>
          <w:lang w:val="en-US"/>
        </w:rPr>
        <w:t>ain</w:t>
      </w:r>
      <w:r w:rsidRPr="005253FF">
        <w:rPr>
          <w:lang w:val="en-US"/>
        </w:rPr>
        <w:t xml:space="preserve">t Anne teaching the young Virgin Mary are also found from the fourteenth century, especially in Northern Europe and in Spain; see Pamela </w:t>
      </w:r>
      <w:proofErr w:type="spellStart"/>
      <w:r w:rsidRPr="005253FF">
        <w:rPr>
          <w:lang w:val="en-US"/>
        </w:rPr>
        <w:t>Sheingorn</w:t>
      </w:r>
      <w:proofErr w:type="spellEnd"/>
      <w:r w:rsidRPr="005253FF">
        <w:rPr>
          <w:lang w:val="en-US"/>
        </w:rPr>
        <w:t>, “</w:t>
      </w:r>
      <w:r w:rsidRPr="005253FF">
        <w:rPr>
          <w:i/>
          <w:iCs/>
          <w:lang w:val="en-US"/>
        </w:rPr>
        <w:t>The Wise Mother</w:t>
      </w:r>
      <w:r w:rsidRPr="005253FF">
        <w:rPr>
          <w:lang w:val="en-US"/>
        </w:rPr>
        <w:t xml:space="preserve">: The Image of St. Anne Teaching the Virgin Mary,” </w:t>
      </w:r>
      <w:proofErr w:type="spellStart"/>
      <w:r w:rsidRPr="005253FF">
        <w:rPr>
          <w:i/>
          <w:iCs/>
          <w:lang w:val="en-US"/>
        </w:rPr>
        <w:t>Gesta</w:t>
      </w:r>
      <w:proofErr w:type="spellEnd"/>
      <w:r w:rsidRPr="005253FF">
        <w:rPr>
          <w:lang w:val="en-US"/>
        </w:rPr>
        <w:t xml:space="preserve"> 32, no. 1 (1993): 69–80; Elizabeth Teresa Howe, </w:t>
      </w:r>
      <w:r w:rsidRPr="005253FF">
        <w:rPr>
          <w:i/>
          <w:iCs/>
          <w:lang w:val="en-US"/>
        </w:rPr>
        <w:t>Education and Women in the Early Modern Hispanic World</w:t>
      </w:r>
      <w:r w:rsidRPr="005253FF">
        <w:rPr>
          <w:lang w:val="en-US"/>
        </w:rPr>
        <w:t xml:space="preserve"> (</w:t>
      </w:r>
      <w:proofErr w:type="spellStart"/>
      <w:r w:rsidRPr="005253FF">
        <w:rPr>
          <w:lang w:val="en-US"/>
        </w:rPr>
        <w:t>Aldershot</w:t>
      </w:r>
      <w:proofErr w:type="spellEnd"/>
      <w:r w:rsidRPr="005253FF">
        <w:rPr>
          <w:lang w:val="en-US"/>
        </w:rPr>
        <w:t xml:space="preserve"> and Burlington, VT: Ashgate, 2008), 94–96; Nicholas Orme, </w:t>
      </w:r>
      <w:r w:rsidRPr="005253FF">
        <w:rPr>
          <w:i/>
          <w:iCs/>
          <w:lang w:val="en-US"/>
        </w:rPr>
        <w:t>Medieval Schools: From Roman Britain to Renaissance England</w:t>
      </w:r>
      <w:r w:rsidRPr="005253FF">
        <w:rPr>
          <w:lang w:val="en-US"/>
        </w:rPr>
        <w:t xml:space="preserve"> (New Haven and London: Yale University Press, 2006), 61.</w:t>
      </w:r>
    </w:p>
  </w:footnote>
  <w:footnote w:id="69">
    <w:p w14:paraId="1A0D8B31" w14:textId="77777777" w:rsidR="00182EED" w:rsidRDefault="00182EED" w:rsidP="001840E8">
      <w:pPr>
        <w:pStyle w:val="FootnoteText"/>
      </w:pPr>
      <w:r w:rsidRPr="00391186">
        <w:rPr>
          <w:rStyle w:val="FootnoteReference"/>
        </w:rPr>
        <w:footnoteRef/>
      </w:r>
      <w:r>
        <w:t xml:space="preserve"> </w:t>
      </w:r>
      <w:proofErr w:type="spellStart"/>
      <w:r w:rsidRPr="005253FF">
        <w:rPr>
          <w:lang w:val="en-US"/>
        </w:rPr>
        <w:t>Grendler</w:t>
      </w:r>
      <w:proofErr w:type="spellEnd"/>
      <w:r w:rsidRPr="005253FF">
        <w:rPr>
          <w:lang w:val="en-US"/>
        </w:rPr>
        <w:t xml:space="preserve">, </w:t>
      </w:r>
      <w:r w:rsidRPr="005253FF">
        <w:rPr>
          <w:i/>
          <w:iCs/>
          <w:lang w:val="en-US"/>
        </w:rPr>
        <w:t>Schooling in Renaissance Italy</w:t>
      </w:r>
      <w:r w:rsidRPr="005253FF">
        <w:rPr>
          <w:lang w:val="en-US"/>
        </w:rPr>
        <w:t xml:space="preserve">, 117–18; Woodward, </w:t>
      </w:r>
      <w:proofErr w:type="spellStart"/>
      <w:r w:rsidRPr="005253FF">
        <w:rPr>
          <w:i/>
          <w:iCs/>
          <w:lang w:val="en-US"/>
        </w:rPr>
        <w:t>Vittorino</w:t>
      </w:r>
      <w:proofErr w:type="spellEnd"/>
      <w:r w:rsidRPr="005253FF">
        <w:rPr>
          <w:i/>
          <w:iCs/>
          <w:lang w:val="en-US"/>
        </w:rPr>
        <w:t xml:space="preserve"> da Feltre</w:t>
      </w:r>
      <w:r w:rsidRPr="005253FF">
        <w:rPr>
          <w:lang w:val="en-US"/>
        </w:rPr>
        <w:t xml:space="preserve">, 94–95; Craig W </w:t>
      </w:r>
      <w:proofErr w:type="spellStart"/>
      <w:r w:rsidRPr="005253FF">
        <w:rPr>
          <w:lang w:val="en-US"/>
        </w:rPr>
        <w:t>Kallendorf</w:t>
      </w:r>
      <w:proofErr w:type="spellEnd"/>
      <w:r w:rsidRPr="005253FF">
        <w:rPr>
          <w:lang w:val="en-US"/>
        </w:rPr>
        <w:t xml:space="preserve">, “Introduction,” in </w:t>
      </w:r>
      <w:r w:rsidRPr="005253FF">
        <w:rPr>
          <w:i/>
          <w:iCs/>
          <w:lang w:val="en-US"/>
        </w:rPr>
        <w:t>Humanist Educational Treatises</w:t>
      </w:r>
      <w:r w:rsidRPr="005253FF">
        <w:rPr>
          <w:lang w:val="en-US"/>
        </w:rPr>
        <w:t xml:space="preserve">, ed. Craig W </w:t>
      </w:r>
      <w:proofErr w:type="spellStart"/>
      <w:r w:rsidRPr="005253FF">
        <w:rPr>
          <w:lang w:val="en-US"/>
        </w:rPr>
        <w:t>Kallendorf</w:t>
      </w:r>
      <w:proofErr w:type="spellEnd"/>
      <w:r w:rsidRPr="005253FF">
        <w:rPr>
          <w:lang w:val="en-US"/>
        </w:rPr>
        <w:t xml:space="preserve"> (Harvard University Press, 2002), ix.</w:t>
      </w:r>
    </w:p>
  </w:footnote>
  <w:footnote w:id="70">
    <w:p w14:paraId="14A183FC" w14:textId="77777777" w:rsidR="00182EED" w:rsidRDefault="00182EED" w:rsidP="001840E8">
      <w:pPr>
        <w:pStyle w:val="FootnoteText"/>
      </w:pPr>
      <w:r w:rsidRPr="00391186">
        <w:rPr>
          <w:rStyle w:val="FootnoteReference"/>
        </w:rPr>
        <w:footnoteRef/>
      </w:r>
      <w:r>
        <w:t xml:space="preserve"> </w:t>
      </w:r>
      <w:r w:rsidRPr="00205892">
        <w:rPr>
          <w:lang w:val="en-US"/>
        </w:rPr>
        <w:t>“</w:t>
      </w:r>
      <w:proofErr w:type="spellStart"/>
      <w:r w:rsidRPr="00205892">
        <w:rPr>
          <w:lang w:val="en-US"/>
        </w:rPr>
        <w:t>Lacienda</w:t>
      </w:r>
      <w:proofErr w:type="spellEnd"/>
      <w:r w:rsidRPr="00205892">
        <w:rPr>
          <w:lang w:val="en-US"/>
        </w:rPr>
        <w:t xml:space="preserve"> sunt </w:t>
      </w:r>
      <w:proofErr w:type="spellStart"/>
      <w:r w:rsidRPr="00205892">
        <w:rPr>
          <w:lang w:val="en-US"/>
        </w:rPr>
        <w:t>igitur</w:t>
      </w:r>
      <w:proofErr w:type="spellEnd"/>
      <w:r w:rsidRPr="00205892">
        <w:rPr>
          <w:lang w:val="en-US"/>
        </w:rPr>
        <w:t xml:space="preserve"> in </w:t>
      </w:r>
      <w:proofErr w:type="spellStart"/>
      <w:r w:rsidRPr="00205892">
        <w:rPr>
          <w:lang w:val="en-US"/>
        </w:rPr>
        <w:t>hac</w:t>
      </w:r>
      <w:proofErr w:type="spellEnd"/>
      <w:r w:rsidRPr="00205892">
        <w:rPr>
          <w:lang w:val="en-US"/>
        </w:rPr>
        <w:t xml:space="preserve"> aetate </w:t>
      </w:r>
      <w:proofErr w:type="spellStart"/>
      <w:r w:rsidRPr="00205892">
        <w:rPr>
          <w:lang w:val="en-US"/>
        </w:rPr>
        <w:t>fundamenta</w:t>
      </w:r>
      <w:proofErr w:type="spellEnd"/>
      <w:r w:rsidRPr="00205892">
        <w:rPr>
          <w:lang w:val="en-US"/>
        </w:rPr>
        <w:t xml:space="preserve"> bene vivendi et </w:t>
      </w:r>
      <w:proofErr w:type="spellStart"/>
      <w:r w:rsidRPr="00205892">
        <w:rPr>
          <w:lang w:val="en-US"/>
        </w:rPr>
        <w:t>conformandus</w:t>
      </w:r>
      <w:proofErr w:type="spellEnd"/>
      <w:r w:rsidRPr="00205892">
        <w:rPr>
          <w:lang w:val="en-US"/>
        </w:rPr>
        <w:t xml:space="preserve"> </w:t>
      </w:r>
      <w:proofErr w:type="spellStart"/>
      <w:r w:rsidRPr="00205892">
        <w:rPr>
          <w:lang w:val="en-US"/>
        </w:rPr>
        <w:t>ad</w:t>
      </w:r>
      <w:proofErr w:type="spellEnd"/>
      <w:r w:rsidRPr="00205892">
        <w:rPr>
          <w:lang w:val="en-US"/>
        </w:rPr>
        <w:t xml:space="preserve"> </w:t>
      </w:r>
      <w:proofErr w:type="spellStart"/>
      <w:r w:rsidRPr="00205892">
        <w:rPr>
          <w:lang w:val="en-US"/>
        </w:rPr>
        <w:t>virtutem</w:t>
      </w:r>
      <w:proofErr w:type="spellEnd"/>
      <w:r w:rsidRPr="00205892">
        <w:rPr>
          <w:lang w:val="en-US"/>
        </w:rPr>
        <w:t xml:space="preserve"> animus, </w:t>
      </w:r>
      <w:proofErr w:type="spellStart"/>
      <w:r w:rsidRPr="00205892">
        <w:rPr>
          <w:lang w:val="en-US"/>
        </w:rPr>
        <w:t>dum</w:t>
      </w:r>
      <w:proofErr w:type="spellEnd"/>
      <w:r w:rsidRPr="00205892">
        <w:rPr>
          <w:lang w:val="en-US"/>
        </w:rPr>
        <w:t xml:space="preserve"> </w:t>
      </w:r>
      <w:proofErr w:type="spellStart"/>
      <w:r w:rsidRPr="00205892">
        <w:rPr>
          <w:lang w:val="en-US"/>
        </w:rPr>
        <w:t>tener</w:t>
      </w:r>
      <w:proofErr w:type="spellEnd"/>
      <w:r w:rsidRPr="00205892">
        <w:rPr>
          <w:lang w:val="en-US"/>
        </w:rPr>
        <w:t xml:space="preserve"> </w:t>
      </w:r>
      <w:proofErr w:type="spellStart"/>
      <w:r w:rsidRPr="00205892">
        <w:rPr>
          <w:lang w:val="en-US"/>
        </w:rPr>
        <w:t>est</w:t>
      </w:r>
      <w:proofErr w:type="spellEnd"/>
      <w:r w:rsidRPr="00205892">
        <w:rPr>
          <w:lang w:val="en-US"/>
        </w:rPr>
        <w:t xml:space="preserve"> et facilis </w:t>
      </w:r>
      <w:proofErr w:type="spellStart"/>
      <w:r w:rsidRPr="00205892">
        <w:rPr>
          <w:lang w:val="en-US"/>
        </w:rPr>
        <w:t>quamlibet</w:t>
      </w:r>
      <w:proofErr w:type="spellEnd"/>
      <w:r w:rsidRPr="00205892">
        <w:rPr>
          <w:lang w:val="en-US"/>
        </w:rPr>
        <w:t xml:space="preserve"> </w:t>
      </w:r>
      <w:proofErr w:type="spellStart"/>
      <w:r w:rsidRPr="00205892">
        <w:rPr>
          <w:lang w:val="en-US"/>
        </w:rPr>
        <w:t>impressionem</w:t>
      </w:r>
      <w:proofErr w:type="spellEnd"/>
      <w:r w:rsidRPr="00205892">
        <w:rPr>
          <w:lang w:val="en-US"/>
        </w:rPr>
        <w:t xml:space="preserve"> </w:t>
      </w:r>
      <w:proofErr w:type="spellStart"/>
      <w:r w:rsidRPr="00205892">
        <w:rPr>
          <w:lang w:val="en-US"/>
        </w:rPr>
        <w:t>admittere</w:t>
      </w:r>
      <w:proofErr w:type="spellEnd"/>
      <w:r w:rsidRPr="00205892">
        <w:rPr>
          <w:lang w:val="en-US"/>
        </w:rPr>
        <w:t xml:space="preserve">.” Pier Paolo </w:t>
      </w:r>
      <w:proofErr w:type="spellStart"/>
      <w:r w:rsidRPr="00205892">
        <w:rPr>
          <w:lang w:val="en-US"/>
        </w:rPr>
        <w:t>Vergerio</w:t>
      </w:r>
      <w:proofErr w:type="spellEnd"/>
      <w:r w:rsidRPr="00205892">
        <w:rPr>
          <w:lang w:val="en-US"/>
        </w:rPr>
        <w:t xml:space="preserve">, “The Character and Studies Befitting a Free-Born Youth,” in </w:t>
      </w:r>
      <w:r w:rsidRPr="00205892">
        <w:rPr>
          <w:i/>
          <w:iCs/>
          <w:lang w:val="en-US"/>
        </w:rPr>
        <w:t>Humanist Educational Treatises</w:t>
      </w:r>
      <w:r w:rsidRPr="00205892">
        <w:rPr>
          <w:lang w:val="en-US"/>
        </w:rPr>
        <w:t xml:space="preserve">, ed. Craig W. </w:t>
      </w:r>
      <w:proofErr w:type="spellStart"/>
      <w:r w:rsidRPr="00205892">
        <w:rPr>
          <w:lang w:val="en-US"/>
        </w:rPr>
        <w:t>Kallendorf</w:t>
      </w:r>
      <w:proofErr w:type="spellEnd"/>
      <w:r w:rsidRPr="00205892">
        <w:rPr>
          <w:lang w:val="en-US"/>
        </w:rPr>
        <w:t xml:space="preserve">, trans. Craig W </w:t>
      </w:r>
      <w:proofErr w:type="spellStart"/>
      <w:r w:rsidRPr="00205892">
        <w:rPr>
          <w:lang w:val="en-US"/>
        </w:rPr>
        <w:t>Kallendorf</w:t>
      </w:r>
      <w:proofErr w:type="spellEnd"/>
      <w:r w:rsidRPr="00205892">
        <w:rPr>
          <w:lang w:val="en-US"/>
        </w:rPr>
        <w:t xml:space="preserve"> (Cambridge, MA, and London: Harvard University Press, 2002), 4–5. For further information on the impressionability of children’s minds see Chapter 1.3.</w:t>
      </w:r>
    </w:p>
  </w:footnote>
  <w:footnote w:id="71">
    <w:p w14:paraId="13512255" w14:textId="77777777" w:rsidR="00182EED" w:rsidRPr="00F94D76" w:rsidRDefault="00182EED" w:rsidP="001840E8">
      <w:pPr>
        <w:pStyle w:val="FootnoteText"/>
      </w:pPr>
      <w:r w:rsidRPr="00391186">
        <w:rPr>
          <w:rStyle w:val="FootnoteReference"/>
        </w:rPr>
        <w:footnoteRef/>
      </w:r>
      <w:r>
        <w:t xml:space="preserve"> </w:t>
      </w:r>
      <w:r w:rsidRPr="00F94D76">
        <w:rPr>
          <w:lang w:val="en-US"/>
        </w:rPr>
        <w:t xml:space="preserve">Margaret L. King, </w:t>
      </w:r>
      <w:r w:rsidRPr="00F94D76">
        <w:rPr>
          <w:i/>
          <w:iCs/>
          <w:lang w:val="en-US"/>
        </w:rPr>
        <w:t>The Death of the Child Valerio Marcello</w:t>
      </w:r>
      <w:r w:rsidRPr="00F94D76">
        <w:rPr>
          <w:lang w:val="en-US"/>
        </w:rPr>
        <w:t xml:space="preserve"> (Chicago and London: University of Chicago Press, 1994), 162–72; King, “The School of Infancy,” 49–50; On the role of the father within the family see Claudia </w:t>
      </w:r>
      <w:proofErr w:type="spellStart"/>
      <w:r w:rsidRPr="00F94D76">
        <w:rPr>
          <w:lang w:val="en-US"/>
        </w:rPr>
        <w:t>Tripodi</w:t>
      </w:r>
      <w:proofErr w:type="spellEnd"/>
      <w:r w:rsidRPr="00F94D76">
        <w:rPr>
          <w:lang w:val="en-US"/>
        </w:rPr>
        <w:t xml:space="preserve">, “Il padre a Firenze </w:t>
      </w:r>
      <w:proofErr w:type="spellStart"/>
      <w:r w:rsidRPr="00F94D76">
        <w:rPr>
          <w:lang w:val="en-US"/>
        </w:rPr>
        <w:t>nel</w:t>
      </w:r>
      <w:proofErr w:type="spellEnd"/>
      <w:r w:rsidRPr="00F94D76">
        <w:rPr>
          <w:lang w:val="en-US"/>
        </w:rPr>
        <w:t xml:space="preserve"> Quattrocento. </w:t>
      </w:r>
      <w:proofErr w:type="spellStart"/>
      <w:r w:rsidRPr="00F94D76">
        <w:rPr>
          <w:lang w:val="en-US"/>
        </w:rPr>
        <w:t>L’educazione</w:t>
      </w:r>
      <w:proofErr w:type="spellEnd"/>
      <w:r w:rsidRPr="00F94D76">
        <w:rPr>
          <w:lang w:val="en-US"/>
        </w:rPr>
        <w:t xml:space="preserve"> del </w:t>
      </w:r>
      <w:proofErr w:type="spellStart"/>
      <w:r w:rsidRPr="00F94D76">
        <w:rPr>
          <w:lang w:val="en-US"/>
        </w:rPr>
        <w:t>pupillo</w:t>
      </w:r>
      <w:proofErr w:type="spellEnd"/>
      <w:r w:rsidRPr="00F94D76">
        <w:rPr>
          <w:lang w:val="en-US"/>
        </w:rPr>
        <w:t xml:space="preserve"> in Giovanni Morelli,” </w:t>
      </w:r>
      <w:proofErr w:type="spellStart"/>
      <w:r w:rsidRPr="00F94D76">
        <w:rPr>
          <w:i/>
          <w:iCs/>
          <w:lang w:val="en-US"/>
        </w:rPr>
        <w:t>Annali</w:t>
      </w:r>
      <w:proofErr w:type="spellEnd"/>
      <w:r w:rsidRPr="00F94D76">
        <w:rPr>
          <w:i/>
          <w:iCs/>
          <w:lang w:val="en-US"/>
        </w:rPr>
        <w:t xml:space="preserve"> di Storia di Firenze</w:t>
      </w:r>
      <w:r w:rsidRPr="00F94D76">
        <w:rPr>
          <w:lang w:val="en-US"/>
        </w:rPr>
        <w:t xml:space="preserve"> 3 (October 2011): 29–63.</w:t>
      </w:r>
    </w:p>
  </w:footnote>
  <w:footnote w:id="72">
    <w:p w14:paraId="2A9ECACE" w14:textId="77777777" w:rsidR="00182EED" w:rsidRPr="00F94D76" w:rsidRDefault="00182EED" w:rsidP="001840E8">
      <w:pPr>
        <w:pStyle w:val="FootnoteText"/>
      </w:pPr>
      <w:r w:rsidRPr="00391186">
        <w:rPr>
          <w:rStyle w:val="FootnoteReference"/>
        </w:rPr>
        <w:footnoteRef/>
      </w:r>
      <w:r w:rsidRPr="00F94D76">
        <w:t xml:space="preserve"> </w:t>
      </w:r>
      <w:r w:rsidRPr="00F94D76">
        <w:rPr>
          <w:lang w:val="en-US"/>
        </w:rPr>
        <w:t xml:space="preserve">“Il padre a cui </w:t>
      </w:r>
      <w:proofErr w:type="spellStart"/>
      <w:r w:rsidRPr="00F94D76">
        <w:rPr>
          <w:lang w:val="en-US"/>
        </w:rPr>
        <w:t>sarà</w:t>
      </w:r>
      <w:proofErr w:type="spellEnd"/>
      <w:r w:rsidRPr="00F94D76">
        <w:rPr>
          <w:lang w:val="en-US"/>
        </w:rPr>
        <w:t xml:space="preserve"> </w:t>
      </w:r>
      <w:proofErr w:type="spellStart"/>
      <w:r w:rsidRPr="00F94D76">
        <w:rPr>
          <w:lang w:val="en-US"/>
        </w:rPr>
        <w:t>nato</w:t>
      </w:r>
      <w:proofErr w:type="spellEnd"/>
      <w:r w:rsidRPr="00F94D76">
        <w:rPr>
          <w:lang w:val="en-US"/>
        </w:rPr>
        <w:t xml:space="preserve"> </w:t>
      </w:r>
      <w:proofErr w:type="spellStart"/>
      <w:r w:rsidRPr="00F94D76">
        <w:rPr>
          <w:lang w:val="en-US"/>
        </w:rPr>
        <w:t>il</w:t>
      </w:r>
      <w:proofErr w:type="spellEnd"/>
      <w:r w:rsidRPr="00F94D76">
        <w:rPr>
          <w:lang w:val="en-US"/>
        </w:rPr>
        <w:t xml:space="preserve"> </w:t>
      </w:r>
      <w:proofErr w:type="spellStart"/>
      <w:r w:rsidRPr="00F94D76">
        <w:rPr>
          <w:lang w:val="en-US"/>
        </w:rPr>
        <w:t>figliuolo</w:t>
      </w:r>
      <w:proofErr w:type="spellEnd"/>
      <w:r w:rsidRPr="00F94D76">
        <w:rPr>
          <w:lang w:val="en-US"/>
        </w:rPr>
        <w:t xml:space="preserve">, </w:t>
      </w:r>
      <w:proofErr w:type="spellStart"/>
      <w:r w:rsidRPr="00F94D76">
        <w:rPr>
          <w:lang w:val="en-US"/>
        </w:rPr>
        <w:t>innanzi</w:t>
      </w:r>
      <w:proofErr w:type="spellEnd"/>
      <w:r w:rsidRPr="00F94D76">
        <w:rPr>
          <w:lang w:val="en-US"/>
        </w:rPr>
        <w:t xml:space="preserve"> </w:t>
      </w:r>
      <w:r w:rsidRPr="00F94D76">
        <w:rPr>
          <w:lang w:val="en-US"/>
        </w:rPr>
        <w:t xml:space="preserve">a </w:t>
      </w:r>
      <w:proofErr w:type="spellStart"/>
      <w:r w:rsidRPr="00F94D76">
        <w:rPr>
          <w:lang w:val="en-US"/>
        </w:rPr>
        <w:t>ogni</w:t>
      </w:r>
      <w:proofErr w:type="spellEnd"/>
      <w:r w:rsidRPr="00F94D76">
        <w:rPr>
          <w:lang w:val="en-US"/>
        </w:rPr>
        <w:t xml:space="preserve"> </w:t>
      </w:r>
      <w:proofErr w:type="spellStart"/>
      <w:r w:rsidRPr="00F94D76">
        <w:rPr>
          <w:lang w:val="en-US"/>
        </w:rPr>
        <w:t>altra</w:t>
      </w:r>
      <w:proofErr w:type="spellEnd"/>
      <w:r w:rsidRPr="00F94D76">
        <w:rPr>
          <w:lang w:val="en-US"/>
        </w:rPr>
        <w:t xml:space="preserve"> </w:t>
      </w:r>
      <w:proofErr w:type="spellStart"/>
      <w:r w:rsidRPr="00F94D76">
        <w:rPr>
          <w:lang w:val="en-US"/>
        </w:rPr>
        <w:t>cosa</w:t>
      </w:r>
      <w:proofErr w:type="spellEnd"/>
      <w:r w:rsidRPr="00F94D76">
        <w:rPr>
          <w:lang w:val="en-US"/>
        </w:rPr>
        <w:t xml:space="preserve"> </w:t>
      </w:r>
      <w:proofErr w:type="spellStart"/>
      <w:r w:rsidRPr="00F94D76">
        <w:rPr>
          <w:lang w:val="en-US"/>
        </w:rPr>
        <w:t>abbia</w:t>
      </w:r>
      <w:proofErr w:type="spellEnd"/>
      <w:r w:rsidRPr="00F94D76">
        <w:rPr>
          <w:lang w:val="en-US"/>
        </w:rPr>
        <w:t xml:space="preserve"> di </w:t>
      </w:r>
      <w:proofErr w:type="spellStart"/>
      <w:r w:rsidRPr="00F94D76">
        <w:rPr>
          <w:lang w:val="en-US"/>
        </w:rPr>
        <w:t>lui</w:t>
      </w:r>
      <w:proofErr w:type="spellEnd"/>
      <w:r w:rsidRPr="00F94D76">
        <w:rPr>
          <w:lang w:val="en-US"/>
        </w:rPr>
        <w:t xml:space="preserve"> perfecta </w:t>
      </w:r>
      <w:proofErr w:type="spellStart"/>
      <w:r w:rsidRPr="00F94D76">
        <w:rPr>
          <w:lang w:val="en-US"/>
        </w:rPr>
        <w:t>speranza</w:t>
      </w:r>
      <w:proofErr w:type="spellEnd"/>
      <w:r w:rsidRPr="00F94D76">
        <w:rPr>
          <w:lang w:val="en-US"/>
        </w:rPr>
        <w:t xml:space="preserve"> et </w:t>
      </w:r>
      <w:proofErr w:type="spellStart"/>
      <w:r w:rsidRPr="00F94D76">
        <w:rPr>
          <w:lang w:val="en-US"/>
        </w:rPr>
        <w:t>stimilo</w:t>
      </w:r>
      <w:proofErr w:type="spellEnd"/>
      <w:r w:rsidRPr="00F94D76">
        <w:rPr>
          <w:lang w:val="en-US"/>
        </w:rPr>
        <w:t xml:space="preserve"> </w:t>
      </w:r>
      <w:proofErr w:type="spellStart"/>
      <w:r w:rsidRPr="00F94D76">
        <w:rPr>
          <w:lang w:val="en-US"/>
        </w:rPr>
        <w:t>dovere</w:t>
      </w:r>
      <w:proofErr w:type="spellEnd"/>
      <w:r w:rsidRPr="00F94D76">
        <w:rPr>
          <w:lang w:val="en-US"/>
        </w:rPr>
        <w:t xml:space="preserve"> </w:t>
      </w:r>
      <w:proofErr w:type="spellStart"/>
      <w:r w:rsidRPr="00F94D76">
        <w:rPr>
          <w:lang w:val="en-US"/>
        </w:rPr>
        <w:t>riuscire</w:t>
      </w:r>
      <w:proofErr w:type="spellEnd"/>
      <w:r w:rsidRPr="00F94D76">
        <w:rPr>
          <w:lang w:val="en-US"/>
        </w:rPr>
        <w:t xml:space="preserve"> virtuoso et </w:t>
      </w:r>
      <w:proofErr w:type="spellStart"/>
      <w:r w:rsidRPr="00F94D76">
        <w:rPr>
          <w:lang w:val="en-US"/>
        </w:rPr>
        <w:t>degno</w:t>
      </w:r>
      <w:proofErr w:type="spellEnd"/>
      <w:r w:rsidRPr="00F94D76">
        <w:rPr>
          <w:lang w:val="en-US"/>
        </w:rPr>
        <w:t xml:space="preserve"> fa </w:t>
      </w:r>
      <w:proofErr w:type="spellStart"/>
      <w:r w:rsidRPr="00F94D76">
        <w:rPr>
          <w:lang w:val="en-US"/>
        </w:rPr>
        <w:t>gl’uomini</w:t>
      </w:r>
      <w:proofErr w:type="spellEnd"/>
      <w:r w:rsidRPr="00F94D76">
        <w:rPr>
          <w:lang w:val="en-US"/>
        </w:rPr>
        <w:t xml:space="preserve">.” Palmieri, </w:t>
      </w:r>
      <w:r w:rsidRPr="00F94D76">
        <w:rPr>
          <w:i/>
          <w:iCs/>
          <w:lang w:val="en-US"/>
        </w:rPr>
        <w:t xml:space="preserve">Vita </w:t>
      </w:r>
      <w:proofErr w:type="spellStart"/>
      <w:r w:rsidRPr="00F94D76">
        <w:rPr>
          <w:i/>
          <w:iCs/>
          <w:lang w:val="en-US"/>
        </w:rPr>
        <w:t>Civile</w:t>
      </w:r>
      <w:proofErr w:type="spellEnd"/>
      <w:r w:rsidRPr="00F94D76">
        <w:rPr>
          <w:lang w:val="en-US"/>
        </w:rPr>
        <w:t>, 17.</w:t>
      </w:r>
    </w:p>
  </w:footnote>
  <w:footnote w:id="73">
    <w:p w14:paraId="28D715F5" w14:textId="77777777" w:rsidR="00182EED" w:rsidRDefault="00182EED" w:rsidP="001840E8">
      <w:pPr>
        <w:pStyle w:val="FootnoteText"/>
      </w:pPr>
      <w:r w:rsidRPr="00391186">
        <w:rPr>
          <w:rStyle w:val="FootnoteReference"/>
        </w:rPr>
        <w:footnoteRef/>
      </w:r>
      <w:r w:rsidRPr="00F94D76">
        <w:t xml:space="preserve"> </w:t>
      </w:r>
      <w:r w:rsidRPr="00F94D76">
        <w:rPr>
          <w:lang w:val="en-US"/>
        </w:rPr>
        <w:t xml:space="preserve">“E’ padre </w:t>
      </w:r>
      <w:proofErr w:type="spellStart"/>
      <w:r w:rsidRPr="00F94D76">
        <w:rPr>
          <w:lang w:val="en-US"/>
        </w:rPr>
        <w:t>soprattutto</w:t>
      </w:r>
      <w:proofErr w:type="spellEnd"/>
      <w:r w:rsidRPr="00F94D76">
        <w:rPr>
          <w:lang w:val="en-US"/>
        </w:rPr>
        <w:t xml:space="preserve"> </w:t>
      </w:r>
      <w:proofErr w:type="spellStart"/>
      <w:r w:rsidRPr="00F94D76">
        <w:rPr>
          <w:lang w:val="en-US"/>
        </w:rPr>
        <w:t>più</w:t>
      </w:r>
      <w:proofErr w:type="spellEnd"/>
      <w:r w:rsidRPr="00F94D76">
        <w:rPr>
          <w:lang w:val="en-US"/>
        </w:rPr>
        <w:t xml:space="preserve"> </w:t>
      </w:r>
      <w:proofErr w:type="spellStart"/>
      <w:r w:rsidRPr="00F94D76">
        <w:rPr>
          <w:lang w:val="en-US"/>
        </w:rPr>
        <w:t>che</w:t>
      </w:r>
      <w:proofErr w:type="spellEnd"/>
      <w:r w:rsidRPr="00F94D76">
        <w:rPr>
          <w:lang w:val="en-US"/>
        </w:rPr>
        <w:t xml:space="preserve"> </w:t>
      </w:r>
      <w:proofErr w:type="spellStart"/>
      <w:r w:rsidRPr="00F94D76">
        <w:rPr>
          <w:lang w:val="en-US"/>
        </w:rPr>
        <w:t>gli</w:t>
      </w:r>
      <w:proofErr w:type="spellEnd"/>
      <w:r w:rsidRPr="00F94D76">
        <w:rPr>
          <w:lang w:val="en-US"/>
        </w:rPr>
        <w:t xml:space="preserve"> </w:t>
      </w:r>
      <w:proofErr w:type="spellStart"/>
      <w:r w:rsidRPr="00F94D76">
        <w:rPr>
          <w:lang w:val="en-US"/>
        </w:rPr>
        <w:t>altri</w:t>
      </w:r>
      <w:proofErr w:type="spellEnd"/>
      <w:r w:rsidRPr="00F94D76">
        <w:rPr>
          <w:lang w:val="en-US"/>
        </w:rPr>
        <w:t xml:space="preserve"> </w:t>
      </w:r>
      <w:proofErr w:type="spellStart"/>
      <w:r w:rsidRPr="00F94D76">
        <w:rPr>
          <w:lang w:val="en-US"/>
        </w:rPr>
        <w:t>debbano</w:t>
      </w:r>
      <w:proofErr w:type="spellEnd"/>
      <w:r w:rsidRPr="00F94D76">
        <w:rPr>
          <w:lang w:val="en-US"/>
        </w:rPr>
        <w:t xml:space="preserve"> </w:t>
      </w:r>
      <w:proofErr w:type="spellStart"/>
      <w:r w:rsidRPr="00F94D76">
        <w:rPr>
          <w:lang w:val="en-US"/>
        </w:rPr>
        <w:t>colle</w:t>
      </w:r>
      <w:proofErr w:type="spellEnd"/>
      <w:r w:rsidRPr="00F94D76">
        <w:rPr>
          <w:lang w:val="en-US"/>
        </w:rPr>
        <w:t xml:space="preserve"> </w:t>
      </w:r>
      <w:proofErr w:type="spellStart"/>
      <w:r w:rsidRPr="00F94D76">
        <w:rPr>
          <w:lang w:val="en-US"/>
        </w:rPr>
        <w:t>mani</w:t>
      </w:r>
      <w:proofErr w:type="spellEnd"/>
      <w:r w:rsidRPr="00F94D76">
        <w:rPr>
          <w:lang w:val="en-US"/>
        </w:rPr>
        <w:t xml:space="preserve"> e co’ </w:t>
      </w:r>
      <w:proofErr w:type="spellStart"/>
      <w:r w:rsidRPr="00F94D76">
        <w:rPr>
          <w:lang w:val="en-US"/>
        </w:rPr>
        <w:t>piedi</w:t>
      </w:r>
      <w:proofErr w:type="spellEnd"/>
      <w:r w:rsidRPr="00F94D76">
        <w:rPr>
          <w:lang w:val="en-US"/>
        </w:rPr>
        <w:t xml:space="preserve">, con </w:t>
      </w:r>
      <w:proofErr w:type="spellStart"/>
      <w:r w:rsidRPr="00F94D76">
        <w:rPr>
          <w:lang w:val="en-US"/>
        </w:rPr>
        <w:t>tutti</w:t>
      </w:r>
      <w:proofErr w:type="spellEnd"/>
      <w:r w:rsidRPr="00F94D76">
        <w:rPr>
          <w:lang w:val="en-US"/>
        </w:rPr>
        <w:t xml:space="preserve"> e’ </w:t>
      </w:r>
      <w:proofErr w:type="spellStart"/>
      <w:r w:rsidRPr="00F94D76">
        <w:rPr>
          <w:lang w:val="en-US"/>
        </w:rPr>
        <w:t>nervi</w:t>
      </w:r>
      <w:proofErr w:type="spellEnd"/>
      <w:r w:rsidRPr="00F94D76">
        <w:rPr>
          <w:lang w:val="en-US"/>
        </w:rPr>
        <w:t xml:space="preserve">, con </w:t>
      </w:r>
      <w:proofErr w:type="spellStart"/>
      <w:r w:rsidRPr="00F94D76">
        <w:rPr>
          <w:lang w:val="en-US"/>
        </w:rPr>
        <w:t>ogni</w:t>
      </w:r>
      <w:proofErr w:type="spellEnd"/>
      <w:r w:rsidRPr="00F94D76">
        <w:rPr>
          <w:lang w:val="en-US"/>
        </w:rPr>
        <w:t xml:space="preserve"> </w:t>
      </w:r>
      <w:proofErr w:type="spellStart"/>
      <w:r w:rsidRPr="00F94D76">
        <w:rPr>
          <w:lang w:val="en-US"/>
        </w:rPr>
        <w:t>industria</w:t>
      </w:r>
      <w:proofErr w:type="spellEnd"/>
      <w:r w:rsidRPr="00F94D76">
        <w:rPr>
          <w:lang w:val="en-US"/>
        </w:rPr>
        <w:t xml:space="preserve"> e </w:t>
      </w:r>
      <w:proofErr w:type="spellStart"/>
      <w:r w:rsidRPr="00F94D76">
        <w:rPr>
          <w:lang w:val="en-US"/>
        </w:rPr>
        <w:t>consiglio</w:t>
      </w:r>
      <w:proofErr w:type="spellEnd"/>
      <w:r w:rsidRPr="00F94D76">
        <w:rPr>
          <w:lang w:val="en-US"/>
        </w:rPr>
        <w:t xml:space="preserve">, </w:t>
      </w:r>
      <w:proofErr w:type="spellStart"/>
      <w:r w:rsidRPr="00F94D76">
        <w:rPr>
          <w:lang w:val="en-US"/>
        </w:rPr>
        <w:t>quanto</w:t>
      </w:r>
      <w:proofErr w:type="spellEnd"/>
      <w:r w:rsidRPr="00F94D76">
        <w:rPr>
          <w:lang w:val="en-US"/>
        </w:rPr>
        <w:t xml:space="preserve"> </w:t>
      </w:r>
      <w:proofErr w:type="spellStart"/>
      <w:r w:rsidRPr="00F94D76">
        <w:rPr>
          <w:lang w:val="en-US"/>
        </w:rPr>
        <w:t>possono</w:t>
      </w:r>
      <w:proofErr w:type="spellEnd"/>
      <w:r w:rsidRPr="00F94D76">
        <w:rPr>
          <w:lang w:val="en-US"/>
        </w:rPr>
        <w:t xml:space="preserve"> </w:t>
      </w:r>
      <w:proofErr w:type="spellStart"/>
      <w:r w:rsidRPr="00F94D76">
        <w:rPr>
          <w:lang w:val="en-US"/>
        </w:rPr>
        <w:t>sforzarsi</w:t>
      </w:r>
      <w:proofErr w:type="spellEnd"/>
      <w:r w:rsidRPr="00F94D76">
        <w:rPr>
          <w:lang w:val="en-US"/>
        </w:rPr>
        <w:t xml:space="preserve"> </w:t>
      </w:r>
      <w:proofErr w:type="spellStart"/>
      <w:r w:rsidRPr="00F94D76">
        <w:rPr>
          <w:lang w:val="en-US"/>
        </w:rPr>
        <w:t>ch’e</w:t>
      </w:r>
      <w:proofErr w:type="spellEnd"/>
      <w:r w:rsidRPr="00F94D76">
        <w:rPr>
          <w:lang w:val="en-US"/>
        </w:rPr>
        <w:t xml:space="preserve">’ </w:t>
      </w:r>
      <w:proofErr w:type="spellStart"/>
      <w:r w:rsidRPr="00F94D76">
        <w:rPr>
          <w:lang w:val="en-US"/>
        </w:rPr>
        <w:t>figliuoli</w:t>
      </w:r>
      <w:proofErr w:type="spellEnd"/>
      <w:r w:rsidRPr="00F94D76">
        <w:rPr>
          <w:lang w:val="en-US"/>
        </w:rPr>
        <w:t xml:space="preserve"> </w:t>
      </w:r>
      <w:proofErr w:type="spellStart"/>
      <w:r w:rsidRPr="00F94D76">
        <w:rPr>
          <w:lang w:val="en-US"/>
        </w:rPr>
        <w:t>sieno</w:t>
      </w:r>
      <w:proofErr w:type="spellEnd"/>
      <w:r w:rsidRPr="00F94D76">
        <w:rPr>
          <w:lang w:val="en-US"/>
        </w:rPr>
        <w:t xml:space="preserve"> </w:t>
      </w:r>
      <w:proofErr w:type="spellStart"/>
      <w:r w:rsidRPr="00F94D76">
        <w:rPr>
          <w:lang w:val="en-US"/>
        </w:rPr>
        <w:t>costumati</w:t>
      </w:r>
      <w:proofErr w:type="spellEnd"/>
      <w:r w:rsidRPr="00F94D76">
        <w:rPr>
          <w:lang w:val="en-US"/>
        </w:rPr>
        <w:t xml:space="preserve"> e </w:t>
      </w:r>
      <w:proofErr w:type="spellStart"/>
      <w:r w:rsidRPr="00F94D76">
        <w:rPr>
          <w:lang w:val="en-US"/>
        </w:rPr>
        <w:t>onestissimi</w:t>
      </w:r>
      <w:proofErr w:type="spellEnd"/>
      <w:r w:rsidRPr="00F94D76">
        <w:rPr>
          <w:lang w:val="en-US"/>
        </w:rPr>
        <w:t xml:space="preserve">.” Alberti, </w:t>
      </w:r>
      <w:r w:rsidRPr="00F94D76">
        <w:rPr>
          <w:i/>
          <w:iCs/>
          <w:lang w:val="en-US"/>
        </w:rPr>
        <w:t xml:space="preserve">I libri </w:t>
      </w:r>
      <w:proofErr w:type="spellStart"/>
      <w:r w:rsidRPr="00F94D76">
        <w:rPr>
          <w:i/>
          <w:iCs/>
          <w:lang w:val="en-US"/>
        </w:rPr>
        <w:t>della</w:t>
      </w:r>
      <w:proofErr w:type="spellEnd"/>
      <w:r w:rsidRPr="00F94D76">
        <w:rPr>
          <w:i/>
          <w:iCs/>
          <w:lang w:val="en-US"/>
        </w:rPr>
        <w:t xml:space="preserve"> </w:t>
      </w:r>
      <w:proofErr w:type="spellStart"/>
      <w:r w:rsidRPr="00F94D76">
        <w:rPr>
          <w:i/>
          <w:iCs/>
          <w:lang w:val="en-US"/>
        </w:rPr>
        <w:t>famiglia</w:t>
      </w:r>
      <w:proofErr w:type="spellEnd"/>
      <w:r w:rsidRPr="00F94D76">
        <w:rPr>
          <w:lang w:val="en-US"/>
        </w:rPr>
        <w:t>, 51.</w:t>
      </w:r>
    </w:p>
  </w:footnote>
  <w:footnote w:id="74">
    <w:p w14:paraId="5E7218AA" w14:textId="77777777" w:rsidR="00182EED" w:rsidRDefault="00182EED" w:rsidP="001840E8">
      <w:pPr>
        <w:pStyle w:val="FootnoteText"/>
      </w:pPr>
      <w:r w:rsidRPr="00391186">
        <w:rPr>
          <w:rStyle w:val="FootnoteReference"/>
        </w:rPr>
        <w:footnoteRef/>
      </w:r>
      <w:r>
        <w:t xml:space="preserve"> </w:t>
      </w:r>
      <w:proofErr w:type="spellStart"/>
      <w:r w:rsidRPr="000B5866">
        <w:rPr>
          <w:lang w:val="en-US"/>
        </w:rPr>
        <w:t>Klapisch</w:t>
      </w:r>
      <w:proofErr w:type="spellEnd"/>
      <w:r w:rsidRPr="000B5866">
        <w:rPr>
          <w:lang w:val="en-US"/>
        </w:rPr>
        <w:t xml:space="preserve">-Zuber, “Le </w:t>
      </w:r>
      <w:proofErr w:type="spellStart"/>
      <w:r w:rsidRPr="000B5866">
        <w:rPr>
          <w:lang w:val="en-US"/>
        </w:rPr>
        <w:t>Chiavi</w:t>
      </w:r>
      <w:proofErr w:type="spellEnd"/>
      <w:r w:rsidRPr="000B5866">
        <w:rPr>
          <w:lang w:val="en-US"/>
        </w:rPr>
        <w:t xml:space="preserve"> </w:t>
      </w:r>
      <w:proofErr w:type="spellStart"/>
      <w:r w:rsidRPr="000B5866">
        <w:rPr>
          <w:lang w:val="en-US"/>
        </w:rPr>
        <w:t>Fiorentine</w:t>
      </w:r>
      <w:proofErr w:type="spellEnd"/>
      <w:r w:rsidRPr="000B5866">
        <w:rPr>
          <w:lang w:val="en-US"/>
        </w:rPr>
        <w:t xml:space="preserve"> di </w:t>
      </w:r>
      <w:proofErr w:type="spellStart"/>
      <w:r w:rsidRPr="000B5866">
        <w:rPr>
          <w:lang w:val="en-US"/>
        </w:rPr>
        <w:t>Barbablù</w:t>
      </w:r>
      <w:proofErr w:type="spellEnd"/>
      <w:r w:rsidRPr="000B5866">
        <w:rPr>
          <w:lang w:val="en-US"/>
        </w:rPr>
        <w:t>,” 769.</w:t>
      </w:r>
    </w:p>
  </w:footnote>
  <w:footnote w:id="75">
    <w:p w14:paraId="5A292898" w14:textId="77777777" w:rsidR="00182EED" w:rsidRDefault="00182EED" w:rsidP="001840E8">
      <w:pPr>
        <w:pStyle w:val="FootnoteText"/>
      </w:pPr>
      <w:r w:rsidRPr="00391186">
        <w:rPr>
          <w:rStyle w:val="FootnoteReference"/>
        </w:rPr>
        <w:footnoteRef/>
      </w:r>
      <w:r>
        <w:t xml:space="preserve"> </w:t>
      </w:r>
      <w:proofErr w:type="spellStart"/>
      <w:r w:rsidRPr="000B5866">
        <w:rPr>
          <w:lang w:val="en-US"/>
        </w:rPr>
        <w:t>Fortini</w:t>
      </w:r>
      <w:proofErr w:type="spellEnd"/>
      <w:r w:rsidRPr="000B5866">
        <w:rPr>
          <w:lang w:val="en-US"/>
        </w:rPr>
        <w:t xml:space="preserve"> Brown, “Children and Education,” 141.</w:t>
      </w:r>
    </w:p>
  </w:footnote>
  <w:footnote w:id="76">
    <w:p w14:paraId="78072C34" w14:textId="77777777" w:rsidR="00182EED" w:rsidRDefault="00182EED" w:rsidP="001840E8">
      <w:pPr>
        <w:pStyle w:val="FootnoteText"/>
      </w:pPr>
      <w:r w:rsidRPr="00391186">
        <w:rPr>
          <w:rStyle w:val="FootnoteReference"/>
        </w:rPr>
        <w:footnoteRef/>
      </w:r>
      <w:r>
        <w:t xml:space="preserve"> </w:t>
      </w:r>
      <w:r w:rsidRPr="000B5866">
        <w:rPr>
          <w:lang w:val="en-US"/>
        </w:rPr>
        <w:t xml:space="preserve">Eugenio </w:t>
      </w:r>
      <w:proofErr w:type="spellStart"/>
      <w:r w:rsidRPr="000B5866">
        <w:rPr>
          <w:lang w:val="en-US"/>
        </w:rPr>
        <w:t>Garin</w:t>
      </w:r>
      <w:proofErr w:type="spellEnd"/>
      <w:r w:rsidRPr="000B5866">
        <w:rPr>
          <w:lang w:val="en-US"/>
        </w:rPr>
        <w:t xml:space="preserve">, </w:t>
      </w:r>
      <w:proofErr w:type="spellStart"/>
      <w:r w:rsidRPr="000B5866">
        <w:rPr>
          <w:i/>
          <w:iCs/>
          <w:lang w:val="en-US"/>
        </w:rPr>
        <w:t>Ritratti</w:t>
      </w:r>
      <w:proofErr w:type="spellEnd"/>
      <w:r w:rsidRPr="000B5866">
        <w:rPr>
          <w:i/>
          <w:iCs/>
          <w:lang w:val="en-US"/>
        </w:rPr>
        <w:t xml:space="preserve"> di </w:t>
      </w:r>
      <w:proofErr w:type="spellStart"/>
      <w:r w:rsidRPr="000B5866">
        <w:rPr>
          <w:i/>
          <w:iCs/>
          <w:lang w:val="en-US"/>
        </w:rPr>
        <w:t>umanisti</w:t>
      </w:r>
      <w:proofErr w:type="spellEnd"/>
      <w:r w:rsidRPr="000B5866">
        <w:rPr>
          <w:lang w:val="en-US"/>
        </w:rPr>
        <w:t xml:space="preserve"> (Florence: </w:t>
      </w:r>
      <w:proofErr w:type="spellStart"/>
      <w:r w:rsidRPr="000B5866">
        <w:rPr>
          <w:lang w:val="en-US"/>
        </w:rPr>
        <w:t>Sansoni</w:t>
      </w:r>
      <w:proofErr w:type="spellEnd"/>
      <w:r w:rsidRPr="000B5866">
        <w:rPr>
          <w:lang w:val="en-US"/>
        </w:rPr>
        <w:t>, 1967), 75.</w:t>
      </w:r>
    </w:p>
  </w:footnote>
  <w:footnote w:id="77">
    <w:p w14:paraId="4637B0B0" w14:textId="77777777" w:rsidR="00182EED" w:rsidRDefault="00182EED" w:rsidP="001840E8">
      <w:pPr>
        <w:pStyle w:val="FootnoteText"/>
      </w:pPr>
      <w:r w:rsidRPr="00391186">
        <w:rPr>
          <w:rStyle w:val="FootnoteReference"/>
        </w:rPr>
        <w:footnoteRef/>
      </w:r>
      <w:r>
        <w:t xml:space="preserve"> </w:t>
      </w:r>
      <w:r w:rsidRPr="000B5866">
        <w:rPr>
          <w:lang w:val="en-US"/>
        </w:rPr>
        <w:t xml:space="preserve">For information about the Medieval curriculum see </w:t>
      </w:r>
      <w:proofErr w:type="spellStart"/>
      <w:r w:rsidRPr="000B5866">
        <w:rPr>
          <w:lang w:val="en-US"/>
        </w:rPr>
        <w:t>Grendler</w:t>
      </w:r>
      <w:proofErr w:type="spellEnd"/>
      <w:r w:rsidRPr="000B5866">
        <w:rPr>
          <w:lang w:val="en-US"/>
        </w:rPr>
        <w:t xml:space="preserve">, </w:t>
      </w:r>
      <w:r w:rsidRPr="000B5866">
        <w:rPr>
          <w:i/>
          <w:iCs/>
          <w:lang w:val="en-US"/>
        </w:rPr>
        <w:t>Schooling in Renaissance Italy</w:t>
      </w:r>
      <w:r w:rsidRPr="000B5866">
        <w:rPr>
          <w:lang w:val="en-US"/>
        </w:rPr>
        <w:t>, 111–17; On the humanistic novelty see ibid., 117 ff.</w:t>
      </w:r>
    </w:p>
  </w:footnote>
  <w:footnote w:id="78">
    <w:p w14:paraId="61823C0F" w14:textId="77777777" w:rsidR="00182EED" w:rsidRDefault="00182EED" w:rsidP="001840E8">
      <w:pPr>
        <w:pStyle w:val="FootnoteText"/>
      </w:pPr>
      <w:r w:rsidRPr="00391186">
        <w:rPr>
          <w:rStyle w:val="FootnoteReference"/>
        </w:rPr>
        <w:footnoteRef/>
      </w:r>
      <w:r>
        <w:t xml:space="preserve"> </w:t>
      </w:r>
      <w:r w:rsidRPr="000B5866">
        <w:rPr>
          <w:lang w:val="en-US"/>
        </w:rPr>
        <w:t xml:space="preserve">Paul Oskar </w:t>
      </w:r>
      <w:proofErr w:type="spellStart"/>
      <w:r w:rsidRPr="000B5866">
        <w:rPr>
          <w:lang w:val="en-US"/>
        </w:rPr>
        <w:t>Kristeller</w:t>
      </w:r>
      <w:proofErr w:type="spellEnd"/>
      <w:r w:rsidRPr="000B5866">
        <w:rPr>
          <w:lang w:val="en-US"/>
        </w:rPr>
        <w:t xml:space="preserve">, “Humanism,” in </w:t>
      </w:r>
      <w:r w:rsidRPr="000B5866">
        <w:rPr>
          <w:i/>
          <w:iCs/>
          <w:lang w:val="en-US"/>
        </w:rPr>
        <w:t>The Cambridge History of Renaissance Philosophy</w:t>
      </w:r>
      <w:r w:rsidRPr="000B5866">
        <w:rPr>
          <w:lang w:val="en-US"/>
        </w:rPr>
        <w:t>, ed. Charles B. Schmitt et al. (Cambridge: Cambridge University Press, 1988), 114.</w:t>
      </w:r>
    </w:p>
  </w:footnote>
  <w:footnote w:id="79">
    <w:p w14:paraId="5C46E968" w14:textId="77777777" w:rsidR="00182EED" w:rsidRDefault="00182EED" w:rsidP="001840E8">
      <w:pPr>
        <w:pStyle w:val="FootnoteText"/>
      </w:pPr>
      <w:r w:rsidRPr="00391186">
        <w:rPr>
          <w:rStyle w:val="FootnoteReference"/>
        </w:rPr>
        <w:footnoteRef/>
      </w:r>
      <w:r>
        <w:t xml:space="preserve"> </w:t>
      </w:r>
      <w:r w:rsidRPr="000B5866">
        <w:rPr>
          <w:lang w:val="en-US"/>
        </w:rPr>
        <w:t xml:space="preserve">Eugenio </w:t>
      </w:r>
      <w:proofErr w:type="spellStart"/>
      <w:r w:rsidRPr="000B5866">
        <w:rPr>
          <w:lang w:val="en-US"/>
        </w:rPr>
        <w:t>Garin</w:t>
      </w:r>
      <w:proofErr w:type="spellEnd"/>
      <w:r w:rsidRPr="000B5866">
        <w:rPr>
          <w:lang w:val="en-US"/>
        </w:rPr>
        <w:t xml:space="preserve">, </w:t>
      </w:r>
      <w:proofErr w:type="spellStart"/>
      <w:r w:rsidRPr="000B5866">
        <w:rPr>
          <w:i/>
          <w:iCs/>
          <w:lang w:val="en-US"/>
        </w:rPr>
        <w:t>L’educazione</w:t>
      </w:r>
      <w:proofErr w:type="spellEnd"/>
      <w:r w:rsidRPr="000B5866">
        <w:rPr>
          <w:i/>
          <w:iCs/>
          <w:lang w:val="en-US"/>
        </w:rPr>
        <w:t xml:space="preserve"> </w:t>
      </w:r>
      <w:proofErr w:type="spellStart"/>
      <w:r w:rsidRPr="000B5866">
        <w:rPr>
          <w:i/>
          <w:iCs/>
          <w:lang w:val="en-US"/>
        </w:rPr>
        <w:t>umanistica</w:t>
      </w:r>
      <w:proofErr w:type="spellEnd"/>
      <w:r w:rsidRPr="000B5866">
        <w:rPr>
          <w:i/>
          <w:iCs/>
          <w:lang w:val="en-US"/>
        </w:rPr>
        <w:t xml:space="preserve"> in Italia: </w:t>
      </w:r>
      <w:proofErr w:type="spellStart"/>
      <w:r w:rsidRPr="000B5866">
        <w:rPr>
          <w:i/>
          <w:iCs/>
          <w:lang w:val="en-US"/>
        </w:rPr>
        <w:t>testi</w:t>
      </w:r>
      <w:proofErr w:type="spellEnd"/>
      <w:r w:rsidRPr="000B5866">
        <w:rPr>
          <w:i/>
          <w:iCs/>
          <w:lang w:val="en-US"/>
        </w:rPr>
        <w:t xml:space="preserve"> </w:t>
      </w:r>
      <w:proofErr w:type="spellStart"/>
      <w:r w:rsidRPr="000B5866">
        <w:rPr>
          <w:i/>
          <w:iCs/>
          <w:lang w:val="en-US"/>
        </w:rPr>
        <w:t>scelti</w:t>
      </w:r>
      <w:proofErr w:type="spellEnd"/>
      <w:r w:rsidRPr="000B5866">
        <w:rPr>
          <w:i/>
          <w:iCs/>
          <w:lang w:val="en-US"/>
        </w:rPr>
        <w:t xml:space="preserve"> e </w:t>
      </w:r>
      <w:proofErr w:type="spellStart"/>
      <w:r w:rsidRPr="000B5866">
        <w:rPr>
          <w:i/>
          <w:iCs/>
          <w:lang w:val="en-US"/>
        </w:rPr>
        <w:t>illustrati</w:t>
      </w:r>
      <w:proofErr w:type="spellEnd"/>
      <w:r w:rsidRPr="000B5866">
        <w:rPr>
          <w:lang w:val="en-US"/>
        </w:rPr>
        <w:t xml:space="preserve"> (Bari: Giuseppe </w:t>
      </w:r>
      <w:proofErr w:type="spellStart"/>
      <w:r w:rsidRPr="000B5866">
        <w:rPr>
          <w:lang w:val="en-US"/>
        </w:rPr>
        <w:t>Laterza</w:t>
      </w:r>
      <w:proofErr w:type="spellEnd"/>
      <w:r w:rsidRPr="000B5866">
        <w:rPr>
          <w:lang w:val="en-US"/>
        </w:rPr>
        <w:t>, 1949), 1–2.</w:t>
      </w:r>
    </w:p>
  </w:footnote>
  <w:footnote w:id="80">
    <w:p w14:paraId="27753272" w14:textId="77777777" w:rsidR="00182EED" w:rsidRDefault="00182EED" w:rsidP="001840E8">
      <w:pPr>
        <w:pStyle w:val="FootnoteText"/>
      </w:pPr>
      <w:r w:rsidRPr="00391186">
        <w:rPr>
          <w:rStyle w:val="FootnoteReference"/>
        </w:rPr>
        <w:footnoteRef/>
      </w:r>
      <w:r>
        <w:t xml:space="preserve"> </w:t>
      </w:r>
      <w:r>
        <w:rPr>
          <w:noProof/>
        </w:rPr>
        <w:t>Ibid., 3.</w:t>
      </w:r>
    </w:p>
  </w:footnote>
  <w:footnote w:id="81">
    <w:p w14:paraId="561CF5F6" w14:textId="630A89AB" w:rsidR="00182EED" w:rsidRPr="00434A7A" w:rsidRDefault="00182EED" w:rsidP="001840E8">
      <w:pPr>
        <w:pStyle w:val="FootnoteText"/>
      </w:pPr>
      <w:r w:rsidRPr="00391186">
        <w:rPr>
          <w:rStyle w:val="FootnoteReference"/>
        </w:rPr>
        <w:footnoteRef/>
      </w:r>
      <w:r>
        <w:t xml:space="preserve"> </w:t>
      </w:r>
      <w:r w:rsidRPr="000B5866">
        <w:rPr>
          <w:lang w:val="en-US"/>
        </w:rPr>
        <w:t xml:space="preserve">On civic humanism see Hans Baron, </w:t>
      </w:r>
      <w:r w:rsidRPr="000B5866">
        <w:rPr>
          <w:i/>
          <w:iCs/>
          <w:lang w:val="en-US"/>
        </w:rPr>
        <w:t>The Crisis of the Early Italian Renaissance. Civic Humanism and Republican Liberty in an Age of Classicism and Tyranny</w:t>
      </w:r>
      <w:r w:rsidRPr="000B5866">
        <w:rPr>
          <w:lang w:val="en-US"/>
        </w:rPr>
        <w:t xml:space="preserve"> (Princeton, NJ: Pri</w:t>
      </w:r>
      <w:r>
        <w:rPr>
          <w:lang w:val="en-US"/>
        </w:rPr>
        <w:t>n</w:t>
      </w:r>
      <w:r w:rsidRPr="000B5866">
        <w:rPr>
          <w:lang w:val="en-US"/>
        </w:rPr>
        <w:t xml:space="preserve">ceton University Press, 1955); James Hankins, </w:t>
      </w:r>
      <w:r w:rsidRPr="000B5866">
        <w:rPr>
          <w:i/>
          <w:iCs/>
          <w:lang w:val="en-US"/>
        </w:rPr>
        <w:t>Renaissance Civic Humanism: Reappraisals and Reflections</w:t>
      </w:r>
      <w:r w:rsidRPr="000B5866">
        <w:rPr>
          <w:lang w:val="en-US"/>
        </w:rPr>
        <w:t xml:space="preserve"> (Cambridge: Cambridge University Press, 2000); Hanan </w:t>
      </w:r>
      <w:proofErr w:type="spellStart"/>
      <w:r w:rsidRPr="000B5866">
        <w:rPr>
          <w:lang w:val="en-US"/>
        </w:rPr>
        <w:t>Yoran</w:t>
      </w:r>
      <w:proofErr w:type="spellEnd"/>
      <w:r w:rsidRPr="000B5866">
        <w:rPr>
          <w:lang w:val="en-US"/>
        </w:rPr>
        <w:t xml:space="preserve">, “Florentine Civic Humanism and the Emergence of Modern Ideology,” </w:t>
      </w:r>
      <w:r w:rsidRPr="000B5866">
        <w:rPr>
          <w:i/>
          <w:iCs/>
          <w:lang w:val="en-US"/>
        </w:rPr>
        <w:t>History and Theory</w:t>
      </w:r>
      <w:r w:rsidRPr="000B5866">
        <w:rPr>
          <w:lang w:val="en-US"/>
        </w:rPr>
        <w:t xml:space="preserve"> 46, no. 3 (October 2007): 326–44</w:t>
      </w:r>
      <w:r>
        <w:rPr>
          <w:lang w:val="en-US"/>
        </w:rPr>
        <w:t xml:space="preserve">; Brian Jeffrey Maxson, </w:t>
      </w:r>
      <w:r>
        <w:rPr>
          <w:i/>
          <w:iCs/>
          <w:lang w:val="en-US"/>
        </w:rPr>
        <w:t>The Humanist World of Renaissance Florence</w:t>
      </w:r>
      <w:r>
        <w:rPr>
          <w:lang w:val="en-US"/>
        </w:rPr>
        <w:t xml:space="preserve"> (Cambridge: Cambridge University Press, 2014) and</w:t>
      </w:r>
      <w:r>
        <w:rPr>
          <w:i/>
          <w:iCs/>
          <w:lang w:val="en-US"/>
        </w:rPr>
        <w:t xml:space="preserve"> </w:t>
      </w:r>
      <w:r>
        <w:rPr>
          <w:lang w:val="en-US"/>
        </w:rPr>
        <w:t xml:space="preserve">the collection of essays </w:t>
      </w:r>
      <w:r>
        <w:rPr>
          <w:i/>
          <w:iCs/>
          <w:lang w:val="en-US"/>
        </w:rPr>
        <w:t>After Civic Humanism: Learning and Politics in Renaissance Italy</w:t>
      </w:r>
      <w:r>
        <w:rPr>
          <w:lang w:val="en-US"/>
        </w:rPr>
        <w:t>, eds. Nicholas Scott Baker and Brian Jeffrey Maxson (Toronto: Centre for Reformation and Renaissance Studies, 2015).</w:t>
      </w:r>
    </w:p>
  </w:footnote>
  <w:footnote w:id="82">
    <w:p w14:paraId="3014C133" w14:textId="77777777" w:rsidR="00182EED" w:rsidRDefault="00182EED" w:rsidP="001840E8">
      <w:pPr>
        <w:pStyle w:val="FootnoteText"/>
      </w:pPr>
      <w:r w:rsidRPr="00391186">
        <w:rPr>
          <w:rStyle w:val="FootnoteReference"/>
        </w:rPr>
        <w:footnoteRef/>
      </w:r>
      <w:r>
        <w:t xml:space="preserve"> </w:t>
      </w:r>
      <w:r w:rsidRPr="00BD09AC">
        <w:rPr>
          <w:lang w:val="en-US"/>
        </w:rPr>
        <w:t xml:space="preserve">“Has </w:t>
      </w:r>
      <w:proofErr w:type="spellStart"/>
      <w:r w:rsidRPr="00BD09AC">
        <w:rPr>
          <w:lang w:val="en-US"/>
        </w:rPr>
        <w:t>ob</w:t>
      </w:r>
      <w:proofErr w:type="spellEnd"/>
      <w:r w:rsidRPr="00BD09AC">
        <w:rPr>
          <w:lang w:val="en-US"/>
        </w:rPr>
        <w:t xml:space="preserve"> res non </w:t>
      </w:r>
      <w:proofErr w:type="spellStart"/>
      <w:r w:rsidRPr="00BD09AC">
        <w:rPr>
          <w:lang w:val="en-US"/>
        </w:rPr>
        <w:t>mediocres</w:t>
      </w:r>
      <w:proofErr w:type="spellEnd"/>
      <w:r w:rsidRPr="00BD09AC">
        <w:rPr>
          <w:lang w:val="en-US"/>
        </w:rPr>
        <w:t xml:space="preserve"> </w:t>
      </w:r>
      <w:proofErr w:type="spellStart"/>
      <w:r w:rsidRPr="00BD09AC">
        <w:rPr>
          <w:lang w:val="en-US"/>
        </w:rPr>
        <w:t>musis</w:t>
      </w:r>
      <w:proofErr w:type="spellEnd"/>
      <w:r w:rsidRPr="00BD09AC">
        <w:rPr>
          <w:lang w:val="en-US"/>
        </w:rPr>
        <w:t xml:space="preserve"> </w:t>
      </w:r>
      <w:proofErr w:type="spellStart"/>
      <w:r w:rsidRPr="00BD09AC">
        <w:rPr>
          <w:lang w:val="en-US"/>
        </w:rPr>
        <w:t>gratias</w:t>
      </w:r>
      <w:proofErr w:type="spellEnd"/>
      <w:r w:rsidRPr="00BD09AC">
        <w:rPr>
          <w:lang w:val="en-US"/>
        </w:rPr>
        <w:t xml:space="preserve"> </w:t>
      </w:r>
      <w:proofErr w:type="spellStart"/>
      <w:r w:rsidRPr="00BD09AC">
        <w:rPr>
          <w:lang w:val="en-US"/>
        </w:rPr>
        <w:t>debes</w:t>
      </w:r>
      <w:proofErr w:type="spellEnd"/>
      <w:r w:rsidRPr="00BD09AC">
        <w:rPr>
          <w:lang w:val="en-US"/>
        </w:rPr>
        <w:t xml:space="preserve"> </w:t>
      </w:r>
      <w:proofErr w:type="spellStart"/>
      <w:r w:rsidRPr="00BD09AC">
        <w:rPr>
          <w:lang w:val="en-US"/>
        </w:rPr>
        <w:t>quibus</w:t>
      </w:r>
      <w:proofErr w:type="spellEnd"/>
      <w:r w:rsidRPr="00BD09AC">
        <w:rPr>
          <w:lang w:val="en-US"/>
        </w:rPr>
        <w:t xml:space="preserve"> a </w:t>
      </w:r>
      <w:proofErr w:type="spellStart"/>
      <w:r w:rsidRPr="00BD09AC">
        <w:rPr>
          <w:lang w:val="en-US"/>
        </w:rPr>
        <w:t>pueritia</w:t>
      </w:r>
      <w:proofErr w:type="spellEnd"/>
      <w:r w:rsidRPr="00BD09AC">
        <w:rPr>
          <w:lang w:val="en-US"/>
        </w:rPr>
        <w:t xml:space="preserve"> </w:t>
      </w:r>
      <w:proofErr w:type="spellStart"/>
      <w:r w:rsidRPr="00BD09AC">
        <w:rPr>
          <w:lang w:val="en-US"/>
        </w:rPr>
        <w:t>usque</w:t>
      </w:r>
      <w:proofErr w:type="spellEnd"/>
      <w:r w:rsidRPr="00BD09AC">
        <w:rPr>
          <w:lang w:val="en-US"/>
        </w:rPr>
        <w:t xml:space="preserve"> </w:t>
      </w:r>
      <w:proofErr w:type="spellStart"/>
      <w:r w:rsidRPr="00BD09AC">
        <w:rPr>
          <w:lang w:val="en-US"/>
        </w:rPr>
        <w:t>imbutus</w:t>
      </w:r>
      <w:proofErr w:type="spellEnd"/>
      <w:r w:rsidRPr="00BD09AC">
        <w:rPr>
          <w:lang w:val="en-US"/>
        </w:rPr>
        <w:t xml:space="preserve"> et </w:t>
      </w:r>
      <w:proofErr w:type="spellStart"/>
      <w:r w:rsidRPr="00BD09AC">
        <w:rPr>
          <w:lang w:val="en-US"/>
        </w:rPr>
        <w:t>institutus</w:t>
      </w:r>
      <w:proofErr w:type="spellEnd"/>
      <w:r w:rsidRPr="00BD09AC">
        <w:rPr>
          <w:lang w:val="en-US"/>
        </w:rPr>
        <w:t xml:space="preserve"> </w:t>
      </w:r>
      <w:proofErr w:type="spellStart"/>
      <w:r w:rsidRPr="00BD09AC">
        <w:rPr>
          <w:lang w:val="en-US"/>
        </w:rPr>
        <w:t>te</w:t>
      </w:r>
      <w:proofErr w:type="spellEnd"/>
      <w:r w:rsidRPr="00BD09AC">
        <w:rPr>
          <w:lang w:val="en-US"/>
        </w:rPr>
        <w:t xml:space="preserve"> </w:t>
      </w:r>
      <w:proofErr w:type="spellStart"/>
      <w:r w:rsidRPr="00BD09AC">
        <w:rPr>
          <w:lang w:val="en-US"/>
        </w:rPr>
        <w:t>tuos</w:t>
      </w:r>
      <w:proofErr w:type="spellEnd"/>
      <w:r w:rsidRPr="00BD09AC">
        <w:rPr>
          <w:lang w:val="en-US"/>
        </w:rPr>
        <w:t xml:space="preserve"> et </w:t>
      </w:r>
      <w:proofErr w:type="spellStart"/>
      <w:r w:rsidRPr="00BD09AC">
        <w:rPr>
          <w:lang w:val="en-US"/>
        </w:rPr>
        <w:t>urbana</w:t>
      </w:r>
      <w:proofErr w:type="spellEnd"/>
      <w:r w:rsidRPr="00BD09AC">
        <w:rPr>
          <w:lang w:val="en-US"/>
        </w:rPr>
        <w:t xml:space="preserve"> </w:t>
      </w:r>
      <w:proofErr w:type="spellStart"/>
      <w:r w:rsidRPr="00BD09AC">
        <w:rPr>
          <w:lang w:val="en-US"/>
        </w:rPr>
        <w:t>negotia</w:t>
      </w:r>
      <w:proofErr w:type="spellEnd"/>
      <w:r w:rsidRPr="00BD09AC">
        <w:rPr>
          <w:lang w:val="en-US"/>
        </w:rPr>
        <w:t xml:space="preserve"> </w:t>
      </w:r>
      <w:proofErr w:type="spellStart"/>
      <w:r w:rsidRPr="00BD09AC">
        <w:rPr>
          <w:lang w:val="en-US"/>
        </w:rPr>
        <w:t>regere</w:t>
      </w:r>
      <w:proofErr w:type="spellEnd"/>
      <w:r w:rsidRPr="00BD09AC">
        <w:rPr>
          <w:lang w:val="en-US"/>
        </w:rPr>
        <w:t xml:space="preserve"> </w:t>
      </w:r>
      <w:proofErr w:type="spellStart"/>
      <w:r w:rsidRPr="00BD09AC">
        <w:rPr>
          <w:lang w:val="en-US"/>
        </w:rPr>
        <w:t>disponere</w:t>
      </w:r>
      <w:proofErr w:type="spellEnd"/>
      <w:r w:rsidRPr="00BD09AC">
        <w:rPr>
          <w:lang w:val="en-US"/>
        </w:rPr>
        <w:t xml:space="preserve"> et </w:t>
      </w:r>
      <w:proofErr w:type="spellStart"/>
      <w:r w:rsidRPr="00BD09AC">
        <w:rPr>
          <w:lang w:val="en-US"/>
        </w:rPr>
        <w:t>administrare</w:t>
      </w:r>
      <w:proofErr w:type="spellEnd"/>
      <w:r w:rsidRPr="00BD09AC">
        <w:rPr>
          <w:lang w:val="en-US"/>
        </w:rPr>
        <w:t xml:space="preserve">, </w:t>
      </w:r>
      <w:proofErr w:type="spellStart"/>
      <w:r w:rsidRPr="00BD09AC">
        <w:rPr>
          <w:lang w:val="en-US"/>
        </w:rPr>
        <w:t>restituere</w:t>
      </w:r>
      <w:proofErr w:type="spellEnd"/>
      <w:r w:rsidRPr="00BD09AC">
        <w:rPr>
          <w:lang w:val="en-US"/>
        </w:rPr>
        <w:t xml:space="preserve"> ac </w:t>
      </w:r>
      <w:proofErr w:type="spellStart"/>
      <w:r w:rsidRPr="00BD09AC">
        <w:rPr>
          <w:lang w:val="en-US"/>
        </w:rPr>
        <w:t>sustentare</w:t>
      </w:r>
      <w:proofErr w:type="spellEnd"/>
      <w:r w:rsidRPr="00BD09AC">
        <w:rPr>
          <w:lang w:val="en-US"/>
        </w:rPr>
        <w:t xml:space="preserve"> </w:t>
      </w:r>
      <w:proofErr w:type="spellStart"/>
      <w:r w:rsidRPr="00BD09AC">
        <w:rPr>
          <w:lang w:val="en-US"/>
        </w:rPr>
        <w:t>didicisti</w:t>
      </w:r>
      <w:proofErr w:type="spellEnd"/>
      <w:r w:rsidRPr="00BD09AC">
        <w:rPr>
          <w:lang w:val="en-US"/>
        </w:rPr>
        <w:t xml:space="preserve">. Quo </w:t>
      </w:r>
      <w:proofErr w:type="spellStart"/>
      <w:r w:rsidRPr="00BD09AC">
        <w:rPr>
          <w:lang w:val="en-US"/>
        </w:rPr>
        <w:t>effectum</w:t>
      </w:r>
      <w:proofErr w:type="spellEnd"/>
      <w:r w:rsidRPr="00BD09AC">
        <w:rPr>
          <w:lang w:val="en-US"/>
        </w:rPr>
        <w:t xml:space="preserve"> </w:t>
      </w:r>
      <w:proofErr w:type="spellStart"/>
      <w:r w:rsidRPr="00BD09AC">
        <w:rPr>
          <w:lang w:val="en-US"/>
        </w:rPr>
        <w:t>est</w:t>
      </w:r>
      <w:proofErr w:type="spellEnd"/>
      <w:r w:rsidRPr="00BD09AC">
        <w:rPr>
          <w:lang w:val="en-US"/>
        </w:rPr>
        <w:t xml:space="preserve"> </w:t>
      </w:r>
      <w:proofErr w:type="spellStart"/>
      <w:r w:rsidRPr="00BD09AC">
        <w:rPr>
          <w:lang w:val="en-US"/>
        </w:rPr>
        <w:t>ut</w:t>
      </w:r>
      <w:proofErr w:type="spellEnd"/>
      <w:r w:rsidRPr="00BD09AC">
        <w:rPr>
          <w:lang w:val="en-US"/>
        </w:rPr>
        <w:t xml:space="preserve"> </w:t>
      </w:r>
      <w:proofErr w:type="spellStart"/>
      <w:r w:rsidRPr="00BD09AC">
        <w:rPr>
          <w:lang w:val="en-US"/>
        </w:rPr>
        <w:t>musas</w:t>
      </w:r>
      <w:proofErr w:type="spellEnd"/>
      <w:r w:rsidRPr="00BD09AC">
        <w:rPr>
          <w:lang w:val="en-US"/>
        </w:rPr>
        <w:t xml:space="preserve"> </w:t>
      </w:r>
      <w:proofErr w:type="spellStart"/>
      <w:r w:rsidRPr="00BD09AC">
        <w:rPr>
          <w:lang w:val="en-US"/>
        </w:rPr>
        <w:t>ipsas</w:t>
      </w:r>
      <w:proofErr w:type="spellEnd"/>
      <w:r w:rsidRPr="00BD09AC">
        <w:rPr>
          <w:lang w:val="en-US"/>
        </w:rPr>
        <w:t xml:space="preserve"> non modo </w:t>
      </w:r>
      <w:proofErr w:type="spellStart"/>
      <w:r w:rsidRPr="00BD09AC">
        <w:rPr>
          <w:lang w:val="en-US"/>
        </w:rPr>
        <w:t>chordarum</w:t>
      </w:r>
      <w:proofErr w:type="spellEnd"/>
      <w:r w:rsidRPr="00BD09AC">
        <w:rPr>
          <w:lang w:val="en-US"/>
        </w:rPr>
        <w:t xml:space="preserve"> et </w:t>
      </w:r>
      <w:proofErr w:type="spellStart"/>
      <w:r w:rsidRPr="00BD09AC">
        <w:rPr>
          <w:lang w:val="en-US"/>
        </w:rPr>
        <w:t>citharae</w:t>
      </w:r>
      <w:proofErr w:type="spellEnd"/>
      <w:r w:rsidRPr="00BD09AC">
        <w:rPr>
          <w:lang w:val="en-US"/>
        </w:rPr>
        <w:t xml:space="preserve"> sed rerum </w:t>
      </w:r>
      <w:proofErr w:type="spellStart"/>
      <w:r w:rsidRPr="00BD09AC">
        <w:rPr>
          <w:lang w:val="en-US"/>
        </w:rPr>
        <w:t>etiam</w:t>
      </w:r>
      <w:proofErr w:type="spellEnd"/>
      <w:r w:rsidRPr="00BD09AC">
        <w:rPr>
          <w:lang w:val="en-US"/>
        </w:rPr>
        <w:t xml:space="preserve"> </w:t>
      </w:r>
      <w:proofErr w:type="spellStart"/>
      <w:r w:rsidRPr="00BD09AC">
        <w:rPr>
          <w:lang w:val="en-US"/>
        </w:rPr>
        <w:t>publicarum</w:t>
      </w:r>
      <w:proofErr w:type="spellEnd"/>
      <w:r w:rsidRPr="00BD09AC">
        <w:rPr>
          <w:lang w:val="en-US"/>
        </w:rPr>
        <w:t xml:space="preserve"> </w:t>
      </w:r>
      <w:proofErr w:type="spellStart"/>
      <w:r w:rsidRPr="00BD09AC">
        <w:rPr>
          <w:lang w:val="en-US"/>
        </w:rPr>
        <w:t>moderatrices</w:t>
      </w:r>
      <w:proofErr w:type="spellEnd"/>
      <w:r w:rsidRPr="00BD09AC">
        <w:rPr>
          <w:lang w:val="en-US"/>
        </w:rPr>
        <w:t xml:space="preserve"> </w:t>
      </w:r>
      <w:proofErr w:type="spellStart"/>
      <w:r w:rsidRPr="00BD09AC">
        <w:rPr>
          <w:lang w:val="en-US"/>
        </w:rPr>
        <w:t>esse</w:t>
      </w:r>
      <w:proofErr w:type="spellEnd"/>
      <w:r w:rsidRPr="00BD09AC">
        <w:rPr>
          <w:lang w:val="en-US"/>
        </w:rPr>
        <w:t xml:space="preserve"> </w:t>
      </w:r>
      <w:proofErr w:type="spellStart"/>
      <w:r w:rsidRPr="00BD09AC">
        <w:rPr>
          <w:lang w:val="en-US"/>
        </w:rPr>
        <w:t>demonstres</w:t>
      </w:r>
      <w:proofErr w:type="spellEnd"/>
      <w:r w:rsidRPr="00BD09AC">
        <w:rPr>
          <w:lang w:val="en-US"/>
        </w:rPr>
        <w:t xml:space="preserve"> … </w:t>
      </w:r>
      <w:proofErr w:type="spellStart"/>
      <w:r w:rsidRPr="00BD09AC">
        <w:rPr>
          <w:lang w:val="en-US"/>
        </w:rPr>
        <w:t>Quanti</w:t>
      </w:r>
      <w:proofErr w:type="spellEnd"/>
      <w:r w:rsidRPr="00BD09AC">
        <w:rPr>
          <w:lang w:val="en-US"/>
        </w:rPr>
        <w:t xml:space="preserve"> </w:t>
      </w:r>
      <w:proofErr w:type="spellStart"/>
      <w:r w:rsidRPr="00BD09AC">
        <w:rPr>
          <w:lang w:val="en-US"/>
        </w:rPr>
        <w:t>igitur</w:t>
      </w:r>
      <w:proofErr w:type="spellEnd"/>
      <w:r w:rsidRPr="00BD09AC">
        <w:rPr>
          <w:lang w:val="en-US"/>
        </w:rPr>
        <w:t xml:space="preserve"> </w:t>
      </w:r>
      <w:proofErr w:type="spellStart"/>
      <w:r w:rsidRPr="00BD09AC">
        <w:rPr>
          <w:lang w:val="en-US"/>
        </w:rPr>
        <w:t>facienda</w:t>
      </w:r>
      <w:proofErr w:type="spellEnd"/>
      <w:r w:rsidRPr="00BD09AC">
        <w:rPr>
          <w:lang w:val="en-US"/>
        </w:rPr>
        <w:t xml:space="preserve">, </w:t>
      </w:r>
      <w:proofErr w:type="spellStart"/>
      <w:r w:rsidRPr="00BD09AC">
        <w:rPr>
          <w:lang w:val="en-US"/>
        </w:rPr>
        <w:t>quam</w:t>
      </w:r>
      <w:proofErr w:type="spellEnd"/>
      <w:r w:rsidRPr="00BD09AC">
        <w:rPr>
          <w:lang w:val="en-US"/>
        </w:rPr>
        <w:t xml:space="preserve"> </w:t>
      </w:r>
      <w:proofErr w:type="spellStart"/>
      <w:r w:rsidRPr="00BD09AC">
        <w:rPr>
          <w:lang w:val="en-US"/>
        </w:rPr>
        <w:t>laudanda</w:t>
      </w:r>
      <w:proofErr w:type="spellEnd"/>
      <w:r w:rsidRPr="00BD09AC">
        <w:rPr>
          <w:lang w:val="en-US"/>
        </w:rPr>
        <w:t xml:space="preserve"> </w:t>
      </w:r>
      <w:proofErr w:type="spellStart"/>
      <w:r w:rsidRPr="00BD09AC">
        <w:rPr>
          <w:lang w:val="en-US"/>
        </w:rPr>
        <w:t>ea</w:t>
      </w:r>
      <w:proofErr w:type="spellEnd"/>
      <w:r w:rsidRPr="00BD09AC">
        <w:rPr>
          <w:lang w:val="en-US"/>
        </w:rPr>
        <w:t xml:space="preserve"> </w:t>
      </w:r>
      <w:proofErr w:type="spellStart"/>
      <w:r w:rsidRPr="00BD09AC">
        <w:rPr>
          <w:lang w:val="en-US"/>
        </w:rPr>
        <w:t>doctrina</w:t>
      </w:r>
      <w:proofErr w:type="spellEnd"/>
      <w:r w:rsidRPr="00BD09AC">
        <w:rPr>
          <w:lang w:val="en-US"/>
        </w:rPr>
        <w:t xml:space="preserve"> </w:t>
      </w:r>
      <w:proofErr w:type="spellStart"/>
      <w:r w:rsidRPr="00BD09AC">
        <w:rPr>
          <w:lang w:val="en-US"/>
        </w:rPr>
        <w:t>illae</w:t>
      </w:r>
      <w:proofErr w:type="spellEnd"/>
      <w:r w:rsidRPr="00BD09AC">
        <w:rPr>
          <w:lang w:val="en-US"/>
        </w:rPr>
        <w:t xml:space="preserve"> </w:t>
      </w:r>
      <w:proofErr w:type="spellStart"/>
      <w:r w:rsidRPr="00BD09AC">
        <w:rPr>
          <w:lang w:val="en-US"/>
        </w:rPr>
        <w:t>artes</w:t>
      </w:r>
      <w:proofErr w:type="spellEnd"/>
      <w:r w:rsidRPr="00BD09AC">
        <w:rPr>
          <w:lang w:val="en-US"/>
        </w:rPr>
        <w:t xml:space="preserve"> </w:t>
      </w:r>
      <w:proofErr w:type="spellStart"/>
      <w:r w:rsidRPr="00BD09AC">
        <w:rPr>
          <w:lang w:val="en-US"/>
        </w:rPr>
        <w:t>quibus</w:t>
      </w:r>
      <w:proofErr w:type="spellEnd"/>
      <w:r w:rsidRPr="00BD09AC">
        <w:rPr>
          <w:lang w:val="en-US"/>
        </w:rPr>
        <w:t xml:space="preserve"> </w:t>
      </w:r>
      <w:proofErr w:type="spellStart"/>
      <w:r w:rsidRPr="00BD09AC">
        <w:rPr>
          <w:lang w:val="en-US"/>
        </w:rPr>
        <w:t>instituitur</w:t>
      </w:r>
      <w:proofErr w:type="spellEnd"/>
      <w:r w:rsidRPr="00BD09AC">
        <w:rPr>
          <w:lang w:val="en-US"/>
        </w:rPr>
        <w:t xml:space="preserve"> is qui </w:t>
      </w:r>
      <w:proofErr w:type="spellStart"/>
      <w:r w:rsidRPr="00BD09AC">
        <w:rPr>
          <w:lang w:val="en-US"/>
        </w:rPr>
        <w:t>futurus</w:t>
      </w:r>
      <w:proofErr w:type="spellEnd"/>
      <w:r w:rsidRPr="00BD09AC">
        <w:rPr>
          <w:lang w:val="en-US"/>
        </w:rPr>
        <w:t xml:space="preserve"> </w:t>
      </w:r>
      <w:proofErr w:type="spellStart"/>
      <w:r w:rsidRPr="00BD09AC">
        <w:rPr>
          <w:lang w:val="en-US"/>
        </w:rPr>
        <w:t>est</w:t>
      </w:r>
      <w:proofErr w:type="spellEnd"/>
      <w:r w:rsidRPr="00BD09AC">
        <w:rPr>
          <w:lang w:val="en-US"/>
        </w:rPr>
        <w:t xml:space="preserve"> in re publica princeps.” Veronese Guarino, </w:t>
      </w:r>
      <w:proofErr w:type="spellStart"/>
      <w:r w:rsidRPr="00BD09AC">
        <w:rPr>
          <w:i/>
          <w:iCs/>
          <w:lang w:val="en-US"/>
        </w:rPr>
        <w:t>Epistolario</w:t>
      </w:r>
      <w:proofErr w:type="spellEnd"/>
      <w:r w:rsidRPr="00BD09AC">
        <w:rPr>
          <w:i/>
          <w:iCs/>
          <w:lang w:val="en-US"/>
        </w:rPr>
        <w:t xml:space="preserve"> di Guarino Veronese</w:t>
      </w:r>
      <w:r w:rsidRPr="00BD09AC">
        <w:rPr>
          <w:lang w:val="en-US"/>
        </w:rPr>
        <w:t xml:space="preserve">, ed. </w:t>
      </w:r>
      <w:proofErr w:type="spellStart"/>
      <w:r w:rsidRPr="00BD09AC">
        <w:rPr>
          <w:lang w:val="en-US"/>
        </w:rPr>
        <w:t>Remigio</w:t>
      </w:r>
      <w:proofErr w:type="spellEnd"/>
      <w:r w:rsidRPr="00BD09AC">
        <w:rPr>
          <w:lang w:val="en-US"/>
        </w:rPr>
        <w:t xml:space="preserve"> </w:t>
      </w:r>
      <w:proofErr w:type="spellStart"/>
      <w:r w:rsidRPr="00BD09AC">
        <w:rPr>
          <w:lang w:val="en-US"/>
        </w:rPr>
        <w:t>Sabbadini</w:t>
      </w:r>
      <w:proofErr w:type="spellEnd"/>
      <w:r w:rsidRPr="00BD09AC">
        <w:rPr>
          <w:lang w:val="en-US"/>
        </w:rPr>
        <w:t xml:space="preserve">, vol. 1 (Turin: Bottega </w:t>
      </w:r>
      <w:proofErr w:type="spellStart"/>
      <w:r w:rsidRPr="00BD09AC">
        <w:rPr>
          <w:lang w:val="en-US"/>
        </w:rPr>
        <w:t>d’Erasmo</w:t>
      </w:r>
      <w:proofErr w:type="spellEnd"/>
      <w:r w:rsidRPr="00BD09AC">
        <w:rPr>
          <w:lang w:val="en-US"/>
        </w:rPr>
        <w:t xml:space="preserve">, 1959), 263; English translation from </w:t>
      </w:r>
      <w:proofErr w:type="spellStart"/>
      <w:r w:rsidRPr="00BD09AC">
        <w:rPr>
          <w:lang w:val="en-US"/>
        </w:rPr>
        <w:t>Grendler</w:t>
      </w:r>
      <w:proofErr w:type="spellEnd"/>
      <w:r w:rsidRPr="00BD09AC">
        <w:rPr>
          <w:lang w:val="en-US"/>
        </w:rPr>
        <w:t xml:space="preserve">, </w:t>
      </w:r>
      <w:r w:rsidRPr="00BD09AC">
        <w:rPr>
          <w:i/>
          <w:iCs/>
          <w:lang w:val="en-US"/>
        </w:rPr>
        <w:t>Schooling in Renaissance Italy</w:t>
      </w:r>
      <w:r w:rsidRPr="00BD09AC">
        <w:rPr>
          <w:lang w:val="en-US"/>
        </w:rPr>
        <w:t>, 119.</w:t>
      </w:r>
    </w:p>
  </w:footnote>
  <w:footnote w:id="83">
    <w:p w14:paraId="27448B69" w14:textId="77777777" w:rsidR="00182EED" w:rsidRDefault="00182EED" w:rsidP="001840E8">
      <w:pPr>
        <w:pStyle w:val="FootnoteText"/>
      </w:pPr>
      <w:r w:rsidRPr="00391186">
        <w:rPr>
          <w:rStyle w:val="FootnoteReference"/>
        </w:rPr>
        <w:footnoteRef/>
      </w:r>
      <w:r>
        <w:t xml:space="preserve"> </w:t>
      </w:r>
      <w:proofErr w:type="spellStart"/>
      <w:r w:rsidRPr="000B5866">
        <w:rPr>
          <w:lang w:val="en-US"/>
        </w:rPr>
        <w:t>Grendler</w:t>
      </w:r>
      <w:proofErr w:type="spellEnd"/>
      <w:r w:rsidRPr="000B5866">
        <w:rPr>
          <w:lang w:val="en-US"/>
        </w:rPr>
        <w:t xml:space="preserve">, </w:t>
      </w:r>
      <w:r w:rsidRPr="000B5866">
        <w:rPr>
          <w:i/>
          <w:iCs/>
          <w:lang w:val="en-US"/>
        </w:rPr>
        <w:t>Schooling in Renaissance Italy</w:t>
      </w:r>
      <w:r w:rsidRPr="000B5866">
        <w:rPr>
          <w:lang w:val="en-US"/>
        </w:rPr>
        <w:t>, 127–28.</w:t>
      </w:r>
    </w:p>
  </w:footnote>
  <w:footnote w:id="84">
    <w:p w14:paraId="0BA4F25F" w14:textId="77777777" w:rsidR="00182EED" w:rsidRDefault="00182EED" w:rsidP="001840E8">
      <w:pPr>
        <w:pStyle w:val="FootnoteText"/>
      </w:pPr>
      <w:r w:rsidRPr="00391186">
        <w:rPr>
          <w:rStyle w:val="FootnoteReference"/>
        </w:rPr>
        <w:footnoteRef/>
      </w:r>
      <w:r>
        <w:t xml:space="preserve"> </w:t>
      </w:r>
      <w:r w:rsidRPr="00546007">
        <w:rPr>
          <w:lang w:val="en-US"/>
        </w:rPr>
        <w:t>Ibid., 129–30.</w:t>
      </w:r>
    </w:p>
  </w:footnote>
  <w:footnote w:id="85">
    <w:p w14:paraId="51F2D4F7" w14:textId="77777777" w:rsidR="00182EED" w:rsidRDefault="00182EED" w:rsidP="001840E8">
      <w:pPr>
        <w:pStyle w:val="FootnoteText"/>
      </w:pPr>
      <w:r w:rsidRPr="00391186">
        <w:rPr>
          <w:rStyle w:val="FootnoteReference"/>
        </w:rPr>
        <w:footnoteRef/>
      </w:r>
      <w:r>
        <w:t xml:space="preserve"> </w:t>
      </w:r>
      <w:r>
        <w:rPr>
          <w:noProof/>
        </w:rPr>
        <w:t>Ibid., 133.</w:t>
      </w:r>
    </w:p>
  </w:footnote>
  <w:footnote w:id="86">
    <w:p w14:paraId="6BE0F93F" w14:textId="77777777" w:rsidR="00182EED" w:rsidRDefault="00182EED" w:rsidP="001840E8">
      <w:pPr>
        <w:pStyle w:val="FootnoteText"/>
      </w:pPr>
      <w:r w:rsidRPr="00391186">
        <w:rPr>
          <w:rStyle w:val="FootnoteReference"/>
        </w:rPr>
        <w:footnoteRef/>
      </w:r>
      <w:r>
        <w:t xml:space="preserve"> </w:t>
      </w:r>
      <w:r w:rsidRPr="00546007">
        <w:rPr>
          <w:lang w:val="en-US"/>
        </w:rPr>
        <w:t xml:space="preserve">On the genre of </w:t>
      </w:r>
      <w:r>
        <w:rPr>
          <w:i/>
          <w:iCs/>
          <w:lang w:val="en-US"/>
        </w:rPr>
        <w:t>S</w:t>
      </w:r>
      <w:r w:rsidRPr="00EF7449">
        <w:rPr>
          <w:i/>
          <w:iCs/>
          <w:lang w:val="en-US"/>
        </w:rPr>
        <w:t xml:space="preserve">pecula </w:t>
      </w:r>
      <w:proofErr w:type="spellStart"/>
      <w:r>
        <w:rPr>
          <w:i/>
          <w:iCs/>
          <w:lang w:val="en-US"/>
        </w:rPr>
        <w:t>P</w:t>
      </w:r>
      <w:r w:rsidRPr="00EF7449">
        <w:rPr>
          <w:i/>
          <w:iCs/>
          <w:lang w:val="en-US"/>
        </w:rPr>
        <w:t>rincipum</w:t>
      </w:r>
      <w:proofErr w:type="spellEnd"/>
      <w:r w:rsidRPr="00546007">
        <w:rPr>
          <w:lang w:val="en-US"/>
        </w:rPr>
        <w:t xml:space="preserve"> </w:t>
      </w:r>
      <w:r>
        <w:rPr>
          <w:lang w:val="en-US"/>
        </w:rPr>
        <w:t xml:space="preserve">see </w:t>
      </w:r>
      <w:r w:rsidRPr="00546007">
        <w:rPr>
          <w:lang w:val="en-US"/>
        </w:rPr>
        <w:t xml:space="preserve">Diego </w:t>
      </w:r>
      <w:proofErr w:type="spellStart"/>
      <w:r w:rsidRPr="00546007">
        <w:rPr>
          <w:lang w:val="en-US"/>
        </w:rPr>
        <w:t>Quaglioni</w:t>
      </w:r>
      <w:proofErr w:type="spellEnd"/>
      <w:r w:rsidRPr="00546007">
        <w:rPr>
          <w:lang w:val="en-US"/>
        </w:rPr>
        <w:t xml:space="preserve">, “Il </w:t>
      </w:r>
      <w:proofErr w:type="spellStart"/>
      <w:r w:rsidRPr="00546007">
        <w:rPr>
          <w:lang w:val="en-US"/>
        </w:rPr>
        <w:t>modello</w:t>
      </w:r>
      <w:proofErr w:type="spellEnd"/>
      <w:r w:rsidRPr="00546007">
        <w:rPr>
          <w:lang w:val="en-US"/>
        </w:rPr>
        <w:t xml:space="preserve"> del </w:t>
      </w:r>
      <w:proofErr w:type="spellStart"/>
      <w:r w:rsidRPr="00546007">
        <w:rPr>
          <w:lang w:val="en-US"/>
        </w:rPr>
        <w:t>principe</w:t>
      </w:r>
      <w:proofErr w:type="spellEnd"/>
      <w:r w:rsidRPr="00546007">
        <w:rPr>
          <w:lang w:val="en-US"/>
        </w:rPr>
        <w:t xml:space="preserve"> </w:t>
      </w:r>
      <w:proofErr w:type="spellStart"/>
      <w:r w:rsidRPr="00546007">
        <w:rPr>
          <w:lang w:val="en-US"/>
        </w:rPr>
        <w:t>cristiano</w:t>
      </w:r>
      <w:proofErr w:type="spellEnd"/>
      <w:r w:rsidRPr="00546007">
        <w:rPr>
          <w:lang w:val="en-US"/>
        </w:rPr>
        <w:t xml:space="preserve">. </w:t>
      </w:r>
      <w:proofErr w:type="spellStart"/>
      <w:r w:rsidRPr="00546007">
        <w:rPr>
          <w:lang w:val="en-US"/>
        </w:rPr>
        <w:t>Gli</w:t>
      </w:r>
      <w:proofErr w:type="spellEnd"/>
      <w:r w:rsidRPr="00546007">
        <w:rPr>
          <w:lang w:val="en-US"/>
        </w:rPr>
        <w:t xml:space="preserve"> </w:t>
      </w:r>
      <w:r w:rsidRPr="00EF7449">
        <w:rPr>
          <w:lang w:val="en-US"/>
        </w:rPr>
        <w:t xml:space="preserve">specula </w:t>
      </w:r>
      <w:proofErr w:type="spellStart"/>
      <w:r w:rsidRPr="00EF7449">
        <w:rPr>
          <w:lang w:val="en-US"/>
        </w:rPr>
        <w:t>principum</w:t>
      </w:r>
      <w:proofErr w:type="spellEnd"/>
      <w:r w:rsidRPr="00546007">
        <w:rPr>
          <w:lang w:val="en-US"/>
        </w:rPr>
        <w:t xml:space="preserve"> </w:t>
      </w:r>
      <w:proofErr w:type="spellStart"/>
      <w:r w:rsidRPr="00546007">
        <w:rPr>
          <w:lang w:val="en-US"/>
        </w:rPr>
        <w:t>fra</w:t>
      </w:r>
      <w:proofErr w:type="spellEnd"/>
      <w:r w:rsidRPr="00546007">
        <w:rPr>
          <w:lang w:val="en-US"/>
        </w:rPr>
        <w:t xml:space="preserve"> Medio Evo e prima </w:t>
      </w:r>
      <w:proofErr w:type="spellStart"/>
      <w:r w:rsidRPr="00546007">
        <w:rPr>
          <w:lang w:val="en-US"/>
        </w:rPr>
        <w:t>Età</w:t>
      </w:r>
      <w:proofErr w:type="spellEnd"/>
      <w:r w:rsidRPr="00546007">
        <w:rPr>
          <w:lang w:val="en-US"/>
        </w:rPr>
        <w:t xml:space="preserve"> </w:t>
      </w:r>
      <w:proofErr w:type="spellStart"/>
      <w:r w:rsidRPr="00546007">
        <w:rPr>
          <w:lang w:val="en-US"/>
        </w:rPr>
        <w:t>Moderna</w:t>
      </w:r>
      <w:proofErr w:type="spellEnd"/>
      <w:r w:rsidRPr="00546007">
        <w:rPr>
          <w:lang w:val="en-US"/>
        </w:rPr>
        <w:t xml:space="preserve">,” in </w:t>
      </w:r>
      <w:proofErr w:type="spellStart"/>
      <w:r w:rsidRPr="00546007">
        <w:rPr>
          <w:i/>
          <w:iCs/>
          <w:lang w:val="en-US"/>
        </w:rPr>
        <w:t>Modelli</w:t>
      </w:r>
      <w:proofErr w:type="spellEnd"/>
      <w:r w:rsidRPr="00546007">
        <w:rPr>
          <w:i/>
          <w:iCs/>
          <w:lang w:val="en-US"/>
        </w:rPr>
        <w:t xml:space="preserve"> </w:t>
      </w:r>
      <w:proofErr w:type="spellStart"/>
      <w:r w:rsidRPr="00546007">
        <w:rPr>
          <w:i/>
          <w:iCs/>
          <w:lang w:val="en-US"/>
        </w:rPr>
        <w:t>nella</w:t>
      </w:r>
      <w:proofErr w:type="spellEnd"/>
      <w:r w:rsidRPr="00546007">
        <w:rPr>
          <w:i/>
          <w:iCs/>
          <w:lang w:val="en-US"/>
        </w:rPr>
        <w:t xml:space="preserve"> </w:t>
      </w:r>
      <w:proofErr w:type="spellStart"/>
      <w:r w:rsidRPr="00546007">
        <w:rPr>
          <w:i/>
          <w:iCs/>
          <w:lang w:val="en-US"/>
        </w:rPr>
        <w:t>storia</w:t>
      </w:r>
      <w:proofErr w:type="spellEnd"/>
      <w:r w:rsidRPr="00546007">
        <w:rPr>
          <w:i/>
          <w:iCs/>
          <w:lang w:val="en-US"/>
        </w:rPr>
        <w:t xml:space="preserve"> del </w:t>
      </w:r>
      <w:proofErr w:type="spellStart"/>
      <w:r w:rsidRPr="00546007">
        <w:rPr>
          <w:i/>
          <w:iCs/>
          <w:lang w:val="en-US"/>
        </w:rPr>
        <w:t>pensiero</w:t>
      </w:r>
      <w:proofErr w:type="spellEnd"/>
      <w:r w:rsidRPr="00546007">
        <w:rPr>
          <w:i/>
          <w:iCs/>
          <w:lang w:val="en-US"/>
        </w:rPr>
        <w:t xml:space="preserve"> politico</w:t>
      </w:r>
      <w:r w:rsidRPr="00546007">
        <w:rPr>
          <w:lang w:val="en-US"/>
        </w:rPr>
        <w:t xml:space="preserve">, ed. </w:t>
      </w:r>
      <w:proofErr w:type="spellStart"/>
      <w:r w:rsidRPr="00546007">
        <w:rPr>
          <w:lang w:val="en-US"/>
        </w:rPr>
        <w:t>Vittor</w:t>
      </w:r>
      <w:proofErr w:type="spellEnd"/>
      <w:r w:rsidRPr="00546007">
        <w:rPr>
          <w:lang w:val="en-US"/>
        </w:rPr>
        <w:t xml:space="preserve"> Ivo </w:t>
      </w:r>
      <w:proofErr w:type="spellStart"/>
      <w:r w:rsidRPr="00546007">
        <w:rPr>
          <w:lang w:val="en-US"/>
        </w:rPr>
        <w:t>Comparato</w:t>
      </w:r>
      <w:proofErr w:type="spellEnd"/>
      <w:r w:rsidRPr="00546007">
        <w:rPr>
          <w:lang w:val="en-US"/>
        </w:rPr>
        <w:t xml:space="preserve"> (Florence: Leo S. </w:t>
      </w:r>
      <w:proofErr w:type="spellStart"/>
      <w:r w:rsidRPr="00546007">
        <w:rPr>
          <w:lang w:val="en-US"/>
        </w:rPr>
        <w:t>Olschki</w:t>
      </w:r>
      <w:proofErr w:type="spellEnd"/>
      <w:r w:rsidRPr="00546007">
        <w:rPr>
          <w:lang w:val="en-US"/>
        </w:rPr>
        <w:t xml:space="preserve">, 1987), 103–22; Giuseppe </w:t>
      </w:r>
      <w:proofErr w:type="spellStart"/>
      <w:r w:rsidRPr="00546007">
        <w:rPr>
          <w:lang w:val="en-US"/>
        </w:rPr>
        <w:t>Tognon</w:t>
      </w:r>
      <w:proofErr w:type="spellEnd"/>
      <w:r w:rsidRPr="00546007">
        <w:rPr>
          <w:lang w:val="en-US"/>
        </w:rPr>
        <w:t>, “</w:t>
      </w:r>
      <w:proofErr w:type="spellStart"/>
      <w:r w:rsidRPr="00546007">
        <w:rPr>
          <w:lang w:val="en-US"/>
        </w:rPr>
        <w:t>Intellettuali</w:t>
      </w:r>
      <w:proofErr w:type="spellEnd"/>
      <w:r w:rsidRPr="00546007">
        <w:rPr>
          <w:lang w:val="en-US"/>
        </w:rPr>
        <w:t xml:space="preserve"> ed </w:t>
      </w:r>
      <w:proofErr w:type="spellStart"/>
      <w:r w:rsidRPr="00546007">
        <w:rPr>
          <w:lang w:val="en-US"/>
        </w:rPr>
        <w:t>educazione</w:t>
      </w:r>
      <w:proofErr w:type="spellEnd"/>
      <w:r w:rsidRPr="00546007">
        <w:rPr>
          <w:lang w:val="en-US"/>
        </w:rPr>
        <w:t xml:space="preserve"> del </w:t>
      </w:r>
      <w:proofErr w:type="spellStart"/>
      <w:r w:rsidRPr="00546007">
        <w:rPr>
          <w:lang w:val="en-US"/>
        </w:rPr>
        <w:t>principe</w:t>
      </w:r>
      <w:proofErr w:type="spellEnd"/>
      <w:r w:rsidRPr="00546007">
        <w:rPr>
          <w:lang w:val="en-US"/>
        </w:rPr>
        <w:t xml:space="preserve"> </w:t>
      </w:r>
      <w:proofErr w:type="spellStart"/>
      <w:r w:rsidRPr="00546007">
        <w:rPr>
          <w:lang w:val="en-US"/>
        </w:rPr>
        <w:t>nel</w:t>
      </w:r>
      <w:proofErr w:type="spellEnd"/>
      <w:r w:rsidRPr="00546007">
        <w:rPr>
          <w:lang w:val="en-US"/>
        </w:rPr>
        <w:t xml:space="preserve"> Quattrocento </w:t>
      </w:r>
      <w:proofErr w:type="spellStart"/>
      <w:r w:rsidRPr="00546007">
        <w:rPr>
          <w:lang w:val="en-US"/>
        </w:rPr>
        <w:t>Italiano</w:t>
      </w:r>
      <w:proofErr w:type="spellEnd"/>
      <w:r w:rsidRPr="00546007">
        <w:rPr>
          <w:lang w:val="en-US"/>
        </w:rPr>
        <w:t xml:space="preserve">. Il </w:t>
      </w:r>
      <w:proofErr w:type="spellStart"/>
      <w:r w:rsidRPr="00546007">
        <w:rPr>
          <w:lang w:val="en-US"/>
        </w:rPr>
        <w:t>formarsi</w:t>
      </w:r>
      <w:proofErr w:type="spellEnd"/>
      <w:r w:rsidRPr="00546007">
        <w:rPr>
          <w:lang w:val="en-US"/>
        </w:rPr>
        <w:t xml:space="preserve"> di una </w:t>
      </w:r>
      <w:proofErr w:type="spellStart"/>
      <w:r w:rsidRPr="00546007">
        <w:rPr>
          <w:lang w:val="en-US"/>
        </w:rPr>
        <w:t>nuova</w:t>
      </w:r>
      <w:proofErr w:type="spellEnd"/>
      <w:r w:rsidRPr="00546007">
        <w:rPr>
          <w:lang w:val="en-US"/>
        </w:rPr>
        <w:t xml:space="preserve"> </w:t>
      </w:r>
      <w:proofErr w:type="spellStart"/>
      <w:r w:rsidRPr="00546007">
        <w:rPr>
          <w:lang w:val="en-US"/>
        </w:rPr>
        <w:t>pedagogia</w:t>
      </w:r>
      <w:proofErr w:type="spellEnd"/>
      <w:r w:rsidRPr="00546007">
        <w:rPr>
          <w:lang w:val="en-US"/>
        </w:rPr>
        <w:t xml:space="preserve"> </w:t>
      </w:r>
      <w:proofErr w:type="spellStart"/>
      <w:r w:rsidRPr="00546007">
        <w:rPr>
          <w:lang w:val="en-US"/>
        </w:rPr>
        <w:t>politica</w:t>
      </w:r>
      <w:proofErr w:type="spellEnd"/>
      <w:r w:rsidRPr="00546007">
        <w:rPr>
          <w:lang w:val="en-US"/>
        </w:rPr>
        <w:t xml:space="preserve">,” </w:t>
      </w:r>
      <w:r w:rsidRPr="00546007">
        <w:rPr>
          <w:i/>
          <w:iCs/>
          <w:lang w:val="en-US"/>
        </w:rPr>
        <w:t xml:space="preserve">Mélanges de </w:t>
      </w:r>
      <w:proofErr w:type="spellStart"/>
      <w:r w:rsidRPr="00546007">
        <w:rPr>
          <w:i/>
          <w:iCs/>
          <w:lang w:val="en-US"/>
        </w:rPr>
        <w:t>l’Ecole</w:t>
      </w:r>
      <w:proofErr w:type="spellEnd"/>
      <w:r w:rsidRPr="00546007">
        <w:rPr>
          <w:i/>
          <w:iCs/>
          <w:lang w:val="en-US"/>
        </w:rPr>
        <w:t xml:space="preserve"> </w:t>
      </w:r>
      <w:proofErr w:type="spellStart"/>
      <w:r w:rsidRPr="00546007">
        <w:rPr>
          <w:i/>
          <w:iCs/>
          <w:lang w:val="en-US"/>
        </w:rPr>
        <w:t>française</w:t>
      </w:r>
      <w:proofErr w:type="spellEnd"/>
      <w:r w:rsidRPr="00546007">
        <w:rPr>
          <w:i/>
          <w:iCs/>
          <w:lang w:val="en-US"/>
        </w:rPr>
        <w:t xml:space="preserve"> de Rome. </w:t>
      </w:r>
      <w:proofErr w:type="spellStart"/>
      <w:r w:rsidRPr="00546007">
        <w:rPr>
          <w:i/>
          <w:iCs/>
          <w:lang w:val="en-US"/>
        </w:rPr>
        <w:t>Moyen</w:t>
      </w:r>
      <w:proofErr w:type="spellEnd"/>
      <w:r w:rsidRPr="00546007">
        <w:rPr>
          <w:i/>
          <w:iCs/>
          <w:lang w:val="en-US"/>
        </w:rPr>
        <w:t xml:space="preserve">-Age, Temps </w:t>
      </w:r>
      <w:proofErr w:type="spellStart"/>
      <w:r w:rsidRPr="00546007">
        <w:rPr>
          <w:i/>
          <w:iCs/>
          <w:lang w:val="en-US"/>
        </w:rPr>
        <w:t>modernes</w:t>
      </w:r>
      <w:proofErr w:type="spellEnd"/>
      <w:r w:rsidRPr="00546007">
        <w:rPr>
          <w:lang w:val="en-US"/>
        </w:rPr>
        <w:t xml:space="preserve"> 99, no. 1 (1987): 405–33; Eric Nelson, “The Problem of the Prince,” in </w:t>
      </w:r>
      <w:r w:rsidRPr="00546007">
        <w:rPr>
          <w:i/>
          <w:iCs/>
          <w:lang w:val="en-US"/>
        </w:rPr>
        <w:t>The Cambridge Companion to Renaissance Philosophy</w:t>
      </w:r>
      <w:r w:rsidRPr="00546007">
        <w:rPr>
          <w:lang w:val="en-US"/>
        </w:rPr>
        <w:t xml:space="preserve">, ed. James Hankins (Cambridge University Press, 2007), 319–37; Marco </w:t>
      </w:r>
      <w:proofErr w:type="spellStart"/>
      <w:r w:rsidRPr="00546007">
        <w:rPr>
          <w:lang w:val="en-US"/>
        </w:rPr>
        <w:t>Giosi</w:t>
      </w:r>
      <w:proofErr w:type="spellEnd"/>
      <w:r w:rsidRPr="00546007">
        <w:rPr>
          <w:lang w:val="en-US"/>
        </w:rPr>
        <w:t xml:space="preserve">, “La </w:t>
      </w:r>
      <w:proofErr w:type="spellStart"/>
      <w:r w:rsidRPr="00546007">
        <w:rPr>
          <w:lang w:val="en-US"/>
        </w:rPr>
        <w:t>Tradizione</w:t>
      </w:r>
      <w:proofErr w:type="spellEnd"/>
      <w:r w:rsidRPr="00546007">
        <w:rPr>
          <w:lang w:val="en-US"/>
        </w:rPr>
        <w:t xml:space="preserve"> </w:t>
      </w:r>
      <w:proofErr w:type="spellStart"/>
      <w:r w:rsidRPr="00546007">
        <w:rPr>
          <w:lang w:val="en-US"/>
        </w:rPr>
        <w:t>degli</w:t>
      </w:r>
      <w:proofErr w:type="spellEnd"/>
      <w:r w:rsidRPr="00546007">
        <w:rPr>
          <w:lang w:val="en-US"/>
        </w:rPr>
        <w:t xml:space="preserve"> Specula </w:t>
      </w:r>
      <w:proofErr w:type="spellStart"/>
      <w:r w:rsidRPr="00546007">
        <w:rPr>
          <w:lang w:val="en-US"/>
        </w:rPr>
        <w:t>Principum</w:t>
      </w:r>
      <w:proofErr w:type="spellEnd"/>
      <w:r w:rsidRPr="00546007">
        <w:rPr>
          <w:lang w:val="en-US"/>
        </w:rPr>
        <w:t xml:space="preserve"> e la </w:t>
      </w:r>
      <w:proofErr w:type="spellStart"/>
      <w:r w:rsidRPr="00546007">
        <w:rPr>
          <w:lang w:val="en-US"/>
        </w:rPr>
        <w:t>Institutio</w:t>
      </w:r>
      <w:proofErr w:type="spellEnd"/>
      <w:r w:rsidRPr="00546007">
        <w:rPr>
          <w:lang w:val="en-US"/>
        </w:rPr>
        <w:t xml:space="preserve"> </w:t>
      </w:r>
      <w:proofErr w:type="spellStart"/>
      <w:r w:rsidRPr="00546007">
        <w:rPr>
          <w:lang w:val="en-US"/>
        </w:rPr>
        <w:t>Principis</w:t>
      </w:r>
      <w:proofErr w:type="spellEnd"/>
      <w:r w:rsidRPr="00546007">
        <w:rPr>
          <w:lang w:val="en-US"/>
        </w:rPr>
        <w:t xml:space="preserve"> </w:t>
      </w:r>
      <w:proofErr w:type="spellStart"/>
      <w:r w:rsidRPr="00546007">
        <w:rPr>
          <w:lang w:val="en-US"/>
        </w:rPr>
        <w:t>Christiani</w:t>
      </w:r>
      <w:proofErr w:type="spellEnd"/>
      <w:r w:rsidRPr="00546007">
        <w:rPr>
          <w:lang w:val="en-US"/>
        </w:rPr>
        <w:t xml:space="preserve"> di Erasmo da Rotterdam,” </w:t>
      </w:r>
      <w:proofErr w:type="spellStart"/>
      <w:r w:rsidRPr="00546007">
        <w:rPr>
          <w:i/>
          <w:iCs/>
          <w:lang w:val="en-US"/>
        </w:rPr>
        <w:t>Educazione</w:t>
      </w:r>
      <w:proofErr w:type="spellEnd"/>
      <w:r w:rsidRPr="00546007">
        <w:rPr>
          <w:i/>
          <w:iCs/>
          <w:lang w:val="en-US"/>
        </w:rPr>
        <w:t xml:space="preserve">. </w:t>
      </w:r>
      <w:proofErr w:type="spellStart"/>
      <w:r w:rsidRPr="00546007">
        <w:rPr>
          <w:i/>
          <w:iCs/>
          <w:lang w:val="en-US"/>
        </w:rPr>
        <w:t>Giornale</w:t>
      </w:r>
      <w:proofErr w:type="spellEnd"/>
      <w:r w:rsidRPr="00546007">
        <w:rPr>
          <w:i/>
          <w:iCs/>
          <w:lang w:val="en-US"/>
        </w:rPr>
        <w:t xml:space="preserve"> di </w:t>
      </w:r>
      <w:proofErr w:type="spellStart"/>
      <w:r w:rsidRPr="00546007">
        <w:rPr>
          <w:i/>
          <w:iCs/>
          <w:lang w:val="en-US"/>
        </w:rPr>
        <w:t>pedagogia</w:t>
      </w:r>
      <w:proofErr w:type="spellEnd"/>
      <w:r w:rsidRPr="00546007">
        <w:rPr>
          <w:i/>
          <w:iCs/>
          <w:lang w:val="en-US"/>
        </w:rPr>
        <w:t xml:space="preserve"> </w:t>
      </w:r>
      <w:proofErr w:type="spellStart"/>
      <w:r w:rsidRPr="00546007">
        <w:rPr>
          <w:i/>
          <w:iCs/>
          <w:lang w:val="en-US"/>
        </w:rPr>
        <w:t>critica</w:t>
      </w:r>
      <w:proofErr w:type="spellEnd"/>
      <w:r w:rsidRPr="00546007">
        <w:rPr>
          <w:lang w:val="en-US"/>
        </w:rPr>
        <w:t xml:space="preserve"> V, no. 2 (2016): 43–66.</w:t>
      </w:r>
    </w:p>
  </w:footnote>
  <w:footnote w:id="87">
    <w:p w14:paraId="30C6C6D8" w14:textId="77777777" w:rsidR="00182EED" w:rsidRDefault="00182EED" w:rsidP="001840E8">
      <w:pPr>
        <w:pStyle w:val="FootnoteText"/>
      </w:pPr>
      <w:r w:rsidRPr="00391186">
        <w:rPr>
          <w:rStyle w:val="FootnoteReference"/>
        </w:rPr>
        <w:footnoteRef/>
      </w:r>
      <w:r>
        <w:t xml:space="preserve"> </w:t>
      </w:r>
      <w:proofErr w:type="spellStart"/>
      <w:r w:rsidRPr="00917804">
        <w:rPr>
          <w:lang w:val="en-US"/>
        </w:rPr>
        <w:t>Giosi</w:t>
      </w:r>
      <w:proofErr w:type="spellEnd"/>
      <w:r w:rsidRPr="00917804">
        <w:rPr>
          <w:lang w:val="en-US"/>
        </w:rPr>
        <w:t xml:space="preserve">, “La </w:t>
      </w:r>
      <w:proofErr w:type="spellStart"/>
      <w:r w:rsidRPr="00917804">
        <w:rPr>
          <w:lang w:val="en-US"/>
        </w:rPr>
        <w:t>Tradizione</w:t>
      </w:r>
      <w:proofErr w:type="spellEnd"/>
      <w:r w:rsidRPr="00917804">
        <w:rPr>
          <w:lang w:val="en-US"/>
        </w:rPr>
        <w:t xml:space="preserve"> </w:t>
      </w:r>
      <w:proofErr w:type="spellStart"/>
      <w:r w:rsidRPr="00917804">
        <w:rPr>
          <w:lang w:val="en-US"/>
        </w:rPr>
        <w:t>degli</w:t>
      </w:r>
      <w:proofErr w:type="spellEnd"/>
      <w:r w:rsidRPr="00917804">
        <w:rPr>
          <w:lang w:val="en-US"/>
        </w:rPr>
        <w:t xml:space="preserve"> Specula </w:t>
      </w:r>
      <w:proofErr w:type="spellStart"/>
      <w:r w:rsidRPr="00917804">
        <w:rPr>
          <w:lang w:val="en-US"/>
        </w:rPr>
        <w:t>Principum</w:t>
      </w:r>
      <w:proofErr w:type="spellEnd"/>
      <w:r w:rsidRPr="00917804">
        <w:rPr>
          <w:lang w:val="en-US"/>
        </w:rPr>
        <w:t>,” 47–49.</w:t>
      </w:r>
    </w:p>
  </w:footnote>
  <w:footnote w:id="88">
    <w:p w14:paraId="54C7281B" w14:textId="77777777" w:rsidR="00182EED" w:rsidRDefault="00182EED" w:rsidP="001840E8">
      <w:pPr>
        <w:pStyle w:val="FootnoteText"/>
      </w:pPr>
      <w:r w:rsidRPr="00391186">
        <w:rPr>
          <w:rStyle w:val="FootnoteReference"/>
        </w:rPr>
        <w:footnoteRef/>
      </w:r>
      <w:r>
        <w:t xml:space="preserve"> </w:t>
      </w:r>
      <w:r w:rsidRPr="00917804">
        <w:rPr>
          <w:lang w:val="en-US"/>
        </w:rPr>
        <w:t xml:space="preserve">On princely virtues and </w:t>
      </w:r>
      <w:r>
        <w:rPr>
          <w:i/>
          <w:iCs/>
          <w:lang w:val="en-US"/>
        </w:rPr>
        <w:t>S</w:t>
      </w:r>
      <w:r w:rsidRPr="005F0F8B">
        <w:rPr>
          <w:i/>
          <w:iCs/>
          <w:lang w:val="en-US"/>
        </w:rPr>
        <w:t xml:space="preserve">peculum </w:t>
      </w:r>
      <w:proofErr w:type="spellStart"/>
      <w:r>
        <w:rPr>
          <w:i/>
          <w:iCs/>
          <w:lang w:val="en-US"/>
        </w:rPr>
        <w:t>P</w:t>
      </w:r>
      <w:r w:rsidRPr="005F0F8B">
        <w:rPr>
          <w:i/>
          <w:iCs/>
          <w:lang w:val="en-US"/>
        </w:rPr>
        <w:t>rincipum</w:t>
      </w:r>
      <w:proofErr w:type="spellEnd"/>
      <w:r w:rsidRPr="00917804">
        <w:rPr>
          <w:lang w:val="en-US"/>
        </w:rPr>
        <w:t xml:space="preserve"> literature see </w:t>
      </w:r>
      <w:proofErr w:type="spellStart"/>
      <w:r w:rsidRPr="00917804">
        <w:rPr>
          <w:lang w:val="en-US"/>
        </w:rPr>
        <w:t>István</w:t>
      </w:r>
      <w:proofErr w:type="spellEnd"/>
      <w:r w:rsidRPr="00917804">
        <w:rPr>
          <w:lang w:val="en-US"/>
        </w:rPr>
        <w:t xml:space="preserve"> Pieter </w:t>
      </w:r>
      <w:proofErr w:type="spellStart"/>
      <w:r w:rsidRPr="00917804">
        <w:rPr>
          <w:lang w:val="en-US"/>
        </w:rPr>
        <w:t>Bejczy</w:t>
      </w:r>
      <w:proofErr w:type="spellEnd"/>
      <w:r w:rsidRPr="00917804">
        <w:rPr>
          <w:lang w:val="en-US"/>
        </w:rPr>
        <w:t xml:space="preserve"> and Cary J </w:t>
      </w:r>
      <w:proofErr w:type="spellStart"/>
      <w:r w:rsidRPr="00917804">
        <w:rPr>
          <w:lang w:val="en-US"/>
        </w:rPr>
        <w:t>Nederman</w:t>
      </w:r>
      <w:proofErr w:type="spellEnd"/>
      <w:r w:rsidRPr="00917804">
        <w:rPr>
          <w:lang w:val="en-US"/>
        </w:rPr>
        <w:t xml:space="preserve">, </w:t>
      </w:r>
      <w:r w:rsidRPr="00917804">
        <w:rPr>
          <w:i/>
          <w:iCs/>
          <w:lang w:val="en-US"/>
        </w:rPr>
        <w:t>Princely Virtues in the Middle Ages, 1200-1500</w:t>
      </w:r>
      <w:r w:rsidRPr="00917804">
        <w:rPr>
          <w:lang w:val="en-US"/>
        </w:rPr>
        <w:t xml:space="preserve">, ed. </w:t>
      </w:r>
      <w:proofErr w:type="spellStart"/>
      <w:r w:rsidRPr="00917804">
        <w:rPr>
          <w:lang w:val="en-US"/>
        </w:rPr>
        <w:t>István</w:t>
      </w:r>
      <w:proofErr w:type="spellEnd"/>
      <w:r w:rsidRPr="00917804">
        <w:rPr>
          <w:lang w:val="en-US"/>
        </w:rPr>
        <w:t xml:space="preserve"> Pieter </w:t>
      </w:r>
      <w:proofErr w:type="spellStart"/>
      <w:r w:rsidRPr="00917804">
        <w:rPr>
          <w:lang w:val="en-US"/>
        </w:rPr>
        <w:t>Bejczy</w:t>
      </w:r>
      <w:proofErr w:type="spellEnd"/>
      <w:r w:rsidRPr="00917804">
        <w:rPr>
          <w:lang w:val="en-US"/>
        </w:rPr>
        <w:t xml:space="preserve"> and Cary J </w:t>
      </w:r>
      <w:proofErr w:type="spellStart"/>
      <w:r w:rsidRPr="00917804">
        <w:rPr>
          <w:lang w:val="en-US"/>
        </w:rPr>
        <w:t>Nederman</w:t>
      </w:r>
      <w:proofErr w:type="spellEnd"/>
      <w:r w:rsidRPr="00917804">
        <w:rPr>
          <w:lang w:val="en-US"/>
        </w:rPr>
        <w:t xml:space="preserve"> (Turnhout: </w:t>
      </w:r>
      <w:proofErr w:type="spellStart"/>
      <w:r w:rsidRPr="00917804">
        <w:rPr>
          <w:lang w:val="en-US"/>
        </w:rPr>
        <w:t>Brepols</w:t>
      </w:r>
      <w:proofErr w:type="spellEnd"/>
      <w:r w:rsidRPr="00917804">
        <w:rPr>
          <w:lang w:val="en-US"/>
        </w:rPr>
        <w:t xml:space="preserve">, 2007), 1–8; Ulrich Langer, “Virtue of the Prince, Virtue of the Subject,” in </w:t>
      </w:r>
      <w:r w:rsidRPr="00917804">
        <w:rPr>
          <w:i/>
          <w:iCs/>
          <w:lang w:val="en-US"/>
        </w:rPr>
        <w:t>Rethinking Virtue, Reforming Society: New Directions in Renaissance Ethics, c.1350 - c.1650</w:t>
      </w:r>
      <w:r w:rsidRPr="00917804">
        <w:rPr>
          <w:lang w:val="en-US"/>
        </w:rPr>
        <w:t xml:space="preserve">, ed. David A. Lines and Sabrina </w:t>
      </w:r>
      <w:proofErr w:type="spellStart"/>
      <w:r w:rsidRPr="00917804">
        <w:rPr>
          <w:lang w:val="en-US"/>
        </w:rPr>
        <w:t>Ebbersmeyer</w:t>
      </w:r>
      <w:proofErr w:type="spellEnd"/>
      <w:r w:rsidRPr="00917804">
        <w:rPr>
          <w:lang w:val="en-US"/>
        </w:rPr>
        <w:t xml:space="preserve"> (Turnhout: </w:t>
      </w:r>
      <w:proofErr w:type="spellStart"/>
      <w:r w:rsidRPr="00917804">
        <w:rPr>
          <w:lang w:val="en-US"/>
        </w:rPr>
        <w:t>Brepols</w:t>
      </w:r>
      <w:proofErr w:type="spellEnd"/>
      <w:r w:rsidRPr="00917804">
        <w:rPr>
          <w:lang w:val="en-US"/>
        </w:rPr>
        <w:t>, 2013), 305–12.</w:t>
      </w:r>
    </w:p>
  </w:footnote>
  <w:footnote w:id="89">
    <w:p w14:paraId="775A7344" w14:textId="77777777" w:rsidR="00182EED" w:rsidRDefault="00182EED" w:rsidP="001840E8">
      <w:pPr>
        <w:pStyle w:val="FootnoteText"/>
      </w:pPr>
      <w:r w:rsidRPr="00391186">
        <w:rPr>
          <w:rStyle w:val="FootnoteReference"/>
        </w:rPr>
        <w:footnoteRef/>
      </w:r>
      <w:r>
        <w:t xml:space="preserve"> </w:t>
      </w:r>
      <w:r w:rsidRPr="00917804">
        <w:rPr>
          <w:lang w:val="en-US"/>
        </w:rPr>
        <w:t xml:space="preserve">Gabriella </w:t>
      </w:r>
      <w:proofErr w:type="spellStart"/>
      <w:r w:rsidRPr="00917804">
        <w:rPr>
          <w:lang w:val="en-US"/>
        </w:rPr>
        <w:t>Zuccolin</w:t>
      </w:r>
      <w:proofErr w:type="spellEnd"/>
      <w:r w:rsidRPr="00917804">
        <w:rPr>
          <w:lang w:val="en-US"/>
        </w:rPr>
        <w:t xml:space="preserve">, “Princely Virtues in </w:t>
      </w:r>
      <w:r w:rsidRPr="00917804">
        <w:rPr>
          <w:i/>
          <w:iCs/>
          <w:lang w:val="en-US"/>
        </w:rPr>
        <w:t xml:space="preserve">De </w:t>
      </w:r>
      <w:proofErr w:type="spellStart"/>
      <w:r w:rsidRPr="00917804">
        <w:rPr>
          <w:i/>
          <w:iCs/>
          <w:lang w:val="en-US"/>
        </w:rPr>
        <w:t>Felici</w:t>
      </w:r>
      <w:proofErr w:type="spellEnd"/>
      <w:r w:rsidRPr="00917804">
        <w:rPr>
          <w:i/>
          <w:iCs/>
          <w:lang w:val="en-US"/>
        </w:rPr>
        <w:t xml:space="preserve"> </w:t>
      </w:r>
      <w:proofErr w:type="spellStart"/>
      <w:r w:rsidRPr="00917804">
        <w:rPr>
          <w:i/>
          <w:iCs/>
          <w:lang w:val="en-US"/>
        </w:rPr>
        <w:t>Progressu</w:t>
      </w:r>
      <w:proofErr w:type="spellEnd"/>
      <w:r w:rsidRPr="00917804">
        <w:rPr>
          <w:lang w:val="en-US"/>
        </w:rPr>
        <w:t xml:space="preserve"> of Michele Savonarola, Court Physician of the House of Este,” in </w:t>
      </w:r>
      <w:r w:rsidRPr="00917804">
        <w:rPr>
          <w:i/>
          <w:iCs/>
          <w:lang w:val="en-US"/>
        </w:rPr>
        <w:t>Princely Virtues in the Middle Ages: 1200-1500</w:t>
      </w:r>
      <w:r w:rsidRPr="00917804">
        <w:rPr>
          <w:lang w:val="en-US"/>
        </w:rPr>
        <w:t xml:space="preserve">, ed. </w:t>
      </w:r>
      <w:proofErr w:type="spellStart"/>
      <w:r w:rsidRPr="00917804">
        <w:rPr>
          <w:lang w:val="en-US"/>
        </w:rPr>
        <w:t>István</w:t>
      </w:r>
      <w:proofErr w:type="spellEnd"/>
      <w:r w:rsidRPr="00917804">
        <w:rPr>
          <w:lang w:val="en-US"/>
        </w:rPr>
        <w:t xml:space="preserve"> </w:t>
      </w:r>
      <w:proofErr w:type="spellStart"/>
      <w:r w:rsidRPr="00917804">
        <w:rPr>
          <w:lang w:val="en-US"/>
        </w:rPr>
        <w:t>Bejczy</w:t>
      </w:r>
      <w:proofErr w:type="spellEnd"/>
      <w:r w:rsidRPr="00917804">
        <w:rPr>
          <w:lang w:val="en-US"/>
        </w:rPr>
        <w:t xml:space="preserve"> and Cary J. </w:t>
      </w:r>
      <w:proofErr w:type="spellStart"/>
      <w:r w:rsidRPr="00917804">
        <w:rPr>
          <w:lang w:val="en-US"/>
        </w:rPr>
        <w:t>Nederman</w:t>
      </w:r>
      <w:proofErr w:type="spellEnd"/>
      <w:r w:rsidRPr="00917804">
        <w:rPr>
          <w:lang w:val="en-US"/>
        </w:rPr>
        <w:t xml:space="preserve"> (Turnhout: </w:t>
      </w:r>
      <w:proofErr w:type="spellStart"/>
      <w:r w:rsidRPr="00917804">
        <w:rPr>
          <w:lang w:val="en-US"/>
        </w:rPr>
        <w:t>Brepols</w:t>
      </w:r>
      <w:proofErr w:type="spellEnd"/>
      <w:r w:rsidRPr="00917804">
        <w:rPr>
          <w:lang w:val="en-US"/>
        </w:rPr>
        <w:t>, 2007), 240–41.</w:t>
      </w:r>
    </w:p>
  </w:footnote>
  <w:footnote w:id="90">
    <w:p w14:paraId="6404E146" w14:textId="77777777" w:rsidR="00182EED" w:rsidRDefault="00182EED" w:rsidP="001840E8">
      <w:pPr>
        <w:pStyle w:val="FootnoteText"/>
      </w:pPr>
      <w:r w:rsidRPr="00391186">
        <w:rPr>
          <w:rStyle w:val="FootnoteReference"/>
        </w:rPr>
        <w:footnoteRef/>
      </w:r>
      <w:r>
        <w:t xml:space="preserve"> </w:t>
      </w:r>
      <w:r w:rsidRPr="00917804">
        <w:rPr>
          <w:lang w:val="en-US"/>
        </w:rPr>
        <w:t xml:space="preserve">Jill </w:t>
      </w:r>
      <w:proofErr w:type="spellStart"/>
      <w:r w:rsidRPr="00917804">
        <w:rPr>
          <w:lang w:val="en-US"/>
        </w:rPr>
        <w:t>Kraye</w:t>
      </w:r>
      <w:proofErr w:type="spellEnd"/>
      <w:r w:rsidRPr="00917804">
        <w:rPr>
          <w:lang w:val="en-US"/>
        </w:rPr>
        <w:t xml:space="preserve">, “Moral Philosophy,” in </w:t>
      </w:r>
      <w:r w:rsidRPr="00917804">
        <w:rPr>
          <w:i/>
          <w:iCs/>
          <w:lang w:val="en-US"/>
        </w:rPr>
        <w:t>The Cambridge History of Renaissance Philosophy</w:t>
      </w:r>
      <w:r w:rsidRPr="00917804">
        <w:rPr>
          <w:lang w:val="en-US"/>
        </w:rPr>
        <w:t xml:space="preserve">, ed. Charles B. Schmitt et al. (Cambridge: Cambridge University Press, 1988), 303; On the study of Aristotle’s </w:t>
      </w:r>
      <w:r w:rsidRPr="005F0F8B">
        <w:rPr>
          <w:i/>
          <w:iCs/>
          <w:lang w:val="en-US"/>
        </w:rPr>
        <w:t>Nicomachean Ethics</w:t>
      </w:r>
      <w:r w:rsidRPr="00917804">
        <w:rPr>
          <w:lang w:val="en-US"/>
        </w:rPr>
        <w:t xml:space="preserve"> and on its commentaries see David A. Lines, </w:t>
      </w:r>
      <w:r w:rsidRPr="00917804">
        <w:rPr>
          <w:i/>
          <w:iCs/>
          <w:lang w:val="en-US"/>
        </w:rPr>
        <w:t>Aristotle’s Ethics in the Italian Renaissance (ca. 1300-1650). The Universities and the Problem of Moral Education</w:t>
      </w:r>
      <w:r w:rsidRPr="00917804">
        <w:rPr>
          <w:lang w:val="en-US"/>
        </w:rPr>
        <w:t xml:space="preserve"> (Leiden: Brill, 2002); David A. Lines, “Sources and Authorities for Moral Philosophy in the Italian Renaissance. Thomas Aquinas and Jean </w:t>
      </w:r>
      <w:proofErr w:type="spellStart"/>
      <w:r w:rsidRPr="00917804">
        <w:rPr>
          <w:lang w:val="en-US"/>
        </w:rPr>
        <w:t>Buridan</w:t>
      </w:r>
      <w:proofErr w:type="spellEnd"/>
      <w:r w:rsidRPr="00917804">
        <w:rPr>
          <w:lang w:val="en-US"/>
        </w:rPr>
        <w:t xml:space="preserve"> on Aristotle’s Ethics,” in </w:t>
      </w:r>
      <w:r w:rsidRPr="00917804">
        <w:rPr>
          <w:i/>
          <w:iCs/>
          <w:lang w:val="en-US"/>
        </w:rPr>
        <w:t>Moral Philosophy on the Threshold of Modernity</w:t>
      </w:r>
      <w:r w:rsidRPr="00917804">
        <w:rPr>
          <w:lang w:val="en-US"/>
        </w:rPr>
        <w:t xml:space="preserve">, ed. Jill </w:t>
      </w:r>
      <w:proofErr w:type="spellStart"/>
      <w:r w:rsidRPr="00917804">
        <w:rPr>
          <w:lang w:val="en-US"/>
        </w:rPr>
        <w:t>Kraye</w:t>
      </w:r>
      <w:proofErr w:type="spellEnd"/>
      <w:r w:rsidRPr="00917804">
        <w:rPr>
          <w:lang w:val="en-US"/>
        </w:rPr>
        <w:t xml:space="preserve"> and </w:t>
      </w:r>
      <w:proofErr w:type="spellStart"/>
      <w:r w:rsidRPr="00917804">
        <w:rPr>
          <w:lang w:val="en-US"/>
        </w:rPr>
        <w:t>Risto</w:t>
      </w:r>
      <w:proofErr w:type="spellEnd"/>
      <w:r w:rsidRPr="00917804">
        <w:rPr>
          <w:lang w:val="en-US"/>
        </w:rPr>
        <w:t xml:space="preserve"> Saarinen (Springer Science &amp; Business Media, 2005), 7–29; Luca Bianchi, “Renaissance Readings of the Nicomachean Ethics,” in </w:t>
      </w:r>
      <w:r w:rsidRPr="00917804">
        <w:rPr>
          <w:i/>
          <w:iCs/>
          <w:lang w:val="en-US"/>
        </w:rPr>
        <w:t>Rethinking Virtue, Reforming Society. New Directions in Renaissance Ethics, c.1350-c.1650</w:t>
      </w:r>
      <w:r w:rsidRPr="00917804">
        <w:rPr>
          <w:lang w:val="en-US"/>
        </w:rPr>
        <w:t xml:space="preserve"> (Turnhout: </w:t>
      </w:r>
      <w:proofErr w:type="spellStart"/>
      <w:r w:rsidRPr="00917804">
        <w:rPr>
          <w:lang w:val="en-US"/>
        </w:rPr>
        <w:t>Brepols</w:t>
      </w:r>
      <w:proofErr w:type="spellEnd"/>
      <w:r w:rsidRPr="00917804">
        <w:rPr>
          <w:lang w:val="en-US"/>
        </w:rPr>
        <w:t xml:space="preserve">, 2013), 131–67; See also David A. Lines and Jill </w:t>
      </w:r>
      <w:proofErr w:type="spellStart"/>
      <w:r w:rsidRPr="00917804">
        <w:rPr>
          <w:lang w:val="en-US"/>
        </w:rPr>
        <w:t>Kraye</w:t>
      </w:r>
      <w:proofErr w:type="spellEnd"/>
      <w:r w:rsidRPr="00917804">
        <w:rPr>
          <w:lang w:val="en-US"/>
        </w:rPr>
        <w:t xml:space="preserve">, “Sources for Ethics in the Renaissance: The Expanding Canon,” in </w:t>
      </w:r>
      <w:r w:rsidRPr="00917804">
        <w:rPr>
          <w:i/>
          <w:iCs/>
          <w:lang w:val="en-US"/>
        </w:rPr>
        <w:t>Rethinking Virtue, Reforming Society: New Directions in Renaissance Ethics, c.1350-c.1650</w:t>
      </w:r>
      <w:r w:rsidRPr="00917804">
        <w:rPr>
          <w:lang w:val="en-US"/>
        </w:rPr>
        <w:t xml:space="preserve">, ed. David A. Lines and Sabrina </w:t>
      </w:r>
      <w:proofErr w:type="spellStart"/>
      <w:r w:rsidRPr="00917804">
        <w:rPr>
          <w:lang w:val="en-US"/>
        </w:rPr>
        <w:t>Ebbersmeyer</w:t>
      </w:r>
      <w:proofErr w:type="spellEnd"/>
      <w:r w:rsidRPr="00917804">
        <w:rPr>
          <w:lang w:val="en-US"/>
        </w:rPr>
        <w:t xml:space="preserve"> (Turnhout: </w:t>
      </w:r>
      <w:proofErr w:type="spellStart"/>
      <w:r w:rsidRPr="00917804">
        <w:rPr>
          <w:lang w:val="en-US"/>
        </w:rPr>
        <w:t>Brepols</w:t>
      </w:r>
      <w:proofErr w:type="spellEnd"/>
      <w:r w:rsidRPr="00917804">
        <w:rPr>
          <w:lang w:val="en-US"/>
        </w:rPr>
        <w:t>, 2013), 29–56.</w:t>
      </w:r>
    </w:p>
  </w:footnote>
  <w:footnote w:id="91">
    <w:p w14:paraId="2A433816" w14:textId="77777777" w:rsidR="00182EED" w:rsidRDefault="00182EED" w:rsidP="001840E8">
      <w:pPr>
        <w:pStyle w:val="FootnoteText"/>
      </w:pPr>
      <w:r w:rsidRPr="00391186">
        <w:rPr>
          <w:rStyle w:val="FootnoteReference"/>
        </w:rPr>
        <w:footnoteRef/>
      </w:r>
      <w:r>
        <w:t xml:space="preserve"> </w:t>
      </w:r>
      <w:proofErr w:type="spellStart"/>
      <w:r w:rsidRPr="00917804">
        <w:rPr>
          <w:lang w:val="en-US"/>
        </w:rPr>
        <w:t>Kraye</w:t>
      </w:r>
      <w:proofErr w:type="spellEnd"/>
      <w:r w:rsidRPr="00917804">
        <w:rPr>
          <w:lang w:val="en-US"/>
        </w:rPr>
        <w:t>, “Moral Philosophy,” 319–21, 356–59, 367–70, 382–86.</w:t>
      </w:r>
    </w:p>
  </w:footnote>
  <w:footnote w:id="92">
    <w:p w14:paraId="6FCB6EEB" w14:textId="77777777" w:rsidR="00182EED" w:rsidRDefault="00182EED" w:rsidP="001840E8">
      <w:pPr>
        <w:pStyle w:val="FootnoteText"/>
      </w:pPr>
      <w:r w:rsidRPr="00391186">
        <w:rPr>
          <w:rStyle w:val="FootnoteReference"/>
        </w:rPr>
        <w:footnoteRef/>
      </w:r>
      <w:r>
        <w:t xml:space="preserve"> </w:t>
      </w:r>
      <w:r w:rsidRPr="00917804">
        <w:rPr>
          <w:lang w:val="en-US"/>
        </w:rPr>
        <w:t xml:space="preserve">Ibid., 334–37; On moral philosophy see also David A. Lines, “The Importance of Being Good. Moral Philosophy in the Italian Universities, 1300-1600,” </w:t>
      </w:r>
      <w:proofErr w:type="spellStart"/>
      <w:r w:rsidRPr="00917804">
        <w:rPr>
          <w:i/>
          <w:iCs/>
          <w:lang w:val="en-US"/>
        </w:rPr>
        <w:t>Rinascimento</w:t>
      </w:r>
      <w:proofErr w:type="spellEnd"/>
      <w:r w:rsidRPr="00917804">
        <w:rPr>
          <w:lang w:val="en-US"/>
        </w:rPr>
        <w:t xml:space="preserve"> II s., 36 (1996): 139–93.</w:t>
      </w:r>
    </w:p>
  </w:footnote>
  <w:footnote w:id="93">
    <w:p w14:paraId="6A6B1FC9" w14:textId="77777777" w:rsidR="00182EED" w:rsidRDefault="00182EED" w:rsidP="001840E8">
      <w:pPr>
        <w:pStyle w:val="FootnoteText"/>
      </w:pPr>
      <w:r w:rsidRPr="00391186">
        <w:rPr>
          <w:rStyle w:val="FootnoteReference"/>
        </w:rPr>
        <w:footnoteRef/>
      </w:r>
      <w:r>
        <w:t xml:space="preserve"> </w:t>
      </w:r>
      <w:r w:rsidRPr="00767AF5">
        <w:rPr>
          <w:lang w:val="en-US"/>
        </w:rPr>
        <w:t xml:space="preserve">“In </w:t>
      </w:r>
      <w:proofErr w:type="spellStart"/>
      <w:r w:rsidRPr="00767AF5">
        <w:rPr>
          <w:lang w:val="en-US"/>
        </w:rPr>
        <w:t>horum</w:t>
      </w:r>
      <w:proofErr w:type="spellEnd"/>
      <w:r w:rsidRPr="00767AF5">
        <w:rPr>
          <w:lang w:val="en-US"/>
        </w:rPr>
        <w:t xml:space="preserve"> [philosophy] </w:t>
      </w:r>
      <w:proofErr w:type="spellStart"/>
      <w:r w:rsidRPr="00767AF5">
        <w:rPr>
          <w:lang w:val="en-US"/>
        </w:rPr>
        <w:t>igitur</w:t>
      </w:r>
      <w:proofErr w:type="spellEnd"/>
      <w:r w:rsidRPr="00767AF5">
        <w:rPr>
          <w:lang w:val="en-US"/>
        </w:rPr>
        <w:t xml:space="preserve"> </w:t>
      </w:r>
      <w:proofErr w:type="spellStart"/>
      <w:r w:rsidRPr="00767AF5">
        <w:rPr>
          <w:lang w:val="en-US"/>
        </w:rPr>
        <w:t>altero</w:t>
      </w:r>
      <w:proofErr w:type="spellEnd"/>
      <w:r w:rsidRPr="00767AF5">
        <w:rPr>
          <w:lang w:val="en-US"/>
        </w:rPr>
        <w:t xml:space="preserve"> </w:t>
      </w:r>
      <w:proofErr w:type="spellStart"/>
      <w:r w:rsidRPr="00767AF5">
        <w:rPr>
          <w:lang w:val="en-US"/>
        </w:rPr>
        <w:t>praecepta</w:t>
      </w:r>
      <w:proofErr w:type="spellEnd"/>
      <w:r w:rsidRPr="00767AF5">
        <w:rPr>
          <w:lang w:val="en-US"/>
        </w:rPr>
        <w:t xml:space="preserve"> quid </w:t>
      </w:r>
      <w:proofErr w:type="spellStart"/>
      <w:r w:rsidRPr="00767AF5">
        <w:rPr>
          <w:lang w:val="en-US"/>
        </w:rPr>
        <w:t>sequi</w:t>
      </w:r>
      <w:proofErr w:type="spellEnd"/>
      <w:r w:rsidRPr="00767AF5">
        <w:rPr>
          <w:lang w:val="en-US"/>
        </w:rPr>
        <w:t xml:space="preserve"> </w:t>
      </w:r>
      <w:proofErr w:type="spellStart"/>
      <w:r w:rsidRPr="00767AF5">
        <w:rPr>
          <w:lang w:val="en-US"/>
        </w:rPr>
        <w:t>quidve</w:t>
      </w:r>
      <w:proofErr w:type="spellEnd"/>
      <w:r w:rsidRPr="00767AF5">
        <w:rPr>
          <w:lang w:val="en-US"/>
        </w:rPr>
        <w:t xml:space="preserve"> </w:t>
      </w:r>
      <w:proofErr w:type="spellStart"/>
      <w:r w:rsidRPr="00767AF5">
        <w:rPr>
          <w:lang w:val="en-US"/>
        </w:rPr>
        <w:t>fugere</w:t>
      </w:r>
      <w:proofErr w:type="spellEnd"/>
      <w:r w:rsidRPr="00767AF5">
        <w:rPr>
          <w:lang w:val="en-US"/>
        </w:rPr>
        <w:t xml:space="preserve"> </w:t>
      </w:r>
      <w:proofErr w:type="spellStart"/>
      <w:r w:rsidRPr="00767AF5">
        <w:rPr>
          <w:lang w:val="en-US"/>
        </w:rPr>
        <w:t>conveniat</w:t>
      </w:r>
      <w:proofErr w:type="spellEnd"/>
      <w:r w:rsidRPr="00767AF5">
        <w:rPr>
          <w:lang w:val="en-US"/>
        </w:rPr>
        <w:t xml:space="preserve">, in </w:t>
      </w:r>
      <w:proofErr w:type="spellStart"/>
      <w:r w:rsidRPr="00767AF5">
        <w:rPr>
          <w:lang w:val="en-US"/>
        </w:rPr>
        <w:t>altero</w:t>
      </w:r>
      <w:proofErr w:type="spellEnd"/>
      <w:r w:rsidRPr="00767AF5">
        <w:rPr>
          <w:lang w:val="en-US"/>
        </w:rPr>
        <w:t xml:space="preserve"> [history] exempla </w:t>
      </w:r>
      <w:proofErr w:type="spellStart"/>
      <w:r w:rsidRPr="00767AF5">
        <w:rPr>
          <w:lang w:val="en-US"/>
        </w:rPr>
        <w:t>invenimus</w:t>
      </w:r>
      <w:proofErr w:type="spellEnd"/>
      <w:r w:rsidRPr="00767AF5">
        <w:rPr>
          <w:lang w:val="en-US"/>
        </w:rPr>
        <w:t xml:space="preserve">”. </w:t>
      </w:r>
      <w:proofErr w:type="spellStart"/>
      <w:r w:rsidRPr="00767AF5">
        <w:rPr>
          <w:lang w:val="en-US"/>
        </w:rPr>
        <w:t>Vergerio</w:t>
      </w:r>
      <w:proofErr w:type="spellEnd"/>
      <w:r w:rsidRPr="00767AF5">
        <w:rPr>
          <w:lang w:val="en-US"/>
        </w:rPr>
        <w:t xml:space="preserve">, “The Character and Studies Befitting a Free-Born Youth,” 48–49; also quoted in </w:t>
      </w:r>
      <w:proofErr w:type="spellStart"/>
      <w:r w:rsidRPr="00767AF5">
        <w:rPr>
          <w:lang w:val="en-US"/>
        </w:rPr>
        <w:t>Grendler</w:t>
      </w:r>
      <w:proofErr w:type="spellEnd"/>
      <w:r w:rsidRPr="00767AF5">
        <w:rPr>
          <w:lang w:val="en-US"/>
        </w:rPr>
        <w:t xml:space="preserve">, </w:t>
      </w:r>
      <w:r w:rsidRPr="00767AF5">
        <w:rPr>
          <w:i/>
          <w:iCs/>
          <w:lang w:val="en-US"/>
        </w:rPr>
        <w:t>Schooling in Renaissance Italy</w:t>
      </w:r>
      <w:r w:rsidRPr="00767AF5">
        <w:rPr>
          <w:lang w:val="en-US"/>
        </w:rPr>
        <w:t xml:space="preserve">, 118; and in Italian in </w:t>
      </w:r>
      <w:proofErr w:type="spellStart"/>
      <w:r w:rsidRPr="00767AF5">
        <w:rPr>
          <w:lang w:val="en-US"/>
        </w:rPr>
        <w:t>Garin</w:t>
      </w:r>
      <w:proofErr w:type="spellEnd"/>
      <w:r w:rsidRPr="00767AF5">
        <w:rPr>
          <w:lang w:val="en-US"/>
        </w:rPr>
        <w:t xml:space="preserve">, </w:t>
      </w:r>
      <w:proofErr w:type="spellStart"/>
      <w:r w:rsidRPr="00767AF5">
        <w:rPr>
          <w:i/>
          <w:iCs/>
          <w:lang w:val="en-US"/>
        </w:rPr>
        <w:t>L’educazione</w:t>
      </w:r>
      <w:proofErr w:type="spellEnd"/>
      <w:r w:rsidRPr="00767AF5">
        <w:rPr>
          <w:i/>
          <w:iCs/>
          <w:lang w:val="en-US"/>
        </w:rPr>
        <w:t xml:space="preserve"> </w:t>
      </w:r>
      <w:proofErr w:type="spellStart"/>
      <w:r w:rsidRPr="00767AF5">
        <w:rPr>
          <w:i/>
          <w:iCs/>
          <w:lang w:val="en-US"/>
        </w:rPr>
        <w:t>umanistica</w:t>
      </w:r>
      <w:proofErr w:type="spellEnd"/>
      <w:r w:rsidRPr="00767AF5">
        <w:rPr>
          <w:i/>
          <w:iCs/>
          <w:lang w:val="en-US"/>
        </w:rPr>
        <w:t xml:space="preserve"> in Italia</w:t>
      </w:r>
      <w:r w:rsidRPr="00767AF5">
        <w:rPr>
          <w:lang w:val="en-US"/>
        </w:rPr>
        <w:t>, 79.</w:t>
      </w:r>
    </w:p>
  </w:footnote>
  <w:footnote w:id="94">
    <w:p w14:paraId="2AAF49F2" w14:textId="77777777" w:rsidR="00182EED" w:rsidRDefault="00182EED" w:rsidP="001840E8">
      <w:pPr>
        <w:pStyle w:val="FootnoteText"/>
      </w:pPr>
      <w:r w:rsidRPr="00391186">
        <w:rPr>
          <w:rStyle w:val="FootnoteReference"/>
        </w:rPr>
        <w:footnoteRef/>
      </w:r>
      <w:r>
        <w:t xml:space="preserve"> </w:t>
      </w:r>
      <w:r w:rsidRPr="00767AF5">
        <w:rPr>
          <w:lang w:val="en-US"/>
        </w:rPr>
        <w:t xml:space="preserve">William H. Woodward, </w:t>
      </w:r>
      <w:r w:rsidRPr="00767AF5">
        <w:rPr>
          <w:i/>
          <w:iCs/>
          <w:lang w:val="en-US"/>
        </w:rPr>
        <w:t>Studies in Education during the Age of the Renaissance 1400-1600</w:t>
      </w:r>
      <w:r w:rsidRPr="00767AF5">
        <w:rPr>
          <w:lang w:val="en-US"/>
        </w:rPr>
        <w:t xml:space="preserve"> (Cambridge: University Press, 1906), 44; </w:t>
      </w:r>
      <w:proofErr w:type="spellStart"/>
      <w:r w:rsidRPr="00767AF5">
        <w:rPr>
          <w:lang w:val="en-US"/>
        </w:rPr>
        <w:t>Grendler</w:t>
      </w:r>
      <w:proofErr w:type="spellEnd"/>
      <w:r w:rsidRPr="00767AF5">
        <w:rPr>
          <w:lang w:val="en-US"/>
        </w:rPr>
        <w:t xml:space="preserve">, </w:t>
      </w:r>
      <w:r w:rsidRPr="00767AF5">
        <w:rPr>
          <w:i/>
          <w:iCs/>
          <w:lang w:val="en-US"/>
        </w:rPr>
        <w:t>Schooling in Renaissance Italy</w:t>
      </w:r>
      <w:r w:rsidRPr="00767AF5">
        <w:rPr>
          <w:lang w:val="en-US"/>
        </w:rPr>
        <w:t>, 255–56.</w:t>
      </w:r>
    </w:p>
  </w:footnote>
  <w:footnote w:id="95">
    <w:p w14:paraId="21B4A048" w14:textId="77777777" w:rsidR="00182EED" w:rsidRDefault="00182EED" w:rsidP="001840E8">
      <w:pPr>
        <w:pStyle w:val="FootnoteText"/>
      </w:pPr>
      <w:r w:rsidRPr="00391186">
        <w:rPr>
          <w:rStyle w:val="FootnoteReference"/>
        </w:rPr>
        <w:footnoteRef/>
      </w:r>
      <w:r>
        <w:t xml:space="preserve"> </w:t>
      </w:r>
      <w:r w:rsidRPr="00BD09AC">
        <w:rPr>
          <w:lang w:val="en-US"/>
        </w:rPr>
        <w:t>“</w:t>
      </w:r>
      <w:proofErr w:type="spellStart"/>
      <w:r w:rsidRPr="00BD09AC">
        <w:rPr>
          <w:lang w:val="en-US"/>
        </w:rPr>
        <w:t>Utilissimum</w:t>
      </w:r>
      <w:proofErr w:type="spellEnd"/>
      <w:r w:rsidRPr="00BD09AC">
        <w:rPr>
          <w:lang w:val="en-US"/>
        </w:rPr>
        <w:t xml:space="preserve"> ergo </w:t>
      </w:r>
      <w:proofErr w:type="spellStart"/>
      <w:r w:rsidRPr="00BD09AC">
        <w:rPr>
          <w:lang w:val="en-US"/>
        </w:rPr>
        <w:t>est</w:t>
      </w:r>
      <w:proofErr w:type="spellEnd"/>
      <w:r w:rsidRPr="00BD09AC">
        <w:rPr>
          <w:lang w:val="en-US"/>
        </w:rPr>
        <w:t xml:space="preserve"> </w:t>
      </w:r>
      <w:proofErr w:type="spellStart"/>
      <w:r w:rsidRPr="00BD09AC">
        <w:rPr>
          <w:lang w:val="en-US"/>
        </w:rPr>
        <w:t>historias</w:t>
      </w:r>
      <w:proofErr w:type="spellEnd"/>
      <w:r w:rsidRPr="00BD09AC">
        <w:rPr>
          <w:lang w:val="en-US"/>
        </w:rPr>
        <w:t xml:space="preserve"> </w:t>
      </w:r>
      <w:proofErr w:type="spellStart"/>
      <w:r w:rsidRPr="00BD09AC">
        <w:rPr>
          <w:lang w:val="en-US"/>
        </w:rPr>
        <w:t>quamplures</w:t>
      </w:r>
      <w:proofErr w:type="spellEnd"/>
      <w:r w:rsidRPr="00BD09AC">
        <w:rPr>
          <w:lang w:val="en-US"/>
        </w:rPr>
        <w:t xml:space="preserve"> </w:t>
      </w:r>
      <w:proofErr w:type="spellStart"/>
      <w:r w:rsidRPr="00BD09AC">
        <w:rPr>
          <w:lang w:val="en-US"/>
        </w:rPr>
        <w:t>nosse</w:t>
      </w:r>
      <w:proofErr w:type="spellEnd"/>
      <w:r w:rsidRPr="00BD09AC">
        <w:rPr>
          <w:lang w:val="en-US"/>
        </w:rPr>
        <w:t xml:space="preserve"> </w:t>
      </w:r>
      <w:proofErr w:type="spellStart"/>
      <w:r w:rsidRPr="00BD09AC">
        <w:rPr>
          <w:lang w:val="en-US"/>
        </w:rPr>
        <w:t>atque</w:t>
      </w:r>
      <w:proofErr w:type="spellEnd"/>
      <w:r w:rsidRPr="00BD09AC">
        <w:rPr>
          <w:lang w:val="en-US"/>
        </w:rPr>
        <w:t xml:space="preserve"> in his se </w:t>
      </w:r>
      <w:proofErr w:type="spellStart"/>
      <w:r w:rsidRPr="00BD09AC">
        <w:rPr>
          <w:lang w:val="en-US"/>
        </w:rPr>
        <w:t>exercere</w:t>
      </w:r>
      <w:proofErr w:type="spellEnd"/>
      <w:r w:rsidRPr="00BD09AC">
        <w:rPr>
          <w:lang w:val="en-US"/>
        </w:rPr>
        <w:t xml:space="preserve">, </w:t>
      </w:r>
      <w:proofErr w:type="spellStart"/>
      <w:r w:rsidRPr="00BD09AC">
        <w:rPr>
          <w:lang w:val="en-US"/>
        </w:rPr>
        <w:t>ut</w:t>
      </w:r>
      <w:proofErr w:type="spellEnd"/>
      <w:r w:rsidRPr="00BD09AC">
        <w:rPr>
          <w:lang w:val="en-US"/>
        </w:rPr>
        <w:t xml:space="preserve"> </w:t>
      </w:r>
      <w:proofErr w:type="spellStart"/>
      <w:r w:rsidRPr="00BD09AC">
        <w:rPr>
          <w:lang w:val="en-US"/>
        </w:rPr>
        <w:t>aliorum</w:t>
      </w:r>
      <w:proofErr w:type="spellEnd"/>
      <w:r w:rsidRPr="00BD09AC">
        <w:rPr>
          <w:lang w:val="en-US"/>
        </w:rPr>
        <w:t xml:space="preserve"> </w:t>
      </w:r>
      <w:proofErr w:type="spellStart"/>
      <w:r w:rsidRPr="00BD09AC">
        <w:rPr>
          <w:lang w:val="en-US"/>
        </w:rPr>
        <w:t>exemplo</w:t>
      </w:r>
      <w:proofErr w:type="spellEnd"/>
      <w:r w:rsidRPr="00BD09AC">
        <w:rPr>
          <w:lang w:val="en-US"/>
        </w:rPr>
        <w:t xml:space="preserve"> vel </w:t>
      </w:r>
      <w:proofErr w:type="spellStart"/>
      <w:r w:rsidRPr="00BD09AC">
        <w:rPr>
          <w:lang w:val="en-US"/>
        </w:rPr>
        <w:t>utilia</w:t>
      </w:r>
      <w:proofErr w:type="spellEnd"/>
      <w:r w:rsidRPr="00BD09AC">
        <w:rPr>
          <w:lang w:val="en-US"/>
        </w:rPr>
        <w:t xml:space="preserve"> </w:t>
      </w:r>
      <w:proofErr w:type="spellStart"/>
      <w:r w:rsidRPr="00BD09AC">
        <w:rPr>
          <w:lang w:val="en-US"/>
        </w:rPr>
        <w:t>sequi</w:t>
      </w:r>
      <w:proofErr w:type="spellEnd"/>
      <w:r w:rsidRPr="00BD09AC">
        <w:rPr>
          <w:lang w:val="en-US"/>
        </w:rPr>
        <w:t xml:space="preserve"> vel </w:t>
      </w:r>
      <w:proofErr w:type="spellStart"/>
      <w:r w:rsidRPr="00BD09AC">
        <w:rPr>
          <w:lang w:val="en-US"/>
        </w:rPr>
        <w:t>noxia</w:t>
      </w:r>
      <w:proofErr w:type="spellEnd"/>
      <w:r w:rsidRPr="00BD09AC">
        <w:rPr>
          <w:lang w:val="en-US"/>
        </w:rPr>
        <w:t xml:space="preserve"> </w:t>
      </w:r>
      <w:proofErr w:type="spellStart"/>
      <w:r w:rsidRPr="00BD09AC">
        <w:rPr>
          <w:lang w:val="en-US"/>
        </w:rPr>
        <w:t>vitare</w:t>
      </w:r>
      <w:proofErr w:type="spellEnd"/>
      <w:r w:rsidRPr="00BD09AC">
        <w:rPr>
          <w:lang w:val="en-US"/>
        </w:rPr>
        <w:t xml:space="preserve"> </w:t>
      </w:r>
      <w:proofErr w:type="spellStart"/>
      <w:r w:rsidRPr="00BD09AC">
        <w:rPr>
          <w:lang w:val="en-US"/>
        </w:rPr>
        <w:t>scias</w:t>
      </w:r>
      <w:proofErr w:type="spellEnd"/>
      <w:r w:rsidRPr="00BD09AC">
        <w:rPr>
          <w:lang w:val="en-US"/>
        </w:rPr>
        <w:t xml:space="preserve">.” </w:t>
      </w:r>
      <w:proofErr w:type="spellStart"/>
      <w:r w:rsidRPr="00BD09AC">
        <w:rPr>
          <w:lang w:val="en-US"/>
        </w:rPr>
        <w:t>Piccolomini</w:t>
      </w:r>
      <w:proofErr w:type="spellEnd"/>
      <w:r w:rsidRPr="00BD09AC">
        <w:rPr>
          <w:lang w:val="en-US"/>
        </w:rPr>
        <w:t xml:space="preserve">, “De </w:t>
      </w:r>
      <w:proofErr w:type="spellStart"/>
      <w:r w:rsidRPr="00BD09AC">
        <w:rPr>
          <w:lang w:val="en-US"/>
        </w:rPr>
        <w:t>Liberorum</w:t>
      </w:r>
      <w:proofErr w:type="spellEnd"/>
      <w:r w:rsidRPr="00BD09AC">
        <w:rPr>
          <w:lang w:val="en-US"/>
        </w:rPr>
        <w:t xml:space="preserve"> </w:t>
      </w:r>
      <w:proofErr w:type="spellStart"/>
      <w:r w:rsidRPr="00BD09AC">
        <w:rPr>
          <w:lang w:val="en-US"/>
        </w:rPr>
        <w:t>Educatione</w:t>
      </w:r>
      <w:proofErr w:type="spellEnd"/>
      <w:r w:rsidRPr="00BD09AC">
        <w:rPr>
          <w:lang w:val="en-US"/>
        </w:rPr>
        <w:t>,” 224–25.</w:t>
      </w:r>
    </w:p>
  </w:footnote>
  <w:footnote w:id="96">
    <w:p w14:paraId="2975BC0E" w14:textId="77777777" w:rsidR="00182EED" w:rsidRDefault="00182EED" w:rsidP="001840E8">
      <w:pPr>
        <w:pStyle w:val="FootnoteText"/>
      </w:pPr>
      <w:r w:rsidRPr="00391186">
        <w:rPr>
          <w:rStyle w:val="FootnoteReference"/>
        </w:rPr>
        <w:footnoteRef/>
      </w:r>
      <w:r>
        <w:t xml:space="preserve"> </w:t>
      </w:r>
      <w:r>
        <w:rPr>
          <w:noProof/>
        </w:rPr>
        <w:t>Ibid., 127.</w:t>
      </w:r>
    </w:p>
  </w:footnote>
  <w:footnote w:id="97">
    <w:p w14:paraId="24BC2D05" w14:textId="77777777" w:rsidR="00182EED" w:rsidRDefault="00182EED" w:rsidP="001840E8">
      <w:pPr>
        <w:pStyle w:val="FootnoteText"/>
      </w:pPr>
      <w:r w:rsidRPr="00391186">
        <w:rPr>
          <w:rStyle w:val="FootnoteReference"/>
        </w:rPr>
        <w:footnoteRef/>
      </w:r>
      <w:r>
        <w:t xml:space="preserve"> </w:t>
      </w:r>
      <w:r w:rsidRPr="0096534A">
        <w:rPr>
          <w:lang w:val="en-US"/>
        </w:rPr>
        <w:t xml:space="preserve">Battista Guarino, “De </w:t>
      </w:r>
      <w:proofErr w:type="spellStart"/>
      <w:r w:rsidRPr="0096534A">
        <w:rPr>
          <w:lang w:val="en-US"/>
        </w:rPr>
        <w:t>Ordine</w:t>
      </w:r>
      <w:proofErr w:type="spellEnd"/>
      <w:r w:rsidRPr="0096534A">
        <w:rPr>
          <w:lang w:val="en-US"/>
        </w:rPr>
        <w:t xml:space="preserve"> </w:t>
      </w:r>
      <w:proofErr w:type="spellStart"/>
      <w:r w:rsidRPr="0096534A">
        <w:rPr>
          <w:lang w:val="en-US"/>
        </w:rPr>
        <w:t>Docenti</w:t>
      </w:r>
      <w:proofErr w:type="spellEnd"/>
      <w:r w:rsidRPr="0096534A">
        <w:rPr>
          <w:lang w:val="en-US"/>
        </w:rPr>
        <w:t xml:space="preserve"> et </w:t>
      </w:r>
      <w:proofErr w:type="spellStart"/>
      <w:r w:rsidRPr="0096534A">
        <w:rPr>
          <w:lang w:val="en-US"/>
        </w:rPr>
        <w:t>Studendi</w:t>
      </w:r>
      <w:proofErr w:type="spellEnd"/>
      <w:r w:rsidRPr="0096534A">
        <w:rPr>
          <w:lang w:val="en-US"/>
        </w:rPr>
        <w:t xml:space="preserve">,” in </w:t>
      </w:r>
      <w:r w:rsidRPr="0096534A">
        <w:rPr>
          <w:i/>
          <w:iCs/>
          <w:lang w:val="en-US"/>
        </w:rPr>
        <w:t>Humanist Educational Treatises</w:t>
      </w:r>
      <w:r w:rsidRPr="0096534A">
        <w:rPr>
          <w:lang w:val="en-US"/>
        </w:rPr>
        <w:t xml:space="preserve">, ed. </w:t>
      </w:r>
      <w:r>
        <w:rPr>
          <w:lang w:val="en-US"/>
        </w:rPr>
        <w:t xml:space="preserve">and trans. </w:t>
      </w:r>
      <w:r w:rsidRPr="0096534A">
        <w:rPr>
          <w:lang w:val="en-US"/>
        </w:rPr>
        <w:t xml:space="preserve">Craig W. </w:t>
      </w:r>
      <w:proofErr w:type="spellStart"/>
      <w:r w:rsidRPr="0096534A">
        <w:rPr>
          <w:lang w:val="en-US"/>
        </w:rPr>
        <w:t>Kallendorf</w:t>
      </w:r>
      <w:proofErr w:type="spellEnd"/>
      <w:r>
        <w:rPr>
          <w:lang w:val="en-US"/>
        </w:rPr>
        <w:t xml:space="preserve"> </w:t>
      </w:r>
      <w:r w:rsidRPr="0096534A">
        <w:rPr>
          <w:lang w:val="en-US"/>
        </w:rPr>
        <w:t>(Cambridge, MA, and London: Harvard University Press, 2002), 284–85.</w:t>
      </w:r>
    </w:p>
  </w:footnote>
  <w:footnote w:id="98">
    <w:p w14:paraId="6217DAAD" w14:textId="77777777" w:rsidR="00182EED" w:rsidRDefault="00182EED" w:rsidP="001840E8">
      <w:pPr>
        <w:pStyle w:val="FootnoteText"/>
      </w:pPr>
      <w:r w:rsidRPr="00391186">
        <w:rPr>
          <w:rStyle w:val="FootnoteReference"/>
        </w:rPr>
        <w:footnoteRef/>
      </w:r>
      <w:r>
        <w:t xml:space="preserve"> </w:t>
      </w:r>
      <w:r w:rsidRPr="0096534A">
        <w:rPr>
          <w:lang w:val="en-US"/>
        </w:rPr>
        <w:t>Ibid., 292–93.</w:t>
      </w:r>
    </w:p>
  </w:footnote>
  <w:footnote w:id="99">
    <w:p w14:paraId="482D1216" w14:textId="77777777" w:rsidR="00182EED" w:rsidRDefault="00182EED" w:rsidP="001840E8">
      <w:pPr>
        <w:pStyle w:val="FootnoteText"/>
      </w:pPr>
      <w:r w:rsidRPr="00391186">
        <w:rPr>
          <w:rStyle w:val="FootnoteReference"/>
        </w:rPr>
        <w:footnoteRef/>
      </w:r>
      <w:r>
        <w:t xml:space="preserve"> </w:t>
      </w:r>
      <w:proofErr w:type="spellStart"/>
      <w:r w:rsidRPr="0096534A">
        <w:rPr>
          <w:lang w:val="en-US"/>
        </w:rPr>
        <w:t>Grendler</w:t>
      </w:r>
      <w:proofErr w:type="spellEnd"/>
      <w:r w:rsidRPr="0096534A">
        <w:rPr>
          <w:lang w:val="en-US"/>
        </w:rPr>
        <w:t xml:space="preserve">, </w:t>
      </w:r>
      <w:r w:rsidRPr="0096534A">
        <w:rPr>
          <w:i/>
          <w:iCs/>
          <w:lang w:val="en-US"/>
        </w:rPr>
        <w:t>Schooling in Renaissance Italy</w:t>
      </w:r>
      <w:r w:rsidRPr="0096534A">
        <w:rPr>
          <w:lang w:val="en-US"/>
        </w:rPr>
        <w:t xml:space="preserve">, 119, reports Bruni’s treatise as being written between 1423 and 1426; Woodward, </w:t>
      </w:r>
      <w:proofErr w:type="spellStart"/>
      <w:r w:rsidRPr="0096534A">
        <w:rPr>
          <w:i/>
          <w:iCs/>
          <w:lang w:val="en-US"/>
        </w:rPr>
        <w:t>Vittorino</w:t>
      </w:r>
      <w:proofErr w:type="spellEnd"/>
      <w:r w:rsidRPr="0096534A">
        <w:rPr>
          <w:i/>
          <w:iCs/>
          <w:lang w:val="en-US"/>
        </w:rPr>
        <w:t xml:space="preserve"> da Feltre</w:t>
      </w:r>
      <w:r w:rsidRPr="0096534A">
        <w:rPr>
          <w:lang w:val="en-US"/>
        </w:rPr>
        <w:t xml:space="preserve">, 119–20, believes it was composed not much later than 1405, the year of Baptista’s marriage. At least three Italian fifteenth-century editions of Bruni’s treatise survived; see Woodward, </w:t>
      </w:r>
      <w:proofErr w:type="spellStart"/>
      <w:r w:rsidRPr="005F0F8B">
        <w:rPr>
          <w:i/>
          <w:iCs/>
          <w:lang w:val="en-US"/>
        </w:rPr>
        <w:t>Vittorino</w:t>
      </w:r>
      <w:proofErr w:type="spellEnd"/>
      <w:r w:rsidRPr="005F0F8B">
        <w:rPr>
          <w:i/>
          <w:iCs/>
          <w:lang w:val="en-US"/>
        </w:rPr>
        <w:t xml:space="preserve"> da Feltre</w:t>
      </w:r>
      <w:r w:rsidRPr="0096534A">
        <w:rPr>
          <w:lang w:val="en-US"/>
        </w:rPr>
        <w:t>, 122.</w:t>
      </w:r>
    </w:p>
  </w:footnote>
  <w:footnote w:id="100">
    <w:p w14:paraId="041BBDC6" w14:textId="77777777" w:rsidR="00182EED" w:rsidRDefault="00182EED" w:rsidP="001840E8">
      <w:pPr>
        <w:pStyle w:val="FootnoteText"/>
      </w:pPr>
      <w:r w:rsidRPr="00391186">
        <w:rPr>
          <w:rStyle w:val="FootnoteReference"/>
        </w:rPr>
        <w:footnoteRef/>
      </w:r>
      <w:r>
        <w:t xml:space="preserve"> </w:t>
      </w:r>
      <w:r w:rsidRPr="0096534A">
        <w:rPr>
          <w:lang w:val="en-US"/>
        </w:rPr>
        <w:t>“</w:t>
      </w:r>
      <w:proofErr w:type="spellStart"/>
      <w:r w:rsidRPr="0096534A">
        <w:rPr>
          <w:lang w:val="en-US"/>
        </w:rPr>
        <w:t>Dirigit</w:t>
      </w:r>
      <w:proofErr w:type="spellEnd"/>
      <w:r w:rsidRPr="0096534A">
        <w:rPr>
          <w:lang w:val="en-US"/>
        </w:rPr>
        <w:t xml:space="preserve"> </w:t>
      </w:r>
      <w:proofErr w:type="spellStart"/>
      <w:r w:rsidRPr="0096534A">
        <w:rPr>
          <w:lang w:val="en-US"/>
        </w:rPr>
        <w:t>enim</w:t>
      </w:r>
      <w:proofErr w:type="spellEnd"/>
      <w:r w:rsidRPr="0096534A">
        <w:rPr>
          <w:lang w:val="en-US"/>
        </w:rPr>
        <w:t xml:space="preserve"> </w:t>
      </w:r>
      <w:proofErr w:type="spellStart"/>
      <w:r w:rsidRPr="0096534A">
        <w:rPr>
          <w:lang w:val="en-US"/>
        </w:rPr>
        <w:t>prudentiam</w:t>
      </w:r>
      <w:proofErr w:type="spellEnd"/>
      <w:r w:rsidRPr="0096534A">
        <w:rPr>
          <w:lang w:val="en-US"/>
        </w:rPr>
        <w:t xml:space="preserve"> et </w:t>
      </w:r>
      <w:proofErr w:type="spellStart"/>
      <w:r w:rsidRPr="0096534A">
        <w:rPr>
          <w:lang w:val="en-US"/>
        </w:rPr>
        <w:t>consilium</w:t>
      </w:r>
      <w:proofErr w:type="spellEnd"/>
      <w:r w:rsidRPr="0096534A">
        <w:rPr>
          <w:lang w:val="en-US"/>
        </w:rPr>
        <w:t xml:space="preserve"> </w:t>
      </w:r>
      <w:proofErr w:type="spellStart"/>
      <w:r w:rsidRPr="0096534A">
        <w:rPr>
          <w:lang w:val="en-US"/>
        </w:rPr>
        <w:t>praeteritorum</w:t>
      </w:r>
      <w:proofErr w:type="spellEnd"/>
      <w:r w:rsidRPr="0096534A">
        <w:rPr>
          <w:lang w:val="en-US"/>
        </w:rPr>
        <w:t xml:space="preserve"> notitia … </w:t>
      </w:r>
      <w:proofErr w:type="spellStart"/>
      <w:r w:rsidRPr="0096534A">
        <w:rPr>
          <w:lang w:val="en-US"/>
        </w:rPr>
        <w:t>exemplorum</w:t>
      </w:r>
      <w:proofErr w:type="spellEnd"/>
      <w:r w:rsidRPr="0096534A">
        <w:rPr>
          <w:lang w:val="en-US"/>
        </w:rPr>
        <w:t xml:space="preserve"> </w:t>
      </w:r>
      <w:proofErr w:type="spellStart"/>
      <w:r w:rsidRPr="0096534A">
        <w:rPr>
          <w:lang w:val="en-US"/>
        </w:rPr>
        <w:t>copia</w:t>
      </w:r>
      <w:proofErr w:type="spellEnd"/>
      <w:r w:rsidRPr="0096534A">
        <w:rPr>
          <w:lang w:val="en-US"/>
        </w:rPr>
        <w:t xml:space="preserve">, </w:t>
      </w:r>
      <w:proofErr w:type="spellStart"/>
      <w:r w:rsidRPr="0096534A">
        <w:rPr>
          <w:lang w:val="en-US"/>
        </w:rPr>
        <w:t>quibus</w:t>
      </w:r>
      <w:proofErr w:type="spellEnd"/>
      <w:r w:rsidRPr="0096534A">
        <w:rPr>
          <w:lang w:val="en-US"/>
        </w:rPr>
        <w:t xml:space="preserve"> </w:t>
      </w:r>
      <w:proofErr w:type="spellStart"/>
      <w:r w:rsidRPr="0096534A">
        <w:rPr>
          <w:lang w:val="en-US"/>
        </w:rPr>
        <w:t>plerumque</w:t>
      </w:r>
      <w:proofErr w:type="spellEnd"/>
      <w:r w:rsidRPr="0096534A">
        <w:rPr>
          <w:lang w:val="en-US"/>
        </w:rPr>
        <w:t xml:space="preserve"> </w:t>
      </w:r>
      <w:proofErr w:type="spellStart"/>
      <w:r w:rsidRPr="0096534A">
        <w:rPr>
          <w:lang w:val="en-US"/>
        </w:rPr>
        <w:t>illustrare</w:t>
      </w:r>
      <w:proofErr w:type="spellEnd"/>
      <w:r w:rsidRPr="0096534A">
        <w:rPr>
          <w:lang w:val="en-US"/>
        </w:rPr>
        <w:t xml:space="preserve"> dicta nostra </w:t>
      </w:r>
      <w:proofErr w:type="spellStart"/>
      <w:r w:rsidRPr="0096534A">
        <w:rPr>
          <w:lang w:val="en-US"/>
        </w:rPr>
        <w:t>oportet</w:t>
      </w:r>
      <w:proofErr w:type="spellEnd"/>
      <w:r w:rsidRPr="0096534A">
        <w:rPr>
          <w:lang w:val="en-US"/>
        </w:rPr>
        <w:t xml:space="preserve">, </w:t>
      </w:r>
      <w:proofErr w:type="spellStart"/>
      <w:r w:rsidRPr="0096534A">
        <w:rPr>
          <w:lang w:val="en-US"/>
        </w:rPr>
        <w:t>non aliunde</w:t>
      </w:r>
      <w:proofErr w:type="spellEnd"/>
      <w:r w:rsidRPr="0096534A">
        <w:rPr>
          <w:lang w:val="en-US"/>
        </w:rPr>
        <w:t xml:space="preserve"> </w:t>
      </w:r>
      <w:proofErr w:type="spellStart"/>
      <w:r w:rsidRPr="0096534A">
        <w:rPr>
          <w:lang w:val="en-US"/>
        </w:rPr>
        <w:t>quam</w:t>
      </w:r>
      <w:proofErr w:type="spellEnd"/>
      <w:r w:rsidRPr="0096534A">
        <w:rPr>
          <w:lang w:val="en-US"/>
        </w:rPr>
        <w:t xml:space="preserve"> ab </w:t>
      </w:r>
      <w:proofErr w:type="spellStart"/>
      <w:r w:rsidRPr="0096534A">
        <w:rPr>
          <w:lang w:val="en-US"/>
        </w:rPr>
        <w:t>historia</w:t>
      </w:r>
      <w:proofErr w:type="spellEnd"/>
      <w:r w:rsidRPr="0096534A">
        <w:rPr>
          <w:lang w:val="en-US"/>
        </w:rPr>
        <w:t xml:space="preserve"> commodious </w:t>
      </w:r>
      <w:proofErr w:type="spellStart"/>
      <w:r w:rsidRPr="0096534A">
        <w:rPr>
          <w:lang w:val="en-US"/>
        </w:rPr>
        <w:t>sumetur</w:t>
      </w:r>
      <w:proofErr w:type="spellEnd"/>
      <w:r w:rsidRPr="0096534A">
        <w:rPr>
          <w:lang w:val="en-US"/>
        </w:rPr>
        <w:t xml:space="preserve">.” Leonardo Bruni, “The Study of Literature,” in </w:t>
      </w:r>
      <w:r w:rsidRPr="0096534A">
        <w:rPr>
          <w:i/>
          <w:iCs/>
          <w:lang w:val="en-US"/>
        </w:rPr>
        <w:t>Humanist Educational Treatises</w:t>
      </w:r>
      <w:r w:rsidRPr="0096534A">
        <w:rPr>
          <w:lang w:val="en-US"/>
        </w:rPr>
        <w:t xml:space="preserve">, ed. </w:t>
      </w:r>
      <w:r>
        <w:rPr>
          <w:lang w:val="en-US"/>
        </w:rPr>
        <w:t xml:space="preserve">and trans. </w:t>
      </w:r>
      <w:r w:rsidRPr="0096534A">
        <w:rPr>
          <w:lang w:val="en-US"/>
        </w:rPr>
        <w:t xml:space="preserve">Craig W. </w:t>
      </w:r>
      <w:proofErr w:type="spellStart"/>
      <w:r w:rsidRPr="0096534A">
        <w:rPr>
          <w:lang w:val="en-US"/>
        </w:rPr>
        <w:t>Kallendor</w:t>
      </w:r>
      <w:r>
        <w:rPr>
          <w:lang w:val="en-US"/>
        </w:rPr>
        <w:t>f</w:t>
      </w:r>
      <w:proofErr w:type="spellEnd"/>
      <w:r w:rsidRPr="0096534A">
        <w:rPr>
          <w:lang w:val="en-US"/>
        </w:rPr>
        <w:t xml:space="preserve"> (Cambridge, MA, and London: Harvard University Press, 2002), 108–9.</w:t>
      </w:r>
    </w:p>
  </w:footnote>
  <w:footnote w:id="101">
    <w:p w14:paraId="374BF7FF" w14:textId="77777777" w:rsidR="00182EED" w:rsidRDefault="00182EED" w:rsidP="001840E8">
      <w:pPr>
        <w:pStyle w:val="FootnoteText"/>
      </w:pPr>
      <w:r w:rsidRPr="00391186">
        <w:rPr>
          <w:rStyle w:val="FootnoteReference"/>
        </w:rPr>
        <w:footnoteRef/>
      </w:r>
      <w:r>
        <w:t xml:space="preserve"> </w:t>
      </w:r>
      <w:r w:rsidRPr="00205892">
        <w:rPr>
          <w:lang w:val="en-US"/>
        </w:rPr>
        <w:t>“</w:t>
      </w:r>
      <w:proofErr w:type="spellStart"/>
      <w:r w:rsidRPr="00205892">
        <w:rPr>
          <w:lang w:val="en-US"/>
        </w:rPr>
        <w:t>Quae</w:t>
      </w:r>
      <w:proofErr w:type="spellEnd"/>
      <w:r w:rsidRPr="00205892">
        <w:rPr>
          <w:lang w:val="en-US"/>
        </w:rPr>
        <w:t xml:space="preserve"> </w:t>
      </w:r>
      <w:proofErr w:type="spellStart"/>
      <w:r w:rsidRPr="00205892">
        <w:rPr>
          <w:lang w:val="en-US"/>
        </w:rPr>
        <w:t>imitationem</w:t>
      </w:r>
      <w:proofErr w:type="spellEnd"/>
      <w:r w:rsidRPr="00205892">
        <w:rPr>
          <w:lang w:val="en-US"/>
        </w:rPr>
        <w:t xml:space="preserve"> </w:t>
      </w:r>
      <w:proofErr w:type="spellStart"/>
      <w:r w:rsidRPr="00205892">
        <w:rPr>
          <w:lang w:val="en-US"/>
        </w:rPr>
        <w:t>eis</w:t>
      </w:r>
      <w:proofErr w:type="spellEnd"/>
      <w:r w:rsidRPr="00205892">
        <w:rPr>
          <w:lang w:val="en-US"/>
        </w:rPr>
        <w:t xml:space="preserve"> </w:t>
      </w:r>
      <w:proofErr w:type="spellStart"/>
      <w:r w:rsidRPr="00205892">
        <w:rPr>
          <w:lang w:val="en-US"/>
        </w:rPr>
        <w:t>promptissimam</w:t>
      </w:r>
      <w:proofErr w:type="spellEnd"/>
      <w:r w:rsidRPr="00205892">
        <w:rPr>
          <w:lang w:val="en-US"/>
        </w:rPr>
        <w:t xml:space="preserve">, </w:t>
      </w:r>
      <w:proofErr w:type="spellStart"/>
      <w:r w:rsidRPr="00205892">
        <w:rPr>
          <w:lang w:val="en-US"/>
        </w:rPr>
        <w:t>facillimam</w:t>
      </w:r>
      <w:proofErr w:type="spellEnd"/>
      <w:r w:rsidRPr="00205892">
        <w:rPr>
          <w:lang w:val="en-US"/>
        </w:rPr>
        <w:t xml:space="preserve">, et ad </w:t>
      </w:r>
      <w:proofErr w:type="spellStart"/>
      <w:r w:rsidRPr="00205892">
        <w:rPr>
          <w:lang w:val="en-US"/>
        </w:rPr>
        <w:t>nutum</w:t>
      </w:r>
      <w:proofErr w:type="spellEnd"/>
      <w:r w:rsidRPr="00205892">
        <w:rPr>
          <w:lang w:val="en-US"/>
        </w:rPr>
        <w:t xml:space="preserve"> semper </w:t>
      </w:r>
      <w:proofErr w:type="spellStart"/>
      <w:r w:rsidRPr="00205892">
        <w:rPr>
          <w:lang w:val="en-US"/>
        </w:rPr>
        <w:t>paratissimam</w:t>
      </w:r>
      <w:proofErr w:type="spellEnd"/>
      <w:r w:rsidRPr="00205892">
        <w:rPr>
          <w:lang w:val="en-US"/>
        </w:rPr>
        <w:t xml:space="preserve"> </w:t>
      </w:r>
      <w:proofErr w:type="spellStart"/>
      <w:r w:rsidRPr="00205892">
        <w:rPr>
          <w:lang w:val="en-US"/>
        </w:rPr>
        <w:t>praestabunt</w:t>
      </w:r>
      <w:proofErr w:type="spellEnd"/>
      <w:r w:rsidRPr="00205892">
        <w:rPr>
          <w:lang w:val="en-US"/>
        </w:rPr>
        <w:t xml:space="preserve">.” </w:t>
      </w:r>
      <w:proofErr w:type="spellStart"/>
      <w:r w:rsidRPr="00205892">
        <w:rPr>
          <w:lang w:val="en-US"/>
        </w:rPr>
        <w:t>Maffeo</w:t>
      </w:r>
      <w:proofErr w:type="spellEnd"/>
      <w:r w:rsidRPr="00205892">
        <w:rPr>
          <w:lang w:val="en-US"/>
        </w:rPr>
        <w:t xml:space="preserve"> </w:t>
      </w:r>
      <w:proofErr w:type="spellStart"/>
      <w:r w:rsidRPr="00205892">
        <w:rPr>
          <w:lang w:val="en-US"/>
        </w:rPr>
        <w:t>Vegio</w:t>
      </w:r>
      <w:proofErr w:type="spellEnd"/>
      <w:r w:rsidRPr="00205892">
        <w:rPr>
          <w:lang w:val="en-US"/>
        </w:rPr>
        <w:t xml:space="preserve"> (</w:t>
      </w:r>
      <w:proofErr w:type="spellStart"/>
      <w:r w:rsidRPr="00205892">
        <w:rPr>
          <w:lang w:val="en-US"/>
        </w:rPr>
        <w:t>Maphei</w:t>
      </w:r>
      <w:proofErr w:type="spellEnd"/>
      <w:r w:rsidRPr="00205892">
        <w:rPr>
          <w:lang w:val="en-US"/>
        </w:rPr>
        <w:t xml:space="preserve"> </w:t>
      </w:r>
      <w:proofErr w:type="spellStart"/>
      <w:r w:rsidRPr="00205892">
        <w:rPr>
          <w:lang w:val="en-US"/>
        </w:rPr>
        <w:t>Vegii</w:t>
      </w:r>
      <w:proofErr w:type="spellEnd"/>
      <w:r w:rsidRPr="00205892">
        <w:rPr>
          <w:lang w:val="en-US"/>
        </w:rPr>
        <w:t xml:space="preserve"> </w:t>
      </w:r>
      <w:proofErr w:type="spellStart"/>
      <w:r w:rsidRPr="00205892">
        <w:rPr>
          <w:lang w:val="en-US"/>
        </w:rPr>
        <w:t>Laudensis</w:t>
      </w:r>
      <w:proofErr w:type="spellEnd"/>
      <w:r w:rsidRPr="00205892">
        <w:rPr>
          <w:lang w:val="en-US"/>
        </w:rPr>
        <w:t xml:space="preserve">), “De </w:t>
      </w:r>
      <w:proofErr w:type="spellStart"/>
      <w:r w:rsidRPr="00205892">
        <w:rPr>
          <w:lang w:val="en-US"/>
        </w:rPr>
        <w:t>Educatione</w:t>
      </w:r>
      <w:proofErr w:type="spellEnd"/>
      <w:r w:rsidRPr="00205892">
        <w:rPr>
          <w:lang w:val="en-US"/>
        </w:rPr>
        <w:t xml:space="preserve"> </w:t>
      </w:r>
      <w:proofErr w:type="spellStart"/>
      <w:r w:rsidRPr="00205892">
        <w:rPr>
          <w:lang w:val="en-US"/>
        </w:rPr>
        <w:t>Liberorum</w:t>
      </w:r>
      <w:proofErr w:type="spellEnd"/>
      <w:r w:rsidRPr="00205892">
        <w:rPr>
          <w:lang w:val="en-US"/>
        </w:rPr>
        <w:t xml:space="preserve">,” 186–87; See also </w:t>
      </w:r>
      <w:proofErr w:type="spellStart"/>
      <w:r w:rsidRPr="00205892">
        <w:rPr>
          <w:lang w:val="en-US"/>
        </w:rPr>
        <w:t>Grendler</w:t>
      </w:r>
      <w:proofErr w:type="spellEnd"/>
      <w:r w:rsidRPr="00205892">
        <w:rPr>
          <w:lang w:val="en-US"/>
        </w:rPr>
        <w:t xml:space="preserve">, </w:t>
      </w:r>
      <w:r w:rsidRPr="00205892">
        <w:rPr>
          <w:i/>
          <w:iCs/>
          <w:lang w:val="en-US"/>
        </w:rPr>
        <w:t>Schooling in Renaissance Italy</w:t>
      </w:r>
      <w:r w:rsidRPr="00205892">
        <w:rPr>
          <w:lang w:val="en-US"/>
        </w:rPr>
        <w:t>, 119.</w:t>
      </w:r>
    </w:p>
  </w:footnote>
  <w:footnote w:id="102">
    <w:p w14:paraId="7875CBC6" w14:textId="77777777" w:rsidR="00182EED" w:rsidRDefault="00182EED" w:rsidP="001840E8">
      <w:pPr>
        <w:pStyle w:val="FootnoteText"/>
      </w:pPr>
      <w:r w:rsidRPr="00391186">
        <w:rPr>
          <w:rStyle w:val="FootnoteReference"/>
        </w:rPr>
        <w:footnoteRef/>
      </w:r>
      <w:r>
        <w:t xml:space="preserve"> </w:t>
      </w:r>
      <w:r w:rsidRPr="0096534A">
        <w:rPr>
          <w:lang w:val="en-US"/>
        </w:rPr>
        <w:t xml:space="preserve">Alberti, </w:t>
      </w:r>
      <w:r w:rsidRPr="0096534A">
        <w:rPr>
          <w:i/>
          <w:iCs/>
          <w:lang w:val="en-US"/>
        </w:rPr>
        <w:t xml:space="preserve">I libri </w:t>
      </w:r>
      <w:proofErr w:type="spellStart"/>
      <w:r w:rsidRPr="0096534A">
        <w:rPr>
          <w:i/>
          <w:iCs/>
          <w:lang w:val="en-US"/>
        </w:rPr>
        <w:t>della</w:t>
      </w:r>
      <w:proofErr w:type="spellEnd"/>
      <w:r w:rsidRPr="0096534A">
        <w:rPr>
          <w:i/>
          <w:iCs/>
          <w:lang w:val="en-US"/>
        </w:rPr>
        <w:t xml:space="preserve"> </w:t>
      </w:r>
      <w:proofErr w:type="spellStart"/>
      <w:r w:rsidRPr="0096534A">
        <w:rPr>
          <w:i/>
          <w:iCs/>
          <w:lang w:val="en-US"/>
        </w:rPr>
        <w:t>famiglia</w:t>
      </w:r>
      <w:proofErr w:type="spellEnd"/>
      <w:r w:rsidRPr="0096534A">
        <w:rPr>
          <w:lang w:val="en-US"/>
        </w:rPr>
        <w:t xml:space="preserve">, 81; also quoted in Luke Syson and Dora Thornton, </w:t>
      </w:r>
      <w:r w:rsidRPr="0096534A">
        <w:rPr>
          <w:i/>
          <w:iCs/>
          <w:lang w:val="en-US"/>
        </w:rPr>
        <w:t>Objects of Virtue: Art in Renaissance Italy</w:t>
      </w:r>
      <w:r w:rsidRPr="0096534A">
        <w:rPr>
          <w:lang w:val="en-US"/>
        </w:rPr>
        <w:t xml:space="preserve"> (London: The British Museum Press, 2001), 15.</w:t>
      </w:r>
    </w:p>
  </w:footnote>
  <w:footnote w:id="103">
    <w:p w14:paraId="5A175879" w14:textId="77777777" w:rsidR="00182EED" w:rsidRDefault="00182EED" w:rsidP="001840E8">
      <w:pPr>
        <w:pStyle w:val="FootnoteText"/>
      </w:pPr>
      <w:r w:rsidRPr="00391186">
        <w:rPr>
          <w:rStyle w:val="FootnoteReference"/>
        </w:rPr>
        <w:footnoteRef/>
      </w:r>
      <w:r>
        <w:t xml:space="preserve"> </w:t>
      </w:r>
      <w:r w:rsidRPr="0096534A">
        <w:rPr>
          <w:lang w:val="en-US"/>
        </w:rPr>
        <w:t>“</w:t>
      </w:r>
      <w:proofErr w:type="spellStart"/>
      <w:r w:rsidRPr="0096534A">
        <w:rPr>
          <w:lang w:val="en-US"/>
        </w:rPr>
        <w:t>Sempre</w:t>
      </w:r>
      <w:proofErr w:type="spellEnd"/>
      <w:r w:rsidRPr="0096534A">
        <w:rPr>
          <w:lang w:val="en-US"/>
        </w:rPr>
        <w:t xml:space="preserve"> in casa </w:t>
      </w:r>
      <w:proofErr w:type="spellStart"/>
      <w:r w:rsidRPr="0096534A">
        <w:rPr>
          <w:lang w:val="en-US"/>
        </w:rPr>
        <w:t>si</w:t>
      </w:r>
      <w:proofErr w:type="spellEnd"/>
      <w:r w:rsidRPr="0096534A">
        <w:rPr>
          <w:lang w:val="en-US"/>
        </w:rPr>
        <w:t xml:space="preserve"> </w:t>
      </w:r>
      <w:proofErr w:type="spellStart"/>
      <w:r w:rsidRPr="0096534A">
        <w:rPr>
          <w:lang w:val="en-US"/>
        </w:rPr>
        <w:t>ragioni</w:t>
      </w:r>
      <w:proofErr w:type="spellEnd"/>
      <w:r w:rsidRPr="0096534A">
        <w:rPr>
          <w:lang w:val="en-US"/>
        </w:rPr>
        <w:t xml:space="preserve"> di </w:t>
      </w:r>
      <w:proofErr w:type="spellStart"/>
      <w:r w:rsidRPr="0096534A">
        <w:rPr>
          <w:lang w:val="en-US"/>
        </w:rPr>
        <w:t>cose</w:t>
      </w:r>
      <w:proofErr w:type="spellEnd"/>
      <w:r w:rsidRPr="0096534A">
        <w:rPr>
          <w:lang w:val="en-US"/>
        </w:rPr>
        <w:t xml:space="preserve"> </w:t>
      </w:r>
      <w:proofErr w:type="spellStart"/>
      <w:r w:rsidRPr="0096534A">
        <w:rPr>
          <w:lang w:val="en-US"/>
        </w:rPr>
        <w:t>buone</w:t>
      </w:r>
      <w:proofErr w:type="spellEnd"/>
      <w:r w:rsidRPr="0096534A">
        <w:rPr>
          <w:lang w:val="en-US"/>
        </w:rPr>
        <w:t xml:space="preserve"> et </w:t>
      </w:r>
      <w:proofErr w:type="spellStart"/>
      <w:r w:rsidRPr="0096534A">
        <w:rPr>
          <w:lang w:val="en-US"/>
        </w:rPr>
        <w:t>honeste</w:t>
      </w:r>
      <w:proofErr w:type="spellEnd"/>
      <w:r w:rsidRPr="0096534A">
        <w:rPr>
          <w:lang w:val="en-US"/>
        </w:rPr>
        <w:t xml:space="preserve">, et </w:t>
      </w:r>
      <w:proofErr w:type="spellStart"/>
      <w:r w:rsidRPr="0096534A">
        <w:rPr>
          <w:lang w:val="en-US"/>
        </w:rPr>
        <w:t>infino</w:t>
      </w:r>
      <w:proofErr w:type="spellEnd"/>
      <w:r w:rsidRPr="0096534A">
        <w:rPr>
          <w:lang w:val="en-US"/>
        </w:rPr>
        <w:t xml:space="preserve"> </w:t>
      </w:r>
      <w:proofErr w:type="spellStart"/>
      <w:r w:rsidRPr="0096534A">
        <w:rPr>
          <w:lang w:val="en-US"/>
        </w:rPr>
        <w:t>alle</w:t>
      </w:r>
      <w:proofErr w:type="spellEnd"/>
      <w:r w:rsidRPr="0096534A">
        <w:rPr>
          <w:lang w:val="en-US"/>
        </w:rPr>
        <w:t xml:space="preserve"> </w:t>
      </w:r>
      <w:proofErr w:type="spellStart"/>
      <w:r w:rsidRPr="0096534A">
        <w:rPr>
          <w:lang w:val="en-US"/>
        </w:rPr>
        <w:t>favole</w:t>
      </w:r>
      <w:proofErr w:type="spellEnd"/>
      <w:r w:rsidRPr="0096534A">
        <w:rPr>
          <w:lang w:val="en-US"/>
        </w:rPr>
        <w:t xml:space="preserve"> </w:t>
      </w:r>
      <w:proofErr w:type="spellStart"/>
      <w:r w:rsidRPr="0096534A">
        <w:rPr>
          <w:lang w:val="en-US"/>
        </w:rPr>
        <w:t>delle</w:t>
      </w:r>
      <w:proofErr w:type="spellEnd"/>
      <w:r w:rsidRPr="0096534A">
        <w:rPr>
          <w:lang w:val="en-US"/>
        </w:rPr>
        <w:t xml:space="preserve"> </w:t>
      </w:r>
      <w:proofErr w:type="spellStart"/>
      <w:r w:rsidRPr="0096534A">
        <w:rPr>
          <w:lang w:val="en-US"/>
        </w:rPr>
        <w:t>donne</w:t>
      </w:r>
      <w:proofErr w:type="spellEnd"/>
      <w:r w:rsidRPr="0096534A">
        <w:rPr>
          <w:lang w:val="en-US"/>
        </w:rPr>
        <w:t xml:space="preserve"> </w:t>
      </w:r>
      <w:proofErr w:type="spellStart"/>
      <w:r w:rsidRPr="0096534A">
        <w:rPr>
          <w:lang w:val="en-US"/>
        </w:rPr>
        <w:t>sieno</w:t>
      </w:r>
      <w:proofErr w:type="spellEnd"/>
      <w:r w:rsidRPr="0096534A">
        <w:rPr>
          <w:lang w:val="en-US"/>
        </w:rPr>
        <w:t xml:space="preserve"> </w:t>
      </w:r>
      <w:proofErr w:type="spellStart"/>
      <w:r w:rsidRPr="0096534A">
        <w:rPr>
          <w:lang w:val="en-US"/>
        </w:rPr>
        <w:t>ammonimenti</w:t>
      </w:r>
      <w:proofErr w:type="spellEnd"/>
      <w:r w:rsidRPr="0096534A">
        <w:rPr>
          <w:lang w:val="en-US"/>
        </w:rPr>
        <w:t xml:space="preserve"> </w:t>
      </w:r>
      <w:proofErr w:type="spellStart"/>
      <w:r w:rsidRPr="0096534A">
        <w:rPr>
          <w:lang w:val="en-US"/>
        </w:rPr>
        <w:t>d’onesto</w:t>
      </w:r>
      <w:proofErr w:type="spellEnd"/>
      <w:r w:rsidRPr="0096534A">
        <w:rPr>
          <w:lang w:val="en-US"/>
        </w:rPr>
        <w:t xml:space="preserve"> vivere.” Palmieri, </w:t>
      </w:r>
      <w:r w:rsidRPr="0096534A">
        <w:rPr>
          <w:i/>
          <w:iCs/>
          <w:lang w:val="en-US"/>
        </w:rPr>
        <w:t xml:space="preserve">Vita </w:t>
      </w:r>
      <w:proofErr w:type="spellStart"/>
      <w:r w:rsidRPr="0096534A">
        <w:rPr>
          <w:i/>
          <w:iCs/>
          <w:lang w:val="en-US"/>
        </w:rPr>
        <w:t>Civile</w:t>
      </w:r>
      <w:proofErr w:type="spellEnd"/>
      <w:r w:rsidRPr="0096534A">
        <w:rPr>
          <w:lang w:val="en-US"/>
        </w:rPr>
        <w:t xml:space="preserve">, 23–24; also quoted in Syson and Thornton, </w:t>
      </w:r>
      <w:r w:rsidRPr="0096534A">
        <w:rPr>
          <w:i/>
          <w:iCs/>
          <w:lang w:val="en-US"/>
        </w:rPr>
        <w:t>Objects of Virtue</w:t>
      </w:r>
      <w:r w:rsidRPr="0096534A">
        <w:rPr>
          <w:lang w:val="en-US"/>
        </w:rPr>
        <w:t>, 15.</w:t>
      </w:r>
    </w:p>
  </w:footnote>
  <w:footnote w:id="104">
    <w:p w14:paraId="4CAA0960" w14:textId="77777777" w:rsidR="00182EED" w:rsidRDefault="00182EED" w:rsidP="001840E8">
      <w:pPr>
        <w:pStyle w:val="FootnoteText"/>
      </w:pPr>
      <w:r w:rsidRPr="00391186">
        <w:rPr>
          <w:rStyle w:val="FootnoteReference"/>
        </w:rPr>
        <w:footnoteRef/>
      </w:r>
      <w:r>
        <w:t xml:space="preserve"> </w:t>
      </w:r>
      <w:r w:rsidRPr="0096534A">
        <w:rPr>
          <w:lang w:val="en-US"/>
        </w:rPr>
        <w:t xml:space="preserve">Syson and Thornton, </w:t>
      </w:r>
      <w:r w:rsidRPr="0096534A">
        <w:rPr>
          <w:i/>
          <w:iCs/>
          <w:lang w:val="en-US"/>
        </w:rPr>
        <w:t>Objects of Virtue</w:t>
      </w:r>
      <w:r w:rsidRPr="0096534A">
        <w:rPr>
          <w:lang w:val="en-US"/>
        </w:rPr>
        <w:t xml:space="preserve">, 15; Robert Lamberton, “Plutarch,” in </w:t>
      </w:r>
      <w:r w:rsidRPr="0096534A">
        <w:rPr>
          <w:i/>
          <w:iCs/>
          <w:lang w:val="en-US"/>
        </w:rPr>
        <w:t>Classical Tradition</w:t>
      </w:r>
      <w:r w:rsidRPr="0096534A">
        <w:rPr>
          <w:lang w:val="en-US"/>
        </w:rPr>
        <w:t xml:space="preserve">, ed. Anthony Grafton, Glen Most, and Salvatore </w:t>
      </w:r>
      <w:proofErr w:type="spellStart"/>
      <w:r w:rsidRPr="0096534A">
        <w:rPr>
          <w:lang w:val="en-US"/>
        </w:rPr>
        <w:t>Settis</w:t>
      </w:r>
      <w:proofErr w:type="spellEnd"/>
      <w:r w:rsidRPr="0096534A">
        <w:rPr>
          <w:lang w:val="en-US"/>
        </w:rPr>
        <w:t xml:space="preserve"> (Cambridge, MA, and London: The Belknap Press of Harvard University Press, 2013), 747–50; Peter Burke, “Individuality and Biography in the Renaissance,” </w:t>
      </w:r>
      <w:r w:rsidRPr="0096534A">
        <w:rPr>
          <w:i/>
          <w:iCs/>
          <w:lang w:val="en-US"/>
        </w:rPr>
        <w:t>The European Legacy</w:t>
      </w:r>
      <w:r w:rsidRPr="0096534A">
        <w:rPr>
          <w:lang w:val="en-US"/>
        </w:rPr>
        <w:t>, no. 2, 8 (1997): 1377.</w:t>
      </w:r>
    </w:p>
  </w:footnote>
  <w:footnote w:id="105">
    <w:p w14:paraId="32368589" w14:textId="77777777" w:rsidR="00182EED" w:rsidRDefault="00182EED" w:rsidP="001840E8">
      <w:pPr>
        <w:pStyle w:val="FootnoteText"/>
      </w:pPr>
      <w:r w:rsidRPr="00391186">
        <w:rPr>
          <w:rStyle w:val="FootnoteReference"/>
        </w:rPr>
        <w:footnoteRef/>
      </w:r>
      <w:r>
        <w:t xml:space="preserve"> </w:t>
      </w:r>
      <w:r w:rsidRPr="0096534A">
        <w:rPr>
          <w:lang w:val="en-US"/>
        </w:rPr>
        <w:t xml:space="preserve">Robert Black, </w:t>
      </w:r>
      <w:r w:rsidRPr="0096534A">
        <w:rPr>
          <w:i/>
          <w:iCs/>
          <w:lang w:val="en-US"/>
        </w:rPr>
        <w:t>Humanism and Education in Medieval and Renaissance Italy. Tradition and Innovation in Latin Schools from the Twelfth to the Fifteenth Century</w:t>
      </w:r>
      <w:r w:rsidRPr="0096534A">
        <w:rPr>
          <w:lang w:val="en-US"/>
        </w:rPr>
        <w:t xml:space="preserve"> (Cambridge: Cambridge University Press, 2003), 247, 274.</w:t>
      </w:r>
    </w:p>
  </w:footnote>
  <w:footnote w:id="106">
    <w:p w14:paraId="70ADB48E" w14:textId="77777777" w:rsidR="00182EED" w:rsidRDefault="00182EED" w:rsidP="001840E8">
      <w:pPr>
        <w:pStyle w:val="FootnoteText"/>
      </w:pPr>
      <w:r w:rsidRPr="00391186">
        <w:rPr>
          <w:rStyle w:val="FootnoteReference"/>
        </w:rPr>
        <w:footnoteRef/>
      </w:r>
      <w:r>
        <w:t xml:space="preserve"> </w:t>
      </w:r>
      <w:r w:rsidRPr="0096534A">
        <w:rPr>
          <w:lang w:val="en-US"/>
        </w:rPr>
        <w:t>Burke, “Individuality and Biography in the Renaissance,” 1373.</w:t>
      </w:r>
    </w:p>
  </w:footnote>
  <w:footnote w:id="107">
    <w:p w14:paraId="52F498FB" w14:textId="77777777" w:rsidR="00182EED" w:rsidRDefault="00182EED" w:rsidP="001840E8">
      <w:pPr>
        <w:pStyle w:val="FootnoteText"/>
      </w:pPr>
      <w:r w:rsidRPr="00391186">
        <w:rPr>
          <w:rStyle w:val="FootnoteReference"/>
        </w:rPr>
        <w:footnoteRef/>
      </w:r>
      <w:r>
        <w:t xml:space="preserve"> </w:t>
      </w:r>
      <w:r w:rsidRPr="0096534A">
        <w:rPr>
          <w:lang w:val="en-US"/>
        </w:rPr>
        <w:t xml:space="preserve">Syson and Thornton, </w:t>
      </w:r>
      <w:r w:rsidRPr="0096534A">
        <w:rPr>
          <w:i/>
          <w:iCs/>
          <w:lang w:val="en-US"/>
        </w:rPr>
        <w:t>Objects of Virtue</w:t>
      </w:r>
      <w:r w:rsidRPr="0096534A">
        <w:rPr>
          <w:lang w:val="en-US"/>
        </w:rPr>
        <w:t>, 15; Burke, “Individuality and Biography in the Renaissance,” 1373.</w:t>
      </w:r>
    </w:p>
  </w:footnote>
  <w:footnote w:id="108">
    <w:p w14:paraId="0C9DB685" w14:textId="77777777" w:rsidR="00182EED" w:rsidRDefault="00182EED" w:rsidP="001840E8">
      <w:pPr>
        <w:pStyle w:val="FootnoteText"/>
      </w:pPr>
      <w:r w:rsidRPr="00391186">
        <w:rPr>
          <w:rStyle w:val="FootnoteReference"/>
        </w:rPr>
        <w:footnoteRef/>
      </w:r>
      <w:r>
        <w:t xml:space="preserve"> </w:t>
      </w:r>
      <w:r w:rsidRPr="0096534A">
        <w:rPr>
          <w:lang w:val="en-US"/>
        </w:rPr>
        <w:t xml:space="preserve">Quintilian, </w:t>
      </w:r>
      <w:proofErr w:type="spellStart"/>
      <w:r w:rsidRPr="0096534A">
        <w:rPr>
          <w:i/>
          <w:iCs/>
          <w:lang w:val="en-US"/>
        </w:rPr>
        <w:t>Institutio</w:t>
      </w:r>
      <w:proofErr w:type="spellEnd"/>
      <w:r w:rsidRPr="0096534A">
        <w:rPr>
          <w:i/>
          <w:iCs/>
          <w:lang w:val="en-US"/>
        </w:rPr>
        <w:t xml:space="preserve"> </w:t>
      </w:r>
      <w:proofErr w:type="spellStart"/>
      <w:r w:rsidRPr="0096534A">
        <w:rPr>
          <w:i/>
          <w:iCs/>
          <w:lang w:val="en-US"/>
        </w:rPr>
        <w:t>Oratoria</w:t>
      </w:r>
      <w:proofErr w:type="spellEnd"/>
      <w:r w:rsidRPr="0096534A">
        <w:rPr>
          <w:lang w:val="en-US"/>
        </w:rPr>
        <w:t xml:space="preserve">, I.2.29, 53; See also Howe, </w:t>
      </w:r>
      <w:r w:rsidRPr="0096534A">
        <w:rPr>
          <w:i/>
          <w:iCs/>
          <w:lang w:val="en-US"/>
        </w:rPr>
        <w:t>Education and Women</w:t>
      </w:r>
      <w:r w:rsidRPr="0096534A">
        <w:rPr>
          <w:lang w:val="en-US"/>
        </w:rPr>
        <w:t>, 4.</w:t>
      </w:r>
    </w:p>
  </w:footnote>
  <w:footnote w:id="109">
    <w:p w14:paraId="196FBDEC" w14:textId="77777777" w:rsidR="00182EED" w:rsidRDefault="00182EED" w:rsidP="001840E8">
      <w:pPr>
        <w:pStyle w:val="FootnoteText"/>
      </w:pPr>
      <w:r w:rsidRPr="00391186">
        <w:rPr>
          <w:rStyle w:val="FootnoteReference"/>
        </w:rPr>
        <w:footnoteRef/>
      </w:r>
      <w:r>
        <w:t xml:space="preserve"> </w:t>
      </w:r>
      <w:r w:rsidRPr="008660DD">
        <w:rPr>
          <w:lang w:val="en-US"/>
        </w:rPr>
        <w:t xml:space="preserve">The complete text of </w:t>
      </w:r>
      <w:proofErr w:type="spellStart"/>
      <w:r w:rsidRPr="008660DD">
        <w:rPr>
          <w:lang w:val="en-US"/>
        </w:rPr>
        <w:t>Quinitillian’s</w:t>
      </w:r>
      <w:proofErr w:type="spellEnd"/>
      <w:r w:rsidRPr="008660DD">
        <w:rPr>
          <w:lang w:val="en-US"/>
        </w:rPr>
        <w:t xml:space="preserve"> </w:t>
      </w:r>
      <w:proofErr w:type="spellStart"/>
      <w:r w:rsidRPr="008660DD">
        <w:rPr>
          <w:i/>
          <w:iCs/>
          <w:lang w:val="en-US"/>
        </w:rPr>
        <w:t>Institutio</w:t>
      </w:r>
      <w:proofErr w:type="spellEnd"/>
      <w:r w:rsidRPr="008660DD">
        <w:rPr>
          <w:i/>
          <w:iCs/>
          <w:lang w:val="en-US"/>
        </w:rPr>
        <w:t xml:space="preserve"> </w:t>
      </w:r>
      <w:proofErr w:type="spellStart"/>
      <w:r w:rsidRPr="008660DD">
        <w:rPr>
          <w:i/>
          <w:iCs/>
          <w:lang w:val="en-US"/>
        </w:rPr>
        <w:t>Oratoria</w:t>
      </w:r>
      <w:proofErr w:type="spellEnd"/>
      <w:r w:rsidRPr="008660DD">
        <w:rPr>
          <w:lang w:val="en-US"/>
        </w:rPr>
        <w:t xml:space="preserve"> was discovered by the humanist </w:t>
      </w:r>
      <w:proofErr w:type="spellStart"/>
      <w:r w:rsidRPr="008660DD">
        <w:rPr>
          <w:lang w:val="en-US"/>
        </w:rPr>
        <w:t>Poggio</w:t>
      </w:r>
      <w:proofErr w:type="spellEnd"/>
      <w:r w:rsidRPr="008660DD">
        <w:rPr>
          <w:lang w:val="en-US"/>
        </w:rPr>
        <w:t xml:space="preserve"> </w:t>
      </w:r>
      <w:proofErr w:type="spellStart"/>
      <w:r w:rsidRPr="008660DD">
        <w:rPr>
          <w:lang w:val="en-US"/>
        </w:rPr>
        <w:t>Bracciolini</w:t>
      </w:r>
      <w:proofErr w:type="spellEnd"/>
      <w:r w:rsidRPr="008660DD">
        <w:rPr>
          <w:lang w:val="en-US"/>
        </w:rPr>
        <w:t xml:space="preserve"> in 1416; Cicero’s </w:t>
      </w:r>
      <w:r w:rsidRPr="008660DD">
        <w:rPr>
          <w:i/>
          <w:iCs/>
          <w:lang w:val="en-US"/>
        </w:rPr>
        <w:t xml:space="preserve">De </w:t>
      </w:r>
      <w:proofErr w:type="spellStart"/>
      <w:r w:rsidRPr="008660DD">
        <w:rPr>
          <w:i/>
          <w:iCs/>
          <w:lang w:val="en-US"/>
        </w:rPr>
        <w:t>Oratore</w:t>
      </w:r>
      <w:proofErr w:type="spellEnd"/>
      <w:r w:rsidRPr="008660DD">
        <w:rPr>
          <w:lang w:val="en-US"/>
        </w:rPr>
        <w:t xml:space="preserve"> was discovered, together with other works by the same author, by Bishop Gerardo </w:t>
      </w:r>
      <w:proofErr w:type="spellStart"/>
      <w:r w:rsidRPr="008660DD">
        <w:rPr>
          <w:lang w:val="en-US"/>
        </w:rPr>
        <w:t>Landriani</w:t>
      </w:r>
      <w:proofErr w:type="spellEnd"/>
      <w:r w:rsidRPr="008660DD">
        <w:rPr>
          <w:lang w:val="en-US"/>
        </w:rPr>
        <w:t xml:space="preserve"> in 1421. See </w:t>
      </w:r>
      <w:proofErr w:type="spellStart"/>
      <w:r w:rsidRPr="008660DD">
        <w:rPr>
          <w:lang w:val="en-US"/>
        </w:rPr>
        <w:t>Grendler</w:t>
      </w:r>
      <w:proofErr w:type="spellEnd"/>
      <w:r w:rsidRPr="008660DD">
        <w:rPr>
          <w:lang w:val="en-US"/>
        </w:rPr>
        <w:t xml:space="preserve">, </w:t>
      </w:r>
      <w:r w:rsidRPr="008660DD">
        <w:rPr>
          <w:i/>
          <w:iCs/>
          <w:lang w:val="en-US"/>
        </w:rPr>
        <w:t>Schooling in Renaissance Italy</w:t>
      </w:r>
      <w:r w:rsidRPr="008660DD">
        <w:rPr>
          <w:lang w:val="en-US"/>
        </w:rPr>
        <w:t>, 120–21.</w:t>
      </w:r>
    </w:p>
  </w:footnote>
  <w:footnote w:id="110">
    <w:p w14:paraId="6ED5C3A6" w14:textId="77777777" w:rsidR="00182EED" w:rsidRDefault="00182EED" w:rsidP="001840E8">
      <w:pPr>
        <w:pStyle w:val="FootnoteText"/>
      </w:pPr>
      <w:r w:rsidRPr="00391186">
        <w:rPr>
          <w:rStyle w:val="FootnoteReference"/>
        </w:rPr>
        <w:footnoteRef/>
      </w:r>
      <w:r>
        <w:t xml:space="preserve"> </w:t>
      </w:r>
      <w:r w:rsidRPr="008660DD">
        <w:rPr>
          <w:lang w:val="en-US"/>
        </w:rPr>
        <w:t xml:space="preserve">Basil (Saint), </w:t>
      </w:r>
      <w:r w:rsidRPr="008660DD">
        <w:rPr>
          <w:i/>
          <w:iCs/>
          <w:lang w:val="en-US"/>
        </w:rPr>
        <w:t>The Letters</w:t>
      </w:r>
      <w:r w:rsidRPr="008660DD">
        <w:rPr>
          <w:lang w:val="en-US"/>
        </w:rPr>
        <w:t xml:space="preserve">, ed. and trans. Roy Joseph </w:t>
      </w:r>
      <w:proofErr w:type="spellStart"/>
      <w:r w:rsidRPr="008660DD">
        <w:rPr>
          <w:lang w:val="en-US"/>
        </w:rPr>
        <w:t>Deferrari</w:t>
      </w:r>
      <w:proofErr w:type="spellEnd"/>
      <w:r w:rsidRPr="008660DD">
        <w:rPr>
          <w:lang w:val="en-US"/>
        </w:rPr>
        <w:t xml:space="preserve"> (Cambridge, MA.: Loeb Classical Library, 1961), I, 14–17; Also quoted in Gary </w:t>
      </w:r>
      <w:proofErr w:type="spellStart"/>
      <w:r w:rsidRPr="008660DD">
        <w:rPr>
          <w:lang w:val="en-US"/>
        </w:rPr>
        <w:t>Vikan</w:t>
      </w:r>
      <w:proofErr w:type="spellEnd"/>
      <w:r w:rsidRPr="008660DD">
        <w:rPr>
          <w:lang w:val="en-US"/>
        </w:rPr>
        <w:t xml:space="preserve">, “Sacred Images, Sacred Power,” in </w:t>
      </w:r>
      <w:r w:rsidRPr="008660DD">
        <w:rPr>
          <w:i/>
          <w:iCs/>
          <w:lang w:val="en-US"/>
        </w:rPr>
        <w:t>Late Antique and Medieval Art of the Mediterranean World</w:t>
      </w:r>
      <w:r w:rsidRPr="008660DD">
        <w:rPr>
          <w:lang w:val="en-US"/>
        </w:rPr>
        <w:t xml:space="preserve">, ed. Eva R Hoffman (Malden, MA: Blackwell, 2007), 140; see also Peter Brown, “The Saint as Exemplar in Late Antiquity,” </w:t>
      </w:r>
      <w:r w:rsidRPr="008660DD">
        <w:rPr>
          <w:i/>
          <w:iCs/>
          <w:lang w:val="en-US"/>
        </w:rPr>
        <w:t>Representations</w:t>
      </w:r>
      <w:r w:rsidRPr="008660DD">
        <w:rPr>
          <w:lang w:val="en-US"/>
        </w:rPr>
        <w:t>, no. 2 (1983): 1–25.</w:t>
      </w:r>
    </w:p>
  </w:footnote>
  <w:footnote w:id="111">
    <w:p w14:paraId="19BFAAFF" w14:textId="77777777" w:rsidR="00182EED" w:rsidRPr="005A5DAF" w:rsidRDefault="00182EED" w:rsidP="001840E8">
      <w:pPr>
        <w:pStyle w:val="FootnoteText"/>
        <w:rPr>
          <w:szCs w:val="18"/>
        </w:rPr>
      </w:pPr>
      <w:r w:rsidRPr="00391186">
        <w:rPr>
          <w:rStyle w:val="FootnoteReference"/>
        </w:rPr>
        <w:footnoteRef/>
      </w:r>
      <w:r w:rsidRPr="005A5DAF">
        <w:rPr>
          <w:szCs w:val="18"/>
        </w:rPr>
        <w:t xml:space="preserve"> </w:t>
      </w:r>
      <w:proofErr w:type="spellStart"/>
      <w:r w:rsidRPr="005A5DAF">
        <w:rPr>
          <w:szCs w:val="18"/>
        </w:rPr>
        <w:t>Grendler</w:t>
      </w:r>
      <w:proofErr w:type="spellEnd"/>
      <w:r w:rsidRPr="005A5DAF">
        <w:rPr>
          <w:szCs w:val="18"/>
        </w:rPr>
        <w:t xml:space="preserve">, </w:t>
      </w:r>
      <w:r w:rsidRPr="005A5DAF">
        <w:rPr>
          <w:i/>
          <w:szCs w:val="18"/>
        </w:rPr>
        <w:t>Schooling in Renaissance Italy</w:t>
      </w:r>
      <w:r w:rsidRPr="005A5DAF">
        <w:rPr>
          <w:szCs w:val="18"/>
        </w:rPr>
        <w:t>, 282</w:t>
      </w:r>
      <w:r>
        <w:rPr>
          <w:szCs w:val="18"/>
        </w:rPr>
        <w:t>, 285.</w:t>
      </w:r>
    </w:p>
  </w:footnote>
  <w:footnote w:id="112">
    <w:p w14:paraId="690FBD7E" w14:textId="77777777" w:rsidR="00182EED" w:rsidRDefault="00182EED" w:rsidP="001840E8">
      <w:pPr>
        <w:pStyle w:val="FootnoteText"/>
      </w:pPr>
      <w:r w:rsidRPr="00391186">
        <w:rPr>
          <w:rStyle w:val="FootnoteReference"/>
        </w:rPr>
        <w:footnoteRef/>
      </w:r>
      <w:r>
        <w:t xml:space="preserve"> </w:t>
      </w:r>
      <w:r w:rsidRPr="008660DD">
        <w:rPr>
          <w:lang w:val="en-US"/>
        </w:rPr>
        <w:t xml:space="preserve">Anne Jacobson Schutte, </w:t>
      </w:r>
      <w:r w:rsidRPr="008660DD">
        <w:rPr>
          <w:i/>
          <w:iCs/>
          <w:lang w:val="en-US"/>
        </w:rPr>
        <w:t>Printed Italian Vernacular Religious Books 1465-1550: A Finding List</w:t>
      </w:r>
      <w:r w:rsidRPr="008660DD">
        <w:rPr>
          <w:lang w:val="en-US"/>
        </w:rPr>
        <w:t xml:space="preserve"> (Geneva: </w:t>
      </w:r>
      <w:proofErr w:type="spellStart"/>
      <w:r w:rsidRPr="008660DD">
        <w:rPr>
          <w:lang w:val="en-US"/>
        </w:rPr>
        <w:t>Droz</w:t>
      </w:r>
      <w:proofErr w:type="spellEnd"/>
      <w:r w:rsidRPr="008660DD">
        <w:rPr>
          <w:lang w:val="en-US"/>
        </w:rPr>
        <w:t>, 1983), 321–23.</w:t>
      </w:r>
    </w:p>
  </w:footnote>
  <w:footnote w:id="113">
    <w:p w14:paraId="1BE58835" w14:textId="77777777" w:rsidR="00182EED" w:rsidRDefault="00182EED" w:rsidP="001840E8">
      <w:pPr>
        <w:pStyle w:val="FootnoteText"/>
      </w:pPr>
      <w:r w:rsidRPr="00391186">
        <w:rPr>
          <w:rStyle w:val="FootnoteReference"/>
        </w:rPr>
        <w:footnoteRef/>
      </w:r>
      <w:r>
        <w:t xml:space="preserve"> </w:t>
      </w:r>
      <w:r w:rsidRPr="008660DD">
        <w:rPr>
          <w:lang w:val="en-US"/>
        </w:rPr>
        <w:t xml:space="preserve">Girolamo Savonarola, </w:t>
      </w:r>
      <w:proofErr w:type="spellStart"/>
      <w:r w:rsidRPr="008660DD">
        <w:rPr>
          <w:i/>
          <w:iCs/>
          <w:lang w:val="en-US"/>
        </w:rPr>
        <w:t>Triumphus</w:t>
      </w:r>
      <w:proofErr w:type="spellEnd"/>
      <w:r w:rsidRPr="008660DD">
        <w:rPr>
          <w:i/>
          <w:iCs/>
          <w:lang w:val="en-US"/>
        </w:rPr>
        <w:t xml:space="preserve"> Crucis </w:t>
      </w:r>
      <w:proofErr w:type="spellStart"/>
      <w:r w:rsidRPr="008660DD">
        <w:rPr>
          <w:i/>
          <w:iCs/>
          <w:lang w:val="en-US"/>
        </w:rPr>
        <w:t>seu</w:t>
      </w:r>
      <w:proofErr w:type="spellEnd"/>
      <w:r w:rsidRPr="008660DD">
        <w:rPr>
          <w:i/>
          <w:iCs/>
          <w:lang w:val="en-US"/>
        </w:rPr>
        <w:t xml:space="preserve"> de </w:t>
      </w:r>
      <w:proofErr w:type="spellStart"/>
      <w:r w:rsidRPr="008660DD">
        <w:rPr>
          <w:i/>
          <w:iCs/>
          <w:lang w:val="en-US"/>
        </w:rPr>
        <w:t>Veritate</w:t>
      </w:r>
      <w:proofErr w:type="spellEnd"/>
      <w:r w:rsidRPr="008660DD">
        <w:rPr>
          <w:i/>
          <w:iCs/>
          <w:lang w:val="en-US"/>
        </w:rPr>
        <w:t xml:space="preserve"> Fidei</w:t>
      </w:r>
      <w:r w:rsidRPr="008660DD">
        <w:rPr>
          <w:lang w:val="en-US"/>
        </w:rPr>
        <w:t xml:space="preserve"> (Florence: Bartolomeo di Libri, 1497), III: 18. See also Chapter 1.4 of this thesis.</w:t>
      </w:r>
    </w:p>
  </w:footnote>
  <w:footnote w:id="114">
    <w:p w14:paraId="4FA70F47" w14:textId="77777777" w:rsidR="00182EED" w:rsidRDefault="00182EED" w:rsidP="001840E8">
      <w:pPr>
        <w:pStyle w:val="FootnoteText"/>
      </w:pPr>
      <w:r w:rsidRPr="00391186">
        <w:rPr>
          <w:rStyle w:val="FootnoteReference"/>
        </w:rPr>
        <w:footnoteRef/>
      </w:r>
      <w:r>
        <w:t xml:space="preserve"> </w:t>
      </w:r>
      <w:r w:rsidRPr="008660DD">
        <w:rPr>
          <w:lang w:val="en-US"/>
        </w:rPr>
        <w:t xml:space="preserve">On pictures of the Virgin Mary as models for brides see Luke Syson, “Representing Domestic Interiors,” in </w:t>
      </w:r>
      <w:r w:rsidRPr="008660DD">
        <w:rPr>
          <w:i/>
          <w:iCs/>
          <w:lang w:val="en-US"/>
        </w:rPr>
        <w:t>At Home in Renaissance Italy</w:t>
      </w:r>
      <w:r w:rsidRPr="008660DD">
        <w:rPr>
          <w:lang w:val="en-US"/>
        </w:rPr>
        <w:t xml:space="preserve">, ed. Marta </w:t>
      </w:r>
      <w:proofErr w:type="spellStart"/>
      <w:r w:rsidRPr="008660DD">
        <w:rPr>
          <w:lang w:val="en-US"/>
        </w:rPr>
        <w:t>Ajmar-Wollheim</w:t>
      </w:r>
      <w:proofErr w:type="spellEnd"/>
      <w:r w:rsidRPr="008660DD">
        <w:rPr>
          <w:lang w:val="en-US"/>
        </w:rPr>
        <w:t xml:space="preserve"> and Flora Dennis (London: V&amp;A Publications, 2006), 97; Mindy </w:t>
      </w:r>
      <w:proofErr w:type="spellStart"/>
      <w:r w:rsidRPr="008660DD">
        <w:rPr>
          <w:lang w:val="en-US"/>
        </w:rPr>
        <w:t>Nancarrow</w:t>
      </w:r>
      <w:proofErr w:type="spellEnd"/>
      <w:r w:rsidRPr="008660DD">
        <w:rPr>
          <w:lang w:val="en-US"/>
        </w:rPr>
        <w:t xml:space="preserve"> Taggard, “Murillo’s </w:t>
      </w:r>
      <w:r w:rsidRPr="008660DD">
        <w:rPr>
          <w:i/>
          <w:iCs/>
          <w:lang w:val="en-US"/>
        </w:rPr>
        <w:t>St. Anne Teaching the Virgin to Read</w:t>
      </w:r>
      <w:r w:rsidRPr="008660DD">
        <w:rPr>
          <w:lang w:val="en-US"/>
        </w:rPr>
        <w:t xml:space="preserve"> and the Question of Female Literacy and Learning in Golden Age Spain,” </w:t>
      </w:r>
      <w:proofErr w:type="spellStart"/>
      <w:r w:rsidRPr="008660DD">
        <w:rPr>
          <w:i/>
          <w:iCs/>
          <w:lang w:val="en-US"/>
        </w:rPr>
        <w:t>Konsthistorisk</w:t>
      </w:r>
      <w:proofErr w:type="spellEnd"/>
      <w:r w:rsidRPr="008660DD">
        <w:rPr>
          <w:i/>
          <w:iCs/>
          <w:lang w:val="en-US"/>
        </w:rPr>
        <w:t xml:space="preserve"> </w:t>
      </w:r>
      <w:proofErr w:type="spellStart"/>
      <w:r w:rsidRPr="008660DD">
        <w:rPr>
          <w:i/>
          <w:iCs/>
          <w:lang w:val="en-US"/>
        </w:rPr>
        <w:t>Tidskrift</w:t>
      </w:r>
      <w:proofErr w:type="spellEnd"/>
      <w:r w:rsidRPr="008660DD">
        <w:rPr>
          <w:i/>
          <w:iCs/>
          <w:lang w:val="en-US"/>
        </w:rPr>
        <w:t>/Journal of Art History</w:t>
      </w:r>
      <w:r w:rsidRPr="008660DD">
        <w:rPr>
          <w:lang w:val="en-US"/>
        </w:rPr>
        <w:t xml:space="preserve">, no. 68.1 (1999): 31–33; On the imitation of Christ during Early Christianity see Candida R. Moss, </w:t>
      </w:r>
      <w:r w:rsidRPr="008660DD">
        <w:rPr>
          <w:i/>
          <w:iCs/>
          <w:lang w:val="en-US"/>
        </w:rPr>
        <w:t>The Other Christs: Imitating Jesus in Ancient Christian Ideologies of Martyrdom</w:t>
      </w:r>
      <w:r w:rsidRPr="008660DD">
        <w:rPr>
          <w:lang w:val="en-US"/>
        </w:rPr>
        <w:t xml:space="preserve"> (Oxford: Oxford University Press, 2010), 19–44.</w:t>
      </w:r>
    </w:p>
  </w:footnote>
  <w:footnote w:id="115">
    <w:p w14:paraId="5701EF35" w14:textId="77777777" w:rsidR="00182EED" w:rsidRDefault="00182EED" w:rsidP="001840E8">
      <w:pPr>
        <w:pStyle w:val="FootnoteText"/>
      </w:pPr>
      <w:r w:rsidRPr="00391186">
        <w:rPr>
          <w:rStyle w:val="FootnoteReference"/>
        </w:rPr>
        <w:footnoteRef/>
      </w:r>
      <w:r>
        <w:t xml:space="preserve"> </w:t>
      </w:r>
      <w:r w:rsidRPr="008660DD">
        <w:rPr>
          <w:lang w:val="en-US"/>
        </w:rPr>
        <w:t xml:space="preserve">Maximilian von Habsburg, </w:t>
      </w:r>
      <w:r w:rsidRPr="008660DD">
        <w:rPr>
          <w:i/>
          <w:iCs/>
          <w:lang w:val="en-US"/>
        </w:rPr>
        <w:t xml:space="preserve">Catholic and Protestant Translations of the </w:t>
      </w:r>
      <w:proofErr w:type="spellStart"/>
      <w:r w:rsidRPr="008660DD">
        <w:rPr>
          <w:i/>
          <w:iCs/>
          <w:lang w:val="en-US"/>
        </w:rPr>
        <w:t>Imitatio</w:t>
      </w:r>
      <w:proofErr w:type="spellEnd"/>
      <w:r w:rsidRPr="008660DD">
        <w:rPr>
          <w:i/>
          <w:iCs/>
          <w:lang w:val="en-US"/>
        </w:rPr>
        <w:t xml:space="preserve"> Christi, 1425-1650: From Late Medieval Classic to Early Modern Bestseller</w:t>
      </w:r>
      <w:r w:rsidRPr="008660DD">
        <w:rPr>
          <w:lang w:val="en-US"/>
        </w:rPr>
        <w:t xml:space="preserve"> (</w:t>
      </w:r>
      <w:proofErr w:type="spellStart"/>
      <w:r w:rsidRPr="008660DD">
        <w:rPr>
          <w:lang w:val="en-US"/>
        </w:rPr>
        <w:t>Farnham</w:t>
      </w:r>
      <w:proofErr w:type="spellEnd"/>
      <w:r w:rsidRPr="008660DD">
        <w:rPr>
          <w:lang w:val="en-US"/>
        </w:rPr>
        <w:t xml:space="preserve"> and Burlington, VT: Ashgate, 2011), esp. 49-78, 79-106. The three Florentine editions noted above, produced by Antonio de Bartolommeo </w:t>
      </w:r>
      <w:proofErr w:type="spellStart"/>
      <w:r w:rsidRPr="008660DD">
        <w:rPr>
          <w:lang w:val="en-US"/>
        </w:rPr>
        <w:t>Miscomini</w:t>
      </w:r>
      <w:proofErr w:type="spellEnd"/>
      <w:r w:rsidRPr="008660DD">
        <w:rPr>
          <w:lang w:val="en-US"/>
        </w:rPr>
        <w:t>, are listed in the Universal Short Catalogue (USTC) online.</w:t>
      </w:r>
    </w:p>
  </w:footnote>
  <w:footnote w:id="116">
    <w:p w14:paraId="0042AAFC" w14:textId="77777777" w:rsidR="00182EED" w:rsidRDefault="00182EED" w:rsidP="001840E8">
      <w:pPr>
        <w:pStyle w:val="FootnoteText"/>
      </w:pPr>
      <w:r w:rsidRPr="00391186">
        <w:rPr>
          <w:rStyle w:val="FootnoteReference"/>
        </w:rPr>
        <w:footnoteRef/>
      </w:r>
      <w:r>
        <w:t xml:space="preserve"> </w:t>
      </w:r>
      <w:r w:rsidRPr="008660DD">
        <w:rPr>
          <w:lang w:val="en-US"/>
        </w:rPr>
        <w:t xml:space="preserve">On the use of </w:t>
      </w:r>
      <w:r>
        <w:rPr>
          <w:lang w:val="en-US"/>
        </w:rPr>
        <w:t>H</w:t>
      </w:r>
      <w:r w:rsidRPr="008660DD">
        <w:rPr>
          <w:lang w:val="en-US"/>
        </w:rPr>
        <w:t xml:space="preserve">istory as a source of moral exempla see Donald R. Kelley, “The Renaissance,” in </w:t>
      </w:r>
      <w:r w:rsidRPr="008660DD">
        <w:rPr>
          <w:i/>
          <w:iCs/>
          <w:lang w:val="en-US"/>
        </w:rPr>
        <w:t>Versions of History from Antiquity to the Enlightenment</w:t>
      </w:r>
      <w:r w:rsidRPr="008660DD">
        <w:rPr>
          <w:lang w:val="en-US"/>
        </w:rPr>
        <w:t xml:space="preserve">, ed. Donald R. Kelley (New Haven and London: Yale University Press, 1991), 218–19; Donald R. Kelley, “The Theory of History,” in </w:t>
      </w:r>
      <w:r w:rsidRPr="008660DD">
        <w:rPr>
          <w:i/>
          <w:iCs/>
          <w:lang w:val="en-US"/>
        </w:rPr>
        <w:t>The Cambridge History of Renaissance Philosophy</w:t>
      </w:r>
      <w:r w:rsidRPr="008660DD">
        <w:rPr>
          <w:lang w:val="en-US"/>
        </w:rPr>
        <w:t xml:space="preserve">, ed. Charles B. Schmitt et al. (Cambridge: Cambridge University Press, 1988), 746–50; Donald R. Kelley, </w:t>
      </w:r>
      <w:r w:rsidRPr="008660DD">
        <w:rPr>
          <w:i/>
          <w:iCs/>
          <w:lang w:val="en-US"/>
        </w:rPr>
        <w:t>Faces of History: Historical Inquiry from Herodotus to Herder</w:t>
      </w:r>
      <w:r w:rsidRPr="008660DD">
        <w:rPr>
          <w:lang w:val="en-US"/>
        </w:rPr>
        <w:t xml:space="preserve"> (New Haven and London: Yale University Press, 1998), 130–61; Timothy Hampton, </w:t>
      </w:r>
      <w:r w:rsidRPr="008660DD">
        <w:rPr>
          <w:i/>
          <w:iCs/>
          <w:lang w:val="en-US"/>
        </w:rPr>
        <w:t>Writing from History: The Rhetoric of Exemplarity in Renaissance Literature</w:t>
      </w:r>
      <w:r w:rsidRPr="008660DD">
        <w:rPr>
          <w:lang w:val="en-US"/>
        </w:rPr>
        <w:t xml:space="preserve"> (Ithaca and London: Cornell University Press, 1990), 1–30; On the imitation of </w:t>
      </w:r>
      <w:r w:rsidRPr="005F0F8B">
        <w:rPr>
          <w:i/>
          <w:iCs/>
          <w:lang w:val="en-US"/>
        </w:rPr>
        <w:t>exempla</w:t>
      </w:r>
      <w:r w:rsidRPr="008660DD">
        <w:rPr>
          <w:lang w:val="en-US"/>
        </w:rPr>
        <w:t xml:space="preserve"> see John D. Lyons, </w:t>
      </w:r>
      <w:r w:rsidRPr="008660DD">
        <w:rPr>
          <w:i/>
          <w:iCs/>
          <w:lang w:val="en-US"/>
        </w:rPr>
        <w:t>Exemplum: The Rhetoric of Example in Early Modern France and Italy</w:t>
      </w:r>
      <w:r w:rsidRPr="008660DD">
        <w:rPr>
          <w:lang w:val="en-US"/>
        </w:rPr>
        <w:t xml:space="preserve"> (Princeton, NJ: Princeton University Press, 1989), 12-14 and passim esp. 47-71; </w:t>
      </w:r>
      <w:proofErr w:type="spellStart"/>
      <w:r w:rsidRPr="008660DD">
        <w:rPr>
          <w:lang w:val="en-US"/>
        </w:rPr>
        <w:t>Grendler</w:t>
      </w:r>
      <w:proofErr w:type="spellEnd"/>
      <w:r w:rsidRPr="008660DD">
        <w:rPr>
          <w:lang w:val="en-US"/>
        </w:rPr>
        <w:t xml:space="preserve">, </w:t>
      </w:r>
      <w:r w:rsidRPr="008660DD">
        <w:rPr>
          <w:i/>
          <w:iCs/>
          <w:lang w:val="en-US"/>
        </w:rPr>
        <w:t>Schooling in Renaissance Italy</w:t>
      </w:r>
      <w:r w:rsidRPr="008660DD">
        <w:rPr>
          <w:lang w:val="en-US"/>
        </w:rPr>
        <w:t>, 263–64.</w:t>
      </w:r>
    </w:p>
  </w:footnote>
  <w:footnote w:id="117">
    <w:p w14:paraId="18A63A26" w14:textId="77777777" w:rsidR="00182EED" w:rsidRDefault="00182EED" w:rsidP="001840E8">
      <w:pPr>
        <w:pStyle w:val="FootnoteText"/>
      </w:pPr>
      <w:r w:rsidRPr="00391186">
        <w:rPr>
          <w:rStyle w:val="FootnoteReference"/>
        </w:rPr>
        <w:footnoteRef/>
      </w:r>
      <w:r>
        <w:t xml:space="preserve"> </w:t>
      </w:r>
      <w:r w:rsidRPr="00205892">
        <w:rPr>
          <w:lang w:val="en-US"/>
        </w:rPr>
        <w:t xml:space="preserve">“Cum </w:t>
      </w:r>
      <w:proofErr w:type="spellStart"/>
      <w:r w:rsidRPr="00205892">
        <w:rPr>
          <w:lang w:val="en-US"/>
        </w:rPr>
        <w:t>sancto</w:t>
      </w:r>
      <w:proofErr w:type="spellEnd"/>
      <w:r w:rsidRPr="00205892">
        <w:rPr>
          <w:lang w:val="en-US"/>
        </w:rPr>
        <w:t xml:space="preserve"> </w:t>
      </w:r>
      <w:proofErr w:type="spellStart"/>
      <w:r w:rsidRPr="00205892">
        <w:rPr>
          <w:lang w:val="en-US"/>
        </w:rPr>
        <w:t>sanctus</w:t>
      </w:r>
      <w:proofErr w:type="spellEnd"/>
      <w:r w:rsidRPr="00205892">
        <w:rPr>
          <w:lang w:val="en-US"/>
        </w:rPr>
        <w:t xml:space="preserve"> </w:t>
      </w:r>
      <w:proofErr w:type="spellStart"/>
      <w:r w:rsidRPr="00205892">
        <w:rPr>
          <w:lang w:val="en-US"/>
        </w:rPr>
        <w:t>eris</w:t>
      </w:r>
      <w:proofErr w:type="spellEnd"/>
      <w:r w:rsidRPr="00205892">
        <w:rPr>
          <w:lang w:val="en-US"/>
        </w:rPr>
        <w:t xml:space="preserve"> et cum </w:t>
      </w:r>
      <w:proofErr w:type="spellStart"/>
      <w:r w:rsidRPr="00205892">
        <w:rPr>
          <w:lang w:val="en-US"/>
        </w:rPr>
        <w:t>innocentes</w:t>
      </w:r>
      <w:proofErr w:type="spellEnd"/>
      <w:r w:rsidRPr="00205892">
        <w:rPr>
          <w:lang w:val="en-US"/>
        </w:rPr>
        <w:t xml:space="preserve"> </w:t>
      </w:r>
      <w:proofErr w:type="spellStart"/>
      <w:r w:rsidRPr="00205892">
        <w:rPr>
          <w:lang w:val="en-US"/>
        </w:rPr>
        <w:t>innocens</w:t>
      </w:r>
      <w:proofErr w:type="spellEnd"/>
      <w:r w:rsidRPr="00205892">
        <w:rPr>
          <w:lang w:val="en-US"/>
        </w:rPr>
        <w:t xml:space="preserve"> </w:t>
      </w:r>
      <w:proofErr w:type="spellStart"/>
      <w:r w:rsidRPr="00205892">
        <w:rPr>
          <w:lang w:val="en-US"/>
        </w:rPr>
        <w:t>eris</w:t>
      </w:r>
      <w:proofErr w:type="spellEnd"/>
      <w:r w:rsidRPr="00205892">
        <w:rPr>
          <w:lang w:val="en-US"/>
        </w:rPr>
        <w:t xml:space="preserve">; et cum </w:t>
      </w:r>
      <w:proofErr w:type="spellStart"/>
      <w:r w:rsidRPr="00205892">
        <w:rPr>
          <w:lang w:val="en-US"/>
        </w:rPr>
        <w:t>electo</w:t>
      </w:r>
      <w:proofErr w:type="spellEnd"/>
      <w:r w:rsidRPr="00205892">
        <w:rPr>
          <w:lang w:val="en-US"/>
        </w:rPr>
        <w:t xml:space="preserve"> </w:t>
      </w:r>
      <w:proofErr w:type="spellStart"/>
      <w:r w:rsidRPr="00205892">
        <w:rPr>
          <w:lang w:val="en-US"/>
        </w:rPr>
        <w:t>electus</w:t>
      </w:r>
      <w:proofErr w:type="spellEnd"/>
      <w:r w:rsidRPr="00205892">
        <w:rPr>
          <w:lang w:val="en-US"/>
        </w:rPr>
        <w:t xml:space="preserve"> </w:t>
      </w:r>
      <w:proofErr w:type="spellStart"/>
      <w:r w:rsidRPr="00205892">
        <w:rPr>
          <w:lang w:val="en-US"/>
        </w:rPr>
        <w:t>eri</w:t>
      </w:r>
      <w:proofErr w:type="spellEnd"/>
      <w:r w:rsidRPr="00205892">
        <w:rPr>
          <w:lang w:val="en-US"/>
        </w:rPr>
        <w:t xml:space="preserve">, et cum </w:t>
      </w:r>
      <w:proofErr w:type="spellStart"/>
      <w:r w:rsidRPr="00205892">
        <w:rPr>
          <w:lang w:val="en-US"/>
        </w:rPr>
        <w:t>perverso</w:t>
      </w:r>
      <w:proofErr w:type="spellEnd"/>
      <w:r w:rsidRPr="00205892">
        <w:rPr>
          <w:lang w:val="en-US"/>
        </w:rPr>
        <w:t xml:space="preserve"> </w:t>
      </w:r>
      <w:proofErr w:type="spellStart"/>
      <w:r w:rsidRPr="00205892">
        <w:rPr>
          <w:lang w:val="en-US"/>
        </w:rPr>
        <w:t>perverteris</w:t>
      </w:r>
      <w:proofErr w:type="spellEnd"/>
      <w:r w:rsidRPr="00205892">
        <w:rPr>
          <w:lang w:val="en-US"/>
        </w:rPr>
        <w:t xml:space="preserve">” (from Psalm 17). Giovanni </w:t>
      </w:r>
      <w:proofErr w:type="spellStart"/>
      <w:r w:rsidRPr="00205892">
        <w:rPr>
          <w:lang w:val="en-US"/>
        </w:rPr>
        <w:t>Dominici</w:t>
      </w:r>
      <w:proofErr w:type="spellEnd"/>
      <w:r w:rsidRPr="00205892">
        <w:rPr>
          <w:lang w:val="en-US"/>
        </w:rPr>
        <w:t xml:space="preserve">, </w:t>
      </w:r>
      <w:proofErr w:type="spellStart"/>
      <w:r w:rsidRPr="00205892">
        <w:rPr>
          <w:i/>
          <w:iCs/>
          <w:lang w:val="en-US"/>
        </w:rPr>
        <w:t>Regola</w:t>
      </w:r>
      <w:proofErr w:type="spellEnd"/>
      <w:r w:rsidRPr="00205892">
        <w:rPr>
          <w:i/>
          <w:iCs/>
          <w:lang w:val="en-US"/>
        </w:rPr>
        <w:t xml:space="preserve"> Del </w:t>
      </w:r>
      <w:proofErr w:type="spellStart"/>
      <w:r w:rsidRPr="00205892">
        <w:rPr>
          <w:i/>
          <w:iCs/>
          <w:lang w:val="en-US"/>
        </w:rPr>
        <w:t>Governo</w:t>
      </w:r>
      <w:proofErr w:type="spellEnd"/>
      <w:r w:rsidRPr="00205892">
        <w:rPr>
          <w:i/>
          <w:iCs/>
          <w:lang w:val="en-US"/>
        </w:rPr>
        <w:t xml:space="preserve"> Di </w:t>
      </w:r>
      <w:proofErr w:type="spellStart"/>
      <w:r w:rsidRPr="00205892">
        <w:rPr>
          <w:i/>
          <w:iCs/>
          <w:lang w:val="en-US"/>
        </w:rPr>
        <w:t>Cura</w:t>
      </w:r>
      <w:proofErr w:type="spellEnd"/>
      <w:r w:rsidRPr="00205892">
        <w:rPr>
          <w:i/>
          <w:iCs/>
          <w:lang w:val="en-US"/>
        </w:rPr>
        <w:t xml:space="preserve"> </w:t>
      </w:r>
      <w:proofErr w:type="spellStart"/>
      <w:r w:rsidRPr="00205892">
        <w:rPr>
          <w:i/>
          <w:iCs/>
          <w:lang w:val="en-US"/>
        </w:rPr>
        <w:t>Familiare</w:t>
      </w:r>
      <w:proofErr w:type="spellEnd"/>
      <w:r w:rsidRPr="00205892">
        <w:rPr>
          <w:lang w:val="en-US"/>
        </w:rPr>
        <w:t xml:space="preserve">, ed. Donato Salvi (Florence: </w:t>
      </w:r>
      <w:proofErr w:type="spellStart"/>
      <w:r w:rsidRPr="00205892">
        <w:rPr>
          <w:lang w:val="en-US"/>
        </w:rPr>
        <w:t>Angiolo</w:t>
      </w:r>
      <w:proofErr w:type="spellEnd"/>
      <w:r w:rsidRPr="00205892">
        <w:rPr>
          <w:lang w:val="en-US"/>
        </w:rPr>
        <w:t xml:space="preserve"> </w:t>
      </w:r>
      <w:proofErr w:type="spellStart"/>
      <w:r w:rsidRPr="00205892">
        <w:rPr>
          <w:lang w:val="en-US"/>
        </w:rPr>
        <w:t>Garinei</w:t>
      </w:r>
      <w:proofErr w:type="spellEnd"/>
      <w:r w:rsidRPr="00205892">
        <w:rPr>
          <w:lang w:val="en-US"/>
        </w:rPr>
        <w:t xml:space="preserve"> </w:t>
      </w:r>
      <w:proofErr w:type="spellStart"/>
      <w:r w:rsidRPr="00205892">
        <w:rPr>
          <w:lang w:val="en-US"/>
        </w:rPr>
        <w:t>Libraio</w:t>
      </w:r>
      <w:proofErr w:type="spellEnd"/>
      <w:r w:rsidRPr="00205892">
        <w:rPr>
          <w:lang w:val="en-US"/>
        </w:rPr>
        <w:t>, 1860), 142.</w:t>
      </w:r>
    </w:p>
  </w:footnote>
  <w:footnote w:id="118">
    <w:p w14:paraId="3C118AEA" w14:textId="77777777" w:rsidR="00182EED" w:rsidRDefault="00182EED" w:rsidP="001840E8">
      <w:pPr>
        <w:pStyle w:val="FootnoteText"/>
      </w:pPr>
      <w:r w:rsidRPr="00391186">
        <w:rPr>
          <w:rStyle w:val="FootnoteReference"/>
        </w:rPr>
        <w:footnoteRef/>
      </w:r>
      <w:r>
        <w:t xml:space="preserve"> </w:t>
      </w:r>
      <w:proofErr w:type="spellStart"/>
      <w:r w:rsidRPr="00083985">
        <w:rPr>
          <w:lang w:val="en-US"/>
        </w:rPr>
        <w:t>Vergerio</w:t>
      </w:r>
      <w:proofErr w:type="spellEnd"/>
      <w:r w:rsidRPr="00083985">
        <w:rPr>
          <w:lang w:val="en-US"/>
        </w:rPr>
        <w:t xml:space="preserve">, “The Character and Studies Befitting a Free-Born Youth,” 12–13; </w:t>
      </w:r>
      <w:r w:rsidRPr="00083985">
        <w:rPr>
          <w:lang w:val="en-US"/>
        </w:rPr>
        <w:t xml:space="preserve">Also in Italian in </w:t>
      </w:r>
      <w:proofErr w:type="spellStart"/>
      <w:r w:rsidRPr="00083985">
        <w:rPr>
          <w:lang w:val="en-US"/>
        </w:rPr>
        <w:t>Garin</w:t>
      </w:r>
      <w:proofErr w:type="spellEnd"/>
      <w:r w:rsidRPr="00083985">
        <w:rPr>
          <w:lang w:val="en-US"/>
        </w:rPr>
        <w:t xml:space="preserve">, </w:t>
      </w:r>
      <w:proofErr w:type="spellStart"/>
      <w:r w:rsidRPr="00083985">
        <w:rPr>
          <w:i/>
          <w:iCs/>
          <w:lang w:val="en-US"/>
        </w:rPr>
        <w:t>L’educazione</w:t>
      </w:r>
      <w:proofErr w:type="spellEnd"/>
      <w:r w:rsidRPr="00083985">
        <w:rPr>
          <w:i/>
          <w:iCs/>
          <w:lang w:val="en-US"/>
        </w:rPr>
        <w:t xml:space="preserve"> </w:t>
      </w:r>
      <w:proofErr w:type="spellStart"/>
      <w:r w:rsidRPr="00083985">
        <w:rPr>
          <w:i/>
          <w:iCs/>
          <w:lang w:val="en-US"/>
        </w:rPr>
        <w:t>umanistica</w:t>
      </w:r>
      <w:proofErr w:type="spellEnd"/>
      <w:r w:rsidRPr="00083985">
        <w:rPr>
          <w:i/>
          <w:iCs/>
          <w:lang w:val="en-US"/>
        </w:rPr>
        <w:t xml:space="preserve"> in Italia</w:t>
      </w:r>
      <w:r w:rsidRPr="00083985">
        <w:rPr>
          <w:lang w:val="en-US"/>
        </w:rPr>
        <w:t>, 57–58.</w:t>
      </w:r>
    </w:p>
  </w:footnote>
  <w:footnote w:id="119">
    <w:p w14:paraId="080B0351" w14:textId="77777777" w:rsidR="00182EED" w:rsidRDefault="00182EED" w:rsidP="001840E8">
      <w:pPr>
        <w:pStyle w:val="FootnoteText"/>
      </w:pPr>
      <w:r w:rsidRPr="00391186">
        <w:rPr>
          <w:rStyle w:val="FootnoteReference"/>
        </w:rPr>
        <w:footnoteRef/>
      </w:r>
      <w:r>
        <w:t xml:space="preserve"> </w:t>
      </w:r>
      <w:r w:rsidRPr="00083985">
        <w:rPr>
          <w:lang w:val="en-US"/>
        </w:rPr>
        <w:t xml:space="preserve">“É tale </w:t>
      </w:r>
      <w:proofErr w:type="spellStart"/>
      <w:r w:rsidRPr="00083985">
        <w:rPr>
          <w:lang w:val="en-US"/>
        </w:rPr>
        <w:t>età</w:t>
      </w:r>
      <w:proofErr w:type="spellEnd"/>
      <w:r w:rsidRPr="00083985">
        <w:rPr>
          <w:lang w:val="en-US"/>
        </w:rPr>
        <w:t xml:space="preserve"> come </w:t>
      </w:r>
      <w:proofErr w:type="spellStart"/>
      <w:r w:rsidRPr="00083985">
        <w:rPr>
          <w:lang w:val="en-US"/>
        </w:rPr>
        <w:t>disposta</w:t>
      </w:r>
      <w:proofErr w:type="spellEnd"/>
      <w:r w:rsidRPr="00083985">
        <w:rPr>
          <w:lang w:val="en-US"/>
        </w:rPr>
        <w:t xml:space="preserve"> </w:t>
      </w:r>
      <w:proofErr w:type="spellStart"/>
      <w:r w:rsidRPr="00083985">
        <w:rPr>
          <w:lang w:val="en-US"/>
        </w:rPr>
        <w:t>cera</w:t>
      </w:r>
      <w:proofErr w:type="spellEnd"/>
      <w:r w:rsidRPr="00083985">
        <w:rPr>
          <w:lang w:val="en-US"/>
        </w:rPr>
        <w:t xml:space="preserve">, e </w:t>
      </w:r>
      <w:proofErr w:type="spellStart"/>
      <w:r w:rsidRPr="00083985">
        <w:rPr>
          <w:lang w:val="en-US"/>
        </w:rPr>
        <w:t>piglia</w:t>
      </w:r>
      <w:proofErr w:type="spellEnd"/>
      <w:r w:rsidRPr="00083985">
        <w:rPr>
          <w:lang w:val="en-US"/>
        </w:rPr>
        <w:t xml:space="preserve"> </w:t>
      </w:r>
      <w:proofErr w:type="spellStart"/>
      <w:r w:rsidRPr="00083985">
        <w:rPr>
          <w:lang w:val="en-US"/>
        </w:rPr>
        <w:t>quella</w:t>
      </w:r>
      <w:proofErr w:type="spellEnd"/>
      <w:r w:rsidRPr="00083985">
        <w:rPr>
          <w:lang w:val="en-US"/>
        </w:rPr>
        <w:t xml:space="preserve"> </w:t>
      </w:r>
      <w:proofErr w:type="spellStart"/>
      <w:r w:rsidRPr="00083985">
        <w:rPr>
          <w:lang w:val="en-US"/>
        </w:rPr>
        <w:t>impronta</w:t>
      </w:r>
      <w:proofErr w:type="spellEnd"/>
      <w:r w:rsidRPr="00083985">
        <w:rPr>
          <w:lang w:val="en-US"/>
        </w:rPr>
        <w:t xml:space="preserve"> vi </w:t>
      </w:r>
      <w:proofErr w:type="spellStart"/>
      <w:r w:rsidRPr="00083985">
        <w:rPr>
          <w:lang w:val="en-US"/>
        </w:rPr>
        <w:t>s’accosta</w:t>
      </w:r>
      <w:proofErr w:type="spellEnd"/>
      <w:r w:rsidRPr="00083985">
        <w:rPr>
          <w:lang w:val="en-US"/>
        </w:rPr>
        <w:t xml:space="preserve">.” </w:t>
      </w:r>
      <w:proofErr w:type="spellStart"/>
      <w:r w:rsidRPr="00083985">
        <w:rPr>
          <w:lang w:val="en-US"/>
        </w:rPr>
        <w:t>Dominici</w:t>
      </w:r>
      <w:proofErr w:type="spellEnd"/>
      <w:r w:rsidRPr="00083985">
        <w:rPr>
          <w:lang w:val="en-US"/>
        </w:rPr>
        <w:t xml:space="preserve">, </w:t>
      </w:r>
      <w:proofErr w:type="spellStart"/>
      <w:r w:rsidRPr="00083985">
        <w:rPr>
          <w:i/>
          <w:iCs/>
          <w:lang w:val="en-US"/>
        </w:rPr>
        <w:t>Regola</w:t>
      </w:r>
      <w:proofErr w:type="spellEnd"/>
      <w:r w:rsidRPr="00083985">
        <w:rPr>
          <w:i/>
          <w:iCs/>
          <w:lang w:val="en-US"/>
        </w:rPr>
        <w:t xml:space="preserve"> Del </w:t>
      </w:r>
      <w:proofErr w:type="spellStart"/>
      <w:r w:rsidRPr="00083985">
        <w:rPr>
          <w:i/>
          <w:iCs/>
          <w:lang w:val="en-US"/>
        </w:rPr>
        <w:t>Governo</w:t>
      </w:r>
      <w:proofErr w:type="spellEnd"/>
      <w:r w:rsidRPr="00083985">
        <w:rPr>
          <w:i/>
          <w:iCs/>
          <w:lang w:val="en-US"/>
        </w:rPr>
        <w:t xml:space="preserve"> Di </w:t>
      </w:r>
      <w:proofErr w:type="spellStart"/>
      <w:r w:rsidRPr="00083985">
        <w:rPr>
          <w:i/>
          <w:iCs/>
          <w:lang w:val="en-US"/>
        </w:rPr>
        <w:t>Cura</w:t>
      </w:r>
      <w:proofErr w:type="spellEnd"/>
      <w:r w:rsidRPr="00083985">
        <w:rPr>
          <w:i/>
          <w:iCs/>
          <w:lang w:val="en-US"/>
        </w:rPr>
        <w:t xml:space="preserve"> </w:t>
      </w:r>
      <w:proofErr w:type="spellStart"/>
      <w:r w:rsidRPr="00083985">
        <w:rPr>
          <w:i/>
          <w:iCs/>
          <w:lang w:val="en-US"/>
        </w:rPr>
        <w:t>Familiare</w:t>
      </w:r>
      <w:proofErr w:type="spellEnd"/>
      <w:r w:rsidRPr="00083985">
        <w:rPr>
          <w:lang w:val="en-US"/>
        </w:rPr>
        <w:t xml:space="preserve">, 132; </w:t>
      </w:r>
      <w:proofErr w:type="spellStart"/>
      <w:r w:rsidRPr="00083985">
        <w:rPr>
          <w:lang w:val="en-US"/>
        </w:rPr>
        <w:t>Fortini</w:t>
      </w:r>
      <w:proofErr w:type="spellEnd"/>
      <w:r w:rsidRPr="00083985">
        <w:rPr>
          <w:lang w:val="en-US"/>
        </w:rPr>
        <w:t xml:space="preserve"> Brown, “Children and Education,” 141.</w:t>
      </w:r>
    </w:p>
  </w:footnote>
  <w:footnote w:id="120">
    <w:p w14:paraId="298AEAFB" w14:textId="77777777" w:rsidR="00182EED" w:rsidRDefault="00182EED" w:rsidP="001840E8">
      <w:pPr>
        <w:pStyle w:val="FootnoteText"/>
      </w:pPr>
      <w:r w:rsidRPr="00391186">
        <w:rPr>
          <w:rStyle w:val="FootnoteReference"/>
        </w:rPr>
        <w:footnoteRef/>
      </w:r>
      <w:r>
        <w:t xml:space="preserve"> </w:t>
      </w:r>
      <w:r w:rsidRPr="00391186">
        <w:rPr>
          <w:lang w:val="en-US"/>
        </w:rPr>
        <w:t>“</w:t>
      </w:r>
      <w:proofErr w:type="spellStart"/>
      <w:r w:rsidRPr="00391186">
        <w:rPr>
          <w:lang w:val="en-US"/>
        </w:rPr>
        <w:t>Haec</w:t>
      </w:r>
      <w:proofErr w:type="spellEnd"/>
      <w:r w:rsidRPr="00391186">
        <w:rPr>
          <w:lang w:val="en-US"/>
        </w:rPr>
        <w:t xml:space="preserve"> </w:t>
      </w:r>
      <w:proofErr w:type="spellStart"/>
      <w:r w:rsidRPr="00391186">
        <w:rPr>
          <w:lang w:val="en-US"/>
        </w:rPr>
        <w:t>aetas</w:t>
      </w:r>
      <w:proofErr w:type="spellEnd"/>
      <w:r w:rsidRPr="00391186">
        <w:rPr>
          <w:lang w:val="en-US"/>
        </w:rPr>
        <w:t xml:space="preserve">, hic animus, </w:t>
      </w:r>
      <w:proofErr w:type="spellStart"/>
      <w:r w:rsidRPr="00391186">
        <w:rPr>
          <w:lang w:val="en-US"/>
        </w:rPr>
        <w:t>mollis</w:t>
      </w:r>
      <w:proofErr w:type="spellEnd"/>
      <w:r w:rsidRPr="00391186">
        <w:rPr>
          <w:lang w:val="en-US"/>
        </w:rPr>
        <w:t xml:space="preserve"> </w:t>
      </w:r>
      <w:proofErr w:type="spellStart"/>
      <w:r w:rsidRPr="00391186">
        <w:rPr>
          <w:lang w:val="en-US"/>
        </w:rPr>
        <w:t>adhuc</w:t>
      </w:r>
      <w:proofErr w:type="spellEnd"/>
      <w:r w:rsidRPr="00391186">
        <w:rPr>
          <w:lang w:val="en-US"/>
        </w:rPr>
        <w:t xml:space="preserve"> </w:t>
      </w:r>
      <w:proofErr w:type="spellStart"/>
      <w:r w:rsidRPr="00391186">
        <w:rPr>
          <w:lang w:val="en-US"/>
        </w:rPr>
        <w:t>ad</w:t>
      </w:r>
      <w:proofErr w:type="spellEnd"/>
      <w:r w:rsidRPr="00391186">
        <w:rPr>
          <w:lang w:val="en-US"/>
        </w:rPr>
        <w:t xml:space="preserve"> </w:t>
      </w:r>
      <w:proofErr w:type="spellStart"/>
      <w:r w:rsidRPr="00391186">
        <w:rPr>
          <w:lang w:val="en-US"/>
        </w:rPr>
        <w:t>effingendum</w:t>
      </w:r>
      <w:proofErr w:type="spellEnd"/>
      <w:r w:rsidRPr="00391186">
        <w:rPr>
          <w:lang w:val="en-US"/>
        </w:rPr>
        <w:t xml:space="preserve"> </w:t>
      </w:r>
      <w:proofErr w:type="spellStart"/>
      <w:r w:rsidRPr="00391186">
        <w:rPr>
          <w:lang w:val="en-US"/>
        </w:rPr>
        <w:t>facillumum</w:t>
      </w:r>
      <w:proofErr w:type="spellEnd"/>
      <w:r w:rsidRPr="00391186">
        <w:rPr>
          <w:lang w:val="en-US"/>
        </w:rPr>
        <w:t xml:space="preserve"> est. Nam </w:t>
      </w:r>
      <w:proofErr w:type="spellStart"/>
      <w:r w:rsidRPr="00391186">
        <w:rPr>
          <w:lang w:val="en-US"/>
        </w:rPr>
        <w:t>ut</w:t>
      </w:r>
      <w:proofErr w:type="spellEnd"/>
      <w:r w:rsidRPr="00391186">
        <w:rPr>
          <w:lang w:val="en-US"/>
        </w:rPr>
        <w:t xml:space="preserve"> </w:t>
      </w:r>
      <w:proofErr w:type="spellStart"/>
      <w:r w:rsidRPr="00391186">
        <w:rPr>
          <w:lang w:val="en-US"/>
        </w:rPr>
        <w:t>sigillum</w:t>
      </w:r>
      <w:proofErr w:type="spellEnd"/>
      <w:r w:rsidRPr="00391186">
        <w:rPr>
          <w:lang w:val="en-US"/>
        </w:rPr>
        <w:t xml:space="preserve"> </w:t>
      </w:r>
      <w:proofErr w:type="spellStart"/>
      <w:r w:rsidRPr="00391186">
        <w:rPr>
          <w:lang w:val="en-US"/>
        </w:rPr>
        <w:t>teneris</w:t>
      </w:r>
      <w:proofErr w:type="spellEnd"/>
      <w:r w:rsidRPr="00391186">
        <w:rPr>
          <w:lang w:val="en-US"/>
        </w:rPr>
        <w:t xml:space="preserve"> </w:t>
      </w:r>
      <w:proofErr w:type="spellStart"/>
      <w:r w:rsidRPr="00391186">
        <w:rPr>
          <w:lang w:val="en-US"/>
        </w:rPr>
        <w:t>ceris</w:t>
      </w:r>
      <w:proofErr w:type="spellEnd"/>
      <w:r w:rsidRPr="00391186">
        <w:rPr>
          <w:lang w:val="en-US"/>
        </w:rPr>
        <w:t xml:space="preserve"> </w:t>
      </w:r>
      <w:proofErr w:type="spellStart"/>
      <w:r w:rsidRPr="00391186">
        <w:rPr>
          <w:lang w:val="en-US"/>
        </w:rPr>
        <w:t>imprimimus</w:t>
      </w:r>
      <w:proofErr w:type="spellEnd"/>
      <w:r w:rsidRPr="00391186">
        <w:rPr>
          <w:lang w:val="en-US"/>
        </w:rPr>
        <w:t xml:space="preserve">, sic in </w:t>
      </w:r>
      <w:proofErr w:type="spellStart"/>
      <w:r w:rsidRPr="00391186">
        <w:rPr>
          <w:lang w:val="en-US"/>
        </w:rPr>
        <w:t>pueris</w:t>
      </w:r>
      <w:proofErr w:type="spellEnd"/>
      <w:r w:rsidRPr="00391186">
        <w:rPr>
          <w:lang w:val="en-US"/>
        </w:rPr>
        <w:t xml:space="preserve"> </w:t>
      </w:r>
      <w:proofErr w:type="spellStart"/>
      <w:r w:rsidRPr="00391186">
        <w:rPr>
          <w:lang w:val="en-US"/>
        </w:rPr>
        <w:t>nutricis</w:t>
      </w:r>
      <w:proofErr w:type="spellEnd"/>
      <w:r w:rsidRPr="00391186">
        <w:rPr>
          <w:lang w:val="en-US"/>
        </w:rPr>
        <w:t xml:space="preserve"> </w:t>
      </w:r>
      <w:proofErr w:type="spellStart"/>
      <w:r w:rsidRPr="00391186">
        <w:rPr>
          <w:lang w:val="en-US"/>
        </w:rPr>
        <w:t>affectiones</w:t>
      </w:r>
      <w:proofErr w:type="spellEnd"/>
      <w:r w:rsidRPr="00391186">
        <w:rPr>
          <w:lang w:val="en-US"/>
        </w:rPr>
        <w:t xml:space="preserve"> et </w:t>
      </w:r>
      <w:proofErr w:type="spellStart"/>
      <w:r w:rsidRPr="00391186">
        <w:rPr>
          <w:lang w:val="en-US"/>
        </w:rPr>
        <w:t>morbi</w:t>
      </w:r>
      <w:proofErr w:type="spellEnd"/>
      <w:r w:rsidRPr="00391186">
        <w:rPr>
          <w:lang w:val="en-US"/>
        </w:rPr>
        <w:t xml:space="preserve"> </w:t>
      </w:r>
      <w:proofErr w:type="spellStart"/>
      <w:r w:rsidRPr="00391186">
        <w:rPr>
          <w:lang w:val="en-US"/>
        </w:rPr>
        <w:t>celari</w:t>
      </w:r>
      <w:proofErr w:type="spellEnd"/>
      <w:r w:rsidRPr="00391186">
        <w:rPr>
          <w:lang w:val="en-US"/>
        </w:rPr>
        <w:t xml:space="preserve"> </w:t>
      </w:r>
      <w:proofErr w:type="spellStart"/>
      <w:r w:rsidRPr="00391186">
        <w:rPr>
          <w:lang w:val="en-US"/>
        </w:rPr>
        <w:t>solent</w:t>
      </w:r>
      <w:proofErr w:type="spellEnd"/>
      <w:r w:rsidRPr="00391186">
        <w:rPr>
          <w:lang w:val="en-US"/>
        </w:rPr>
        <w:t xml:space="preserve">.” </w:t>
      </w:r>
      <w:proofErr w:type="spellStart"/>
      <w:r w:rsidRPr="00391186">
        <w:rPr>
          <w:lang w:val="en-US"/>
        </w:rPr>
        <w:t>Barbaro</w:t>
      </w:r>
      <w:proofErr w:type="spellEnd"/>
      <w:r w:rsidRPr="00391186">
        <w:rPr>
          <w:lang w:val="en-US"/>
        </w:rPr>
        <w:t>, “</w:t>
      </w:r>
      <w:r w:rsidRPr="00391186">
        <w:rPr>
          <w:i/>
          <w:iCs/>
          <w:lang w:val="en-US"/>
        </w:rPr>
        <w:t xml:space="preserve">De </w:t>
      </w:r>
      <w:proofErr w:type="spellStart"/>
      <w:r w:rsidRPr="00391186">
        <w:rPr>
          <w:i/>
          <w:iCs/>
          <w:lang w:val="en-US"/>
        </w:rPr>
        <w:t>Liberorum</w:t>
      </w:r>
      <w:proofErr w:type="spellEnd"/>
      <w:r w:rsidRPr="00391186">
        <w:rPr>
          <w:i/>
          <w:iCs/>
          <w:lang w:val="en-US"/>
        </w:rPr>
        <w:t xml:space="preserve"> </w:t>
      </w:r>
      <w:proofErr w:type="spellStart"/>
      <w:r w:rsidRPr="00391186">
        <w:rPr>
          <w:i/>
          <w:iCs/>
          <w:lang w:val="en-US"/>
        </w:rPr>
        <w:t>Educatione</w:t>
      </w:r>
      <w:proofErr w:type="spellEnd"/>
      <w:r w:rsidRPr="00391186">
        <w:rPr>
          <w:lang w:val="en-US"/>
        </w:rPr>
        <w:t xml:space="preserve"> Dal </w:t>
      </w:r>
      <w:r w:rsidRPr="00391186">
        <w:rPr>
          <w:i/>
          <w:iCs/>
          <w:lang w:val="en-US"/>
        </w:rPr>
        <w:t xml:space="preserve">De Re </w:t>
      </w:r>
      <w:proofErr w:type="spellStart"/>
      <w:r w:rsidRPr="00391186">
        <w:rPr>
          <w:i/>
          <w:iCs/>
          <w:lang w:val="en-US"/>
        </w:rPr>
        <w:t>Uxoria</w:t>
      </w:r>
      <w:proofErr w:type="spellEnd"/>
      <w:r w:rsidRPr="00391186">
        <w:rPr>
          <w:lang w:val="en-US"/>
        </w:rPr>
        <w:t xml:space="preserve">,” 140; English translation from </w:t>
      </w:r>
      <w:proofErr w:type="spellStart"/>
      <w:r w:rsidRPr="00391186">
        <w:rPr>
          <w:lang w:val="en-US"/>
        </w:rPr>
        <w:t>Barbaro</w:t>
      </w:r>
      <w:proofErr w:type="spellEnd"/>
      <w:r w:rsidRPr="00391186">
        <w:rPr>
          <w:lang w:val="en-US"/>
        </w:rPr>
        <w:t>, “On Wifely Duties,” 223–24; Also quoted in Hairston, “The Economics of Milk and Blood,” 202.</w:t>
      </w:r>
    </w:p>
  </w:footnote>
  <w:footnote w:id="121">
    <w:p w14:paraId="51656DA2" w14:textId="77777777" w:rsidR="00182EED" w:rsidRDefault="00182EED" w:rsidP="001840E8">
      <w:pPr>
        <w:pStyle w:val="FootnoteText"/>
      </w:pPr>
      <w:r w:rsidRPr="00391186">
        <w:rPr>
          <w:rStyle w:val="FootnoteReference"/>
        </w:rPr>
        <w:footnoteRef/>
      </w:r>
      <w:r>
        <w:t xml:space="preserve"> </w:t>
      </w:r>
      <w:r w:rsidRPr="00083985">
        <w:rPr>
          <w:lang w:val="en-US"/>
        </w:rPr>
        <w:t>“</w:t>
      </w:r>
      <w:proofErr w:type="spellStart"/>
      <w:r w:rsidRPr="00083985">
        <w:rPr>
          <w:lang w:val="en-US"/>
        </w:rPr>
        <w:t>Iacienda</w:t>
      </w:r>
      <w:proofErr w:type="spellEnd"/>
      <w:r w:rsidRPr="00083985">
        <w:rPr>
          <w:lang w:val="en-US"/>
        </w:rPr>
        <w:t xml:space="preserve"> sunt </w:t>
      </w:r>
      <w:proofErr w:type="spellStart"/>
      <w:r w:rsidRPr="00083985">
        <w:rPr>
          <w:lang w:val="en-US"/>
        </w:rPr>
        <w:t>igitur</w:t>
      </w:r>
      <w:proofErr w:type="spellEnd"/>
      <w:r w:rsidRPr="00083985">
        <w:rPr>
          <w:lang w:val="en-US"/>
        </w:rPr>
        <w:t xml:space="preserve"> in </w:t>
      </w:r>
      <w:proofErr w:type="spellStart"/>
      <w:r w:rsidRPr="00083985">
        <w:rPr>
          <w:lang w:val="en-US"/>
        </w:rPr>
        <w:t>hac</w:t>
      </w:r>
      <w:proofErr w:type="spellEnd"/>
      <w:r w:rsidRPr="00083985">
        <w:rPr>
          <w:lang w:val="en-US"/>
        </w:rPr>
        <w:t xml:space="preserve"> aetate </w:t>
      </w:r>
      <w:proofErr w:type="spellStart"/>
      <w:r w:rsidRPr="00083985">
        <w:rPr>
          <w:lang w:val="en-US"/>
        </w:rPr>
        <w:t>fundamenta</w:t>
      </w:r>
      <w:proofErr w:type="spellEnd"/>
      <w:r w:rsidRPr="00083985">
        <w:rPr>
          <w:lang w:val="en-US"/>
        </w:rPr>
        <w:t xml:space="preserve"> bene vivendi et </w:t>
      </w:r>
      <w:proofErr w:type="spellStart"/>
      <w:r w:rsidRPr="00083985">
        <w:rPr>
          <w:lang w:val="en-US"/>
        </w:rPr>
        <w:t>conformandus</w:t>
      </w:r>
      <w:proofErr w:type="spellEnd"/>
      <w:r w:rsidRPr="00083985">
        <w:rPr>
          <w:lang w:val="en-US"/>
        </w:rPr>
        <w:t xml:space="preserve"> </w:t>
      </w:r>
      <w:proofErr w:type="spellStart"/>
      <w:r w:rsidRPr="00083985">
        <w:rPr>
          <w:lang w:val="en-US"/>
        </w:rPr>
        <w:t>ad</w:t>
      </w:r>
      <w:proofErr w:type="spellEnd"/>
      <w:r w:rsidRPr="00083985">
        <w:rPr>
          <w:lang w:val="en-US"/>
        </w:rPr>
        <w:t xml:space="preserve"> </w:t>
      </w:r>
      <w:proofErr w:type="spellStart"/>
      <w:r w:rsidRPr="00083985">
        <w:rPr>
          <w:lang w:val="en-US"/>
        </w:rPr>
        <w:t>virtutem</w:t>
      </w:r>
      <w:proofErr w:type="spellEnd"/>
      <w:r w:rsidRPr="00083985">
        <w:rPr>
          <w:lang w:val="en-US"/>
        </w:rPr>
        <w:t xml:space="preserve"> animus, </w:t>
      </w:r>
      <w:proofErr w:type="spellStart"/>
      <w:r w:rsidRPr="00083985">
        <w:rPr>
          <w:lang w:val="en-US"/>
        </w:rPr>
        <w:t>dum</w:t>
      </w:r>
      <w:proofErr w:type="spellEnd"/>
      <w:r w:rsidRPr="00083985">
        <w:rPr>
          <w:lang w:val="en-US"/>
        </w:rPr>
        <w:t xml:space="preserve"> </w:t>
      </w:r>
      <w:proofErr w:type="spellStart"/>
      <w:r w:rsidRPr="00083985">
        <w:rPr>
          <w:lang w:val="en-US"/>
        </w:rPr>
        <w:t>tener</w:t>
      </w:r>
      <w:proofErr w:type="spellEnd"/>
      <w:r w:rsidRPr="00083985">
        <w:rPr>
          <w:lang w:val="en-US"/>
        </w:rPr>
        <w:t xml:space="preserve"> </w:t>
      </w:r>
      <w:proofErr w:type="spellStart"/>
      <w:r w:rsidRPr="00083985">
        <w:rPr>
          <w:lang w:val="en-US"/>
        </w:rPr>
        <w:t>est</w:t>
      </w:r>
      <w:proofErr w:type="spellEnd"/>
      <w:r w:rsidRPr="00083985">
        <w:rPr>
          <w:lang w:val="en-US"/>
        </w:rPr>
        <w:t xml:space="preserve"> et facilis </w:t>
      </w:r>
      <w:proofErr w:type="spellStart"/>
      <w:r w:rsidRPr="00083985">
        <w:rPr>
          <w:lang w:val="en-US"/>
        </w:rPr>
        <w:t>quamlibet</w:t>
      </w:r>
      <w:proofErr w:type="spellEnd"/>
      <w:r w:rsidRPr="00083985">
        <w:rPr>
          <w:lang w:val="en-US"/>
        </w:rPr>
        <w:t xml:space="preserve"> </w:t>
      </w:r>
      <w:proofErr w:type="spellStart"/>
      <w:r w:rsidRPr="00083985">
        <w:rPr>
          <w:lang w:val="en-US"/>
        </w:rPr>
        <w:t>impressionem</w:t>
      </w:r>
      <w:proofErr w:type="spellEnd"/>
      <w:r w:rsidRPr="00083985">
        <w:rPr>
          <w:lang w:val="en-US"/>
        </w:rPr>
        <w:t xml:space="preserve"> </w:t>
      </w:r>
      <w:proofErr w:type="spellStart"/>
      <w:r w:rsidRPr="00083985">
        <w:rPr>
          <w:lang w:val="en-US"/>
        </w:rPr>
        <w:t>admittere</w:t>
      </w:r>
      <w:proofErr w:type="spellEnd"/>
      <w:r w:rsidRPr="00083985">
        <w:rPr>
          <w:lang w:val="en-US"/>
        </w:rPr>
        <w:t xml:space="preserve">: </w:t>
      </w:r>
      <w:proofErr w:type="spellStart"/>
      <w:r w:rsidRPr="00083985">
        <w:rPr>
          <w:lang w:val="en-US"/>
        </w:rPr>
        <w:t>quae</w:t>
      </w:r>
      <w:proofErr w:type="spellEnd"/>
      <w:r w:rsidRPr="00083985">
        <w:rPr>
          <w:lang w:val="en-US"/>
        </w:rPr>
        <w:t xml:space="preserve"> </w:t>
      </w:r>
      <w:proofErr w:type="spellStart"/>
      <w:r w:rsidRPr="00083985">
        <w:rPr>
          <w:lang w:val="en-US"/>
        </w:rPr>
        <w:t>ut</w:t>
      </w:r>
      <w:proofErr w:type="spellEnd"/>
      <w:r w:rsidRPr="00083985">
        <w:rPr>
          <w:lang w:val="en-US"/>
        </w:rPr>
        <w:t xml:space="preserve"> </w:t>
      </w:r>
      <w:proofErr w:type="spellStart"/>
      <w:r w:rsidRPr="00083985">
        <w:rPr>
          <w:lang w:val="en-US"/>
        </w:rPr>
        <w:t>nunc</w:t>
      </w:r>
      <w:proofErr w:type="spellEnd"/>
      <w:r w:rsidRPr="00083985">
        <w:rPr>
          <w:lang w:val="en-US"/>
        </w:rPr>
        <w:t xml:space="preserve"> </w:t>
      </w:r>
      <w:proofErr w:type="spellStart"/>
      <w:r w:rsidRPr="00083985">
        <w:rPr>
          <w:lang w:val="en-US"/>
        </w:rPr>
        <w:t>erit</w:t>
      </w:r>
      <w:proofErr w:type="spellEnd"/>
      <w:r w:rsidRPr="00083985">
        <w:rPr>
          <w:lang w:val="en-US"/>
        </w:rPr>
        <w:t xml:space="preserve">, </w:t>
      </w:r>
      <w:proofErr w:type="spellStart"/>
      <w:r w:rsidRPr="00083985">
        <w:rPr>
          <w:lang w:val="en-US"/>
        </w:rPr>
        <w:t>ita</w:t>
      </w:r>
      <w:proofErr w:type="spellEnd"/>
      <w:r w:rsidRPr="00083985">
        <w:rPr>
          <w:lang w:val="en-US"/>
        </w:rPr>
        <w:t xml:space="preserve"> et in </w:t>
      </w:r>
      <w:proofErr w:type="spellStart"/>
      <w:r w:rsidRPr="00083985">
        <w:rPr>
          <w:lang w:val="en-US"/>
        </w:rPr>
        <w:t>reliqua</w:t>
      </w:r>
      <w:proofErr w:type="spellEnd"/>
      <w:r w:rsidRPr="00083985">
        <w:rPr>
          <w:lang w:val="en-US"/>
        </w:rPr>
        <w:t xml:space="preserve"> vita </w:t>
      </w:r>
      <w:proofErr w:type="spellStart"/>
      <w:r w:rsidRPr="00083985">
        <w:rPr>
          <w:lang w:val="en-US"/>
        </w:rPr>
        <w:t>servabitur</w:t>
      </w:r>
      <w:proofErr w:type="spellEnd"/>
      <w:r w:rsidRPr="00083985">
        <w:rPr>
          <w:lang w:val="en-US"/>
        </w:rPr>
        <w:t xml:space="preserve">.” </w:t>
      </w:r>
      <w:proofErr w:type="spellStart"/>
      <w:r w:rsidRPr="00083985">
        <w:rPr>
          <w:lang w:val="en-US"/>
        </w:rPr>
        <w:t>Vergerio</w:t>
      </w:r>
      <w:proofErr w:type="spellEnd"/>
      <w:r w:rsidRPr="00083985">
        <w:rPr>
          <w:lang w:val="en-US"/>
        </w:rPr>
        <w:t>, “The Character and Studies Befitting a Free-Born Youth,” 4–5.</w:t>
      </w:r>
    </w:p>
  </w:footnote>
  <w:footnote w:id="122">
    <w:p w14:paraId="3B2BC082" w14:textId="77777777" w:rsidR="00182EED" w:rsidRDefault="00182EED" w:rsidP="001840E8">
      <w:pPr>
        <w:pStyle w:val="FootnoteText"/>
      </w:pPr>
      <w:r w:rsidRPr="00391186">
        <w:rPr>
          <w:rStyle w:val="FootnoteReference"/>
        </w:rPr>
        <w:footnoteRef/>
      </w:r>
      <w:r>
        <w:t xml:space="preserve"> </w:t>
      </w:r>
      <w:r w:rsidRPr="00205892">
        <w:rPr>
          <w:lang w:val="en-US"/>
        </w:rPr>
        <w:t>“</w:t>
      </w:r>
      <w:proofErr w:type="spellStart"/>
      <w:r w:rsidRPr="00205892">
        <w:rPr>
          <w:lang w:val="en-US"/>
        </w:rPr>
        <w:t>Omnes</w:t>
      </w:r>
      <w:proofErr w:type="spellEnd"/>
      <w:r w:rsidRPr="00205892">
        <w:rPr>
          <w:lang w:val="en-US"/>
        </w:rPr>
        <w:t xml:space="preserve"> </w:t>
      </w:r>
      <w:proofErr w:type="spellStart"/>
      <w:r w:rsidRPr="00205892">
        <w:rPr>
          <w:lang w:val="en-US"/>
        </w:rPr>
        <w:t>tamen</w:t>
      </w:r>
      <w:proofErr w:type="spellEnd"/>
      <w:r w:rsidRPr="00205892">
        <w:rPr>
          <w:lang w:val="en-US"/>
        </w:rPr>
        <w:t xml:space="preserve"> a </w:t>
      </w:r>
      <w:proofErr w:type="spellStart"/>
      <w:r w:rsidRPr="00205892">
        <w:rPr>
          <w:lang w:val="en-US"/>
        </w:rPr>
        <w:t>pueritia</w:t>
      </w:r>
      <w:proofErr w:type="spellEnd"/>
      <w:r w:rsidRPr="00205892">
        <w:rPr>
          <w:lang w:val="en-US"/>
        </w:rPr>
        <w:t xml:space="preserve"> </w:t>
      </w:r>
      <w:proofErr w:type="spellStart"/>
      <w:r w:rsidRPr="00205892">
        <w:rPr>
          <w:lang w:val="en-US"/>
        </w:rPr>
        <w:t>studiis</w:t>
      </w:r>
      <w:proofErr w:type="spellEnd"/>
      <w:r w:rsidRPr="00205892">
        <w:rPr>
          <w:lang w:val="en-US"/>
        </w:rPr>
        <w:t xml:space="preserve"> </w:t>
      </w:r>
      <w:proofErr w:type="spellStart"/>
      <w:r w:rsidRPr="00205892">
        <w:rPr>
          <w:lang w:val="en-US"/>
        </w:rPr>
        <w:t>laboribusque</w:t>
      </w:r>
      <w:proofErr w:type="spellEnd"/>
      <w:r w:rsidRPr="00205892">
        <w:rPr>
          <w:lang w:val="en-US"/>
        </w:rPr>
        <w:t xml:space="preserve"> </w:t>
      </w:r>
      <w:proofErr w:type="spellStart"/>
      <w:r w:rsidRPr="00205892">
        <w:rPr>
          <w:lang w:val="en-US"/>
        </w:rPr>
        <w:t>mancipanci</w:t>
      </w:r>
      <w:proofErr w:type="spellEnd"/>
      <w:r w:rsidRPr="00205892">
        <w:rPr>
          <w:lang w:val="en-US"/>
        </w:rPr>
        <w:t xml:space="preserve"> sunt, ‘Dum </w:t>
      </w:r>
      <w:proofErr w:type="spellStart"/>
      <w:r w:rsidRPr="00205892">
        <w:rPr>
          <w:lang w:val="en-US"/>
        </w:rPr>
        <w:t>faciles</w:t>
      </w:r>
      <w:proofErr w:type="spellEnd"/>
      <w:r w:rsidRPr="00205892">
        <w:rPr>
          <w:lang w:val="en-US"/>
        </w:rPr>
        <w:t xml:space="preserve"> animi </w:t>
      </w:r>
      <w:proofErr w:type="spellStart"/>
      <w:r w:rsidRPr="00205892">
        <w:rPr>
          <w:lang w:val="en-US"/>
        </w:rPr>
        <w:t>iuvenum</w:t>
      </w:r>
      <w:proofErr w:type="spellEnd"/>
      <w:r w:rsidRPr="00205892">
        <w:rPr>
          <w:lang w:val="en-US"/>
        </w:rPr>
        <w:t xml:space="preserve">, </w:t>
      </w:r>
      <w:proofErr w:type="spellStart"/>
      <w:r w:rsidRPr="00205892">
        <w:rPr>
          <w:lang w:val="en-US"/>
        </w:rPr>
        <w:t>dum</w:t>
      </w:r>
      <w:proofErr w:type="spellEnd"/>
      <w:r w:rsidRPr="00205892">
        <w:rPr>
          <w:lang w:val="en-US"/>
        </w:rPr>
        <w:t xml:space="preserve"> </w:t>
      </w:r>
      <w:proofErr w:type="spellStart"/>
      <w:r w:rsidRPr="00205892">
        <w:rPr>
          <w:lang w:val="en-US"/>
        </w:rPr>
        <w:t>mobilis</w:t>
      </w:r>
      <w:proofErr w:type="spellEnd"/>
      <w:r w:rsidRPr="00205892">
        <w:rPr>
          <w:lang w:val="en-US"/>
        </w:rPr>
        <w:t xml:space="preserve"> etas’, </w:t>
      </w:r>
      <w:proofErr w:type="spellStart"/>
      <w:r w:rsidRPr="00205892">
        <w:rPr>
          <w:lang w:val="en-US"/>
        </w:rPr>
        <w:t>ut</w:t>
      </w:r>
      <w:proofErr w:type="spellEnd"/>
      <w:r w:rsidRPr="00205892">
        <w:rPr>
          <w:lang w:val="en-US"/>
        </w:rPr>
        <w:t xml:space="preserve"> </w:t>
      </w:r>
      <w:proofErr w:type="spellStart"/>
      <w:r w:rsidRPr="00205892">
        <w:rPr>
          <w:lang w:val="en-US"/>
        </w:rPr>
        <w:t>est</w:t>
      </w:r>
      <w:proofErr w:type="spellEnd"/>
      <w:r w:rsidRPr="00205892">
        <w:rPr>
          <w:lang w:val="en-US"/>
        </w:rPr>
        <w:t xml:space="preserve"> </w:t>
      </w:r>
      <w:proofErr w:type="spellStart"/>
      <w:r w:rsidRPr="00205892">
        <w:rPr>
          <w:lang w:val="en-US"/>
        </w:rPr>
        <w:t>Maronis</w:t>
      </w:r>
      <w:proofErr w:type="spellEnd"/>
      <w:r w:rsidRPr="00205892">
        <w:rPr>
          <w:lang w:val="en-US"/>
        </w:rPr>
        <w:t xml:space="preserve"> versus.” Ibid., 30–31 Here </w:t>
      </w:r>
      <w:proofErr w:type="spellStart"/>
      <w:r w:rsidRPr="00205892">
        <w:rPr>
          <w:lang w:val="en-US"/>
        </w:rPr>
        <w:t>Vergerio</w:t>
      </w:r>
      <w:proofErr w:type="spellEnd"/>
      <w:r w:rsidRPr="00205892">
        <w:rPr>
          <w:lang w:val="en-US"/>
        </w:rPr>
        <w:t xml:space="preserve"> refers to Virgil, </w:t>
      </w:r>
      <w:r w:rsidRPr="00205892">
        <w:rPr>
          <w:i/>
          <w:iCs/>
          <w:lang w:val="en-US"/>
        </w:rPr>
        <w:t>Georgics</w:t>
      </w:r>
      <w:r w:rsidRPr="00205892">
        <w:rPr>
          <w:lang w:val="en-US"/>
        </w:rPr>
        <w:t>, 3.165.</w:t>
      </w:r>
    </w:p>
  </w:footnote>
  <w:footnote w:id="123">
    <w:p w14:paraId="18852135" w14:textId="77777777" w:rsidR="00182EED" w:rsidRDefault="00182EED" w:rsidP="001840E8">
      <w:pPr>
        <w:pStyle w:val="FootnoteText"/>
      </w:pPr>
      <w:r w:rsidRPr="00391186">
        <w:rPr>
          <w:rStyle w:val="FootnoteReference"/>
        </w:rPr>
        <w:footnoteRef/>
      </w:r>
      <w:r>
        <w:t xml:space="preserve"> </w:t>
      </w:r>
      <w:r w:rsidRPr="00871FA3">
        <w:rPr>
          <w:lang w:val="en-US"/>
        </w:rPr>
        <w:t xml:space="preserve">Plato, </w:t>
      </w:r>
      <w:r w:rsidRPr="00871FA3">
        <w:rPr>
          <w:i/>
          <w:iCs/>
          <w:lang w:val="en-US"/>
        </w:rPr>
        <w:t>The Republic</w:t>
      </w:r>
      <w:r w:rsidRPr="00871FA3">
        <w:rPr>
          <w:lang w:val="en-US"/>
        </w:rPr>
        <w:t>, ed. and trans. Allan Bloom (New York: Basic Books, 1968), II, 54.</w:t>
      </w:r>
    </w:p>
  </w:footnote>
  <w:footnote w:id="124">
    <w:p w14:paraId="4657A9E6" w14:textId="77777777" w:rsidR="00182EED" w:rsidRDefault="00182EED" w:rsidP="001840E8">
      <w:pPr>
        <w:pStyle w:val="FootnoteText"/>
      </w:pPr>
      <w:r w:rsidRPr="00391186">
        <w:rPr>
          <w:rStyle w:val="FootnoteReference"/>
        </w:rPr>
        <w:footnoteRef/>
      </w:r>
      <w:r>
        <w:t xml:space="preserve"> </w:t>
      </w:r>
      <w:r w:rsidRPr="00871FA3">
        <w:rPr>
          <w:lang w:val="en-US"/>
        </w:rPr>
        <w:t xml:space="preserve">Ibid., II, 55; On another occasion Plato goes even further by stating that the soul of drinkers can be trained and </w:t>
      </w:r>
      <w:proofErr w:type="spellStart"/>
      <w:r w:rsidRPr="00871FA3">
        <w:rPr>
          <w:lang w:val="en-US"/>
        </w:rPr>
        <w:t>moulded</w:t>
      </w:r>
      <w:proofErr w:type="spellEnd"/>
      <w:r w:rsidRPr="00871FA3">
        <w:rPr>
          <w:lang w:val="en-US"/>
        </w:rPr>
        <w:t xml:space="preserve">, by virtue of their similarity to those of children, see Plato, </w:t>
      </w:r>
      <w:r w:rsidRPr="00871FA3">
        <w:rPr>
          <w:i/>
          <w:iCs/>
          <w:lang w:val="en-US"/>
        </w:rPr>
        <w:t>The Laws</w:t>
      </w:r>
      <w:r w:rsidRPr="00871FA3">
        <w:rPr>
          <w:lang w:val="en-US"/>
        </w:rPr>
        <w:t xml:space="preserve">, trans. Thomas L </w:t>
      </w:r>
      <w:proofErr w:type="spellStart"/>
      <w:r w:rsidRPr="00871FA3">
        <w:rPr>
          <w:lang w:val="en-US"/>
        </w:rPr>
        <w:t>Pangle</w:t>
      </w:r>
      <w:proofErr w:type="spellEnd"/>
      <w:r w:rsidRPr="00871FA3">
        <w:rPr>
          <w:lang w:val="en-US"/>
        </w:rPr>
        <w:t xml:space="preserve"> (Chicago: University of Chicago Press, 1988), II, 53.</w:t>
      </w:r>
    </w:p>
  </w:footnote>
  <w:footnote w:id="125">
    <w:p w14:paraId="2C1DA683" w14:textId="77777777" w:rsidR="00182EED" w:rsidRDefault="00182EED" w:rsidP="001840E8">
      <w:pPr>
        <w:pStyle w:val="FootnoteText"/>
      </w:pPr>
      <w:r w:rsidRPr="00391186">
        <w:rPr>
          <w:rStyle w:val="FootnoteReference"/>
        </w:rPr>
        <w:footnoteRef/>
      </w:r>
      <w:r>
        <w:t xml:space="preserve"> </w:t>
      </w:r>
      <w:r w:rsidRPr="00871FA3">
        <w:rPr>
          <w:lang w:val="en-US"/>
        </w:rPr>
        <w:t>Plutarch, “The Education of Children,” vol.1, 15, 17 (original Greek: 14, 16).</w:t>
      </w:r>
    </w:p>
  </w:footnote>
  <w:footnote w:id="126">
    <w:p w14:paraId="0889ADC9" w14:textId="77777777" w:rsidR="00182EED" w:rsidRDefault="00182EED" w:rsidP="008B3E4C">
      <w:pPr>
        <w:pStyle w:val="FootnoteText"/>
      </w:pPr>
      <w:r w:rsidRPr="00391186">
        <w:rPr>
          <w:rStyle w:val="FootnoteReference"/>
        </w:rPr>
        <w:footnoteRef/>
      </w:r>
      <w:r>
        <w:t xml:space="preserve"> </w:t>
      </w:r>
      <w:r w:rsidRPr="00205892">
        <w:rPr>
          <w:lang w:val="en-US"/>
        </w:rPr>
        <w:t>“</w:t>
      </w:r>
      <w:proofErr w:type="spellStart"/>
      <w:r w:rsidRPr="00205892">
        <w:rPr>
          <w:lang w:val="en-US"/>
        </w:rPr>
        <w:t>Ubi</w:t>
      </w:r>
      <w:proofErr w:type="spellEnd"/>
      <w:r w:rsidRPr="00205892">
        <w:rPr>
          <w:lang w:val="en-US"/>
        </w:rPr>
        <w:t xml:space="preserve"> </w:t>
      </w:r>
      <w:proofErr w:type="spellStart"/>
      <w:r w:rsidRPr="00205892">
        <w:rPr>
          <w:lang w:val="en-US"/>
        </w:rPr>
        <w:t>uxoribus</w:t>
      </w:r>
      <w:proofErr w:type="spellEnd"/>
      <w:r w:rsidRPr="00205892">
        <w:rPr>
          <w:lang w:val="en-US"/>
        </w:rPr>
        <w:t xml:space="preserve"> </w:t>
      </w:r>
      <w:proofErr w:type="spellStart"/>
      <w:r w:rsidRPr="00205892">
        <w:rPr>
          <w:lang w:val="en-US"/>
        </w:rPr>
        <w:t>conveniat</w:t>
      </w:r>
      <w:proofErr w:type="spellEnd"/>
      <w:r w:rsidRPr="00205892">
        <w:rPr>
          <w:lang w:val="en-US"/>
        </w:rPr>
        <w:t xml:space="preserve">, </w:t>
      </w:r>
      <w:proofErr w:type="spellStart"/>
      <w:r w:rsidRPr="00205892">
        <w:rPr>
          <w:lang w:val="en-US"/>
        </w:rPr>
        <w:t>nonnisi</w:t>
      </w:r>
      <w:proofErr w:type="spellEnd"/>
      <w:r w:rsidRPr="00205892">
        <w:rPr>
          <w:lang w:val="en-US"/>
        </w:rPr>
        <w:t xml:space="preserve"> </w:t>
      </w:r>
      <w:proofErr w:type="spellStart"/>
      <w:r w:rsidRPr="00205892">
        <w:rPr>
          <w:lang w:val="en-US"/>
        </w:rPr>
        <w:t>dignissimos</w:t>
      </w:r>
      <w:proofErr w:type="spellEnd"/>
      <w:r w:rsidRPr="00205892">
        <w:rPr>
          <w:lang w:val="en-US"/>
        </w:rPr>
        <w:t xml:space="preserve"> </w:t>
      </w:r>
      <w:proofErr w:type="spellStart"/>
      <w:r w:rsidRPr="00205892">
        <w:rPr>
          <w:lang w:val="en-US"/>
        </w:rPr>
        <w:t>hominum</w:t>
      </w:r>
      <w:proofErr w:type="spellEnd"/>
      <w:r w:rsidRPr="00205892">
        <w:rPr>
          <w:lang w:val="en-US"/>
        </w:rPr>
        <w:t xml:space="preserve"> et </w:t>
      </w:r>
      <w:proofErr w:type="spellStart"/>
      <w:r w:rsidRPr="00205892">
        <w:rPr>
          <w:lang w:val="en-US"/>
        </w:rPr>
        <w:t>formosissimos</w:t>
      </w:r>
      <w:proofErr w:type="spellEnd"/>
      <w:r w:rsidRPr="00205892">
        <w:rPr>
          <w:lang w:val="en-US"/>
        </w:rPr>
        <w:t xml:space="preserve"> </w:t>
      </w:r>
      <w:proofErr w:type="spellStart"/>
      <w:r w:rsidRPr="00205892">
        <w:rPr>
          <w:lang w:val="en-US"/>
        </w:rPr>
        <w:t>vultus</w:t>
      </w:r>
      <w:proofErr w:type="spellEnd"/>
      <w:r w:rsidRPr="00205892">
        <w:rPr>
          <w:lang w:val="en-US"/>
        </w:rPr>
        <w:t xml:space="preserve"> </w:t>
      </w:r>
      <w:proofErr w:type="spellStart"/>
      <w:r w:rsidRPr="00205892">
        <w:rPr>
          <w:lang w:val="en-US"/>
        </w:rPr>
        <w:t>pingas</w:t>
      </w:r>
      <w:proofErr w:type="spellEnd"/>
      <w:r w:rsidRPr="00205892">
        <w:rPr>
          <w:lang w:val="en-US"/>
        </w:rPr>
        <w:t xml:space="preserve"> </w:t>
      </w:r>
      <w:proofErr w:type="spellStart"/>
      <w:r w:rsidRPr="00205892">
        <w:rPr>
          <w:lang w:val="en-US"/>
        </w:rPr>
        <w:t>monent</w:t>
      </w:r>
      <w:proofErr w:type="spellEnd"/>
      <w:r w:rsidRPr="00205892">
        <w:rPr>
          <w:lang w:val="en-US"/>
        </w:rPr>
        <w:t xml:space="preserve">; </w:t>
      </w:r>
      <w:proofErr w:type="spellStart"/>
      <w:r w:rsidRPr="00205892">
        <w:rPr>
          <w:lang w:val="en-US"/>
        </w:rPr>
        <w:t>plurimum</w:t>
      </w:r>
      <w:proofErr w:type="spellEnd"/>
      <w:r w:rsidRPr="00205892">
        <w:rPr>
          <w:lang w:val="en-US"/>
        </w:rPr>
        <w:t xml:space="preserve"> </w:t>
      </w:r>
      <w:proofErr w:type="spellStart"/>
      <w:r w:rsidRPr="00205892">
        <w:rPr>
          <w:lang w:val="en-US"/>
        </w:rPr>
        <w:t>enim</w:t>
      </w:r>
      <w:proofErr w:type="spellEnd"/>
      <w:r w:rsidRPr="00205892">
        <w:rPr>
          <w:lang w:val="en-US"/>
        </w:rPr>
        <w:t xml:space="preserve"> habere id </w:t>
      </w:r>
      <w:proofErr w:type="spellStart"/>
      <w:r w:rsidRPr="00205892">
        <w:rPr>
          <w:lang w:val="en-US"/>
        </w:rPr>
        <w:t>momenti</w:t>
      </w:r>
      <w:proofErr w:type="spellEnd"/>
      <w:r w:rsidRPr="00205892">
        <w:rPr>
          <w:lang w:val="en-US"/>
        </w:rPr>
        <w:t xml:space="preserve"> ad conceptus </w:t>
      </w:r>
      <w:proofErr w:type="spellStart"/>
      <w:r w:rsidRPr="00205892">
        <w:rPr>
          <w:lang w:val="en-US"/>
        </w:rPr>
        <w:t>matronarum</w:t>
      </w:r>
      <w:proofErr w:type="spellEnd"/>
      <w:r w:rsidRPr="00205892">
        <w:rPr>
          <w:lang w:val="en-US"/>
        </w:rPr>
        <w:t xml:space="preserve"> et </w:t>
      </w:r>
      <w:proofErr w:type="spellStart"/>
      <w:r w:rsidRPr="00205892">
        <w:rPr>
          <w:lang w:val="en-US"/>
        </w:rPr>
        <w:t>futuram</w:t>
      </w:r>
      <w:proofErr w:type="spellEnd"/>
      <w:r w:rsidRPr="00205892">
        <w:rPr>
          <w:lang w:val="en-US"/>
        </w:rPr>
        <w:t xml:space="preserve"> </w:t>
      </w:r>
      <w:proofErr w:type="spellStart"/>
      <w:r w:rsidRPr="00205892">
        <w:rPr>
          <w:lang w:val="en-US"/>
        </w:rPr>
        <w:t>spetiem</w:t>
      </w:r>
      <w:proofErr w:type="spellEnd"/>
      <w:r w:rsidRPr="00205892">
        <w:rPr>
          <w:lang w:val="en-US"/>
        </w:rPr>
        <w:t xml:space="preserve"> </w:t>
      </w:r>
      <w:proofErr w:type="spellStart"/>
      <w:r w:rsidRPr="00205892">
        <w:rPr>
          <w:lang w:val="en-US"/>
        </w:rPr>
        <w:t>prolis</w:t>
      </w:r>
      <w:proofErr w:type="spellEnd"/>
      <w:r w:rsidRPr="00205892">
        <w:rPr>
          <w:lang w:val="en-US"/>
        </w:rPr>
        <w:t xml:space="preserve"> </w:t>
      </w:r>
      <w:proofErr w:type="spellStart"/>
      <w:r w:rsidRPr="00205892">
        <w:rPr>
          <w:lang w:val="en-US"/>
        </w:rPr>
        <w:t>ferunt</w:t>
      </w:r>
      <w:proofErr w:type="spellEnd"/>
      <w:r w:rsidRPr="00205892">
        <w:rPr>
          <w:lang w:val="en-US"/>
        </w:rPr>
        <w:t xml:space="preserve">.” Leon Battista Alberti, </w:t>
      </w:r>
      <w:proofErr w:type="spellStart"/>
      <w:r w:rsidRPr="00205892">
        <w:rPr>
          <w:i/>
          <w:iCs/>
          <w:lang w:val="en-US"/>
        </w:rPr>
        <w:t>L’Architettura</w:t>
      </w:r>
      <w:proofErr w:type="spellEnd"/>
      <w:r w:rsidRPr="00205892">
        <w:rPr>
          <w:i/>
          <w:iCs/>
          <w:lang w:val="en-US"/>
        </w:rPr>
        <w:t xml:space="preserve"> (De re </w:t>
      </w:r>
      <w:proofErr w:type="spellStart"/>
      <w:r w:rsidRPr="00205892">
        <w:rPr>
          <w:i/>
          <w:iCs/>
          <w:lang w:val="en-US"/>
        </w:rPr>
        <w:t>aedificatoria</w:t>
      </w:r>
      <w:proofErr w:type="spellEnd"/>
      <w:r w:rsidRPr="00205892">
        <w:rPr>
          <w:i/>
          <w:iCs/>
          <w:lang w:val="en-US"/>
        </w:rPr>
        <w:t>)</w:t>
      </w:r>
      <w:r w:rsidRPr="00205892">
        <w:rPr>
          <w:lang w:val="en-US"/>
        </w:rPr>
        <w:t xml:space="preserve">, ed. and trans. Giovanni </w:t>
      </w:r>
      <w:proofErr w:type="spellStart"/>
      <w:r w:rsidRPr="00205892">
        <w:rPr>
          <w:lang w:val="en-US"/>
        </w:rPr>
        <w:t>Orlandi</w:t>
      </w:r>
      <w:proofErr w:type="spellEnd"/>
      <w:r w:rsidRPr="00205892">
        <w:rPr>
          <w:lang w:val="en-US"/>
        </w:rPr>
        <w:t xml:space="preserve"> (Milan: </w:t>
      </w:r>
      <w:proofErr w:type="spellStart"/>
      <w:r w:rsidRPr="00205892">
        <w:rPr>
          <w:lang w:val="en-US"/>
        </w:rPr>
        <w:t>Edizioni</w:t>
      </w:r>
      <w:proofErr w:type="spellEnd"/>
      <w:r w:rsidRPr="00205892">
        <w:rPr>
          <w:lang w:val="en-US"/>
        </w:rPr>
        <w:t xml:space="preserve"> Il </w:t>
      </w:r>
      <w:proofErr w:type="spellStart"/>
      <w:r w:rsidRPr="00205892">
        <w:rPr>
          <w:lang w:val="en-US"/>
        </w:rPr>
        <w:t>Polifilo</w:t>
      </w:r>
      <w:proofErr w:type="spellEnd"/>
      <w:r w:rsidRPr="00205892">
        <w:rPr>
          <w:lang w:val="en-US"/>
        </w:rPr>
        <w:t xml:space="preserve">, 1966), II.9, 805; English translation from Leon Battista Alberti, </w:t>
      </w:r>
      <w:r w:rsidRPr="00205892">
        <w:rPr>
          <w:i/>
          <w:iCs/>
          <w:lang w:val="en-US"/>
        </w:rPr>
        <w:t>On the Art of Building in Ten Books</w:t>
      </w:r>
      <w:r w:rsidRPr="00205892">
        <w:rPr>
          <w:lang w:val="en-US"/>
        </w:rPr>
        <w:t xml:space="preserve">, trans. Joseph </w:t>
      </w:r>
      <w:proofErr w:type="spellStart"/>
      <w:r w:rsidRPr="00205892">
        <w:rPr>
          <w:lang w:val="en-US"/>
        </w:rPr>
        <w:t>Rywert</w:t>
      </w:r>
      <w:proofErr w:type="spellEnd"/>
      <w:r w:rsidRPr="00205892">
        <w:rPr>
          <w:lang w:val="en-US"/>
        </w:rPr>
        <w:t xml:space="preserve">, Neil Leach, and Robert </w:t>
      </w:r>
      <w:proofErr w:type="spellStart"/>
      <w:r w:rsidRPr="00205892">
        <w:rPr>
          <w:lang w:val="en-US"/>
        </w:rPr>
        <w:t>Tavernor</w:t>
      </w:r>
      <w:proofErr w:type="spellEnd"/>
      <w:r w:rsidRPr="00205892">
        <w:rPr>
          <w:lang w:val="en-US"/>
        </w:rPr>
        <w:t xml:space="preserve"> (Cambridge, MA.: MIT Press, 1988), 299</w:t>
      </w:r>
      <w:r>
        <w:rPr>
          <w:lang w:val="en-US"/>
        </w:rPr>
        <w:t>.</w:t>
      </w:r>
    </w:p>
  </w:footnote>
  <w:footnote w:id="127">
    <w:p w14:paraId="24DCA25B" w14:textId="77777777" w:rsidR="00182EED" w:rsidRDefault="00182EED">
      <w:pPr>
        <w:pStyle w:val="FootnoteText"/>
      </w:pPr>
      <w:r>
        <w:rPr>
          <w:rStyle w:val="FootnoteReference"/>
        </w:rPr>
        <w:footnoteRef/>
      </w:r>
      <w:r>
        <w:t xml:space="preserve"> </w:t>
      </w:r>
      <w:r w:rsidRPr="00205892">
        <w:rPr>
          <w:lang w:val="en-US"/>
        </w:rPr>
        <w:t xml:space="preserve">For further information on the use of images as an educative tool see Richard C. Trexler, “Florentine Religious Experience: The Sacred Image,” </w:t>
      </w:r>
      <w:r w:rsidRPr="00205892">
        <w:rPr>
          <w:i/>
          <w:iCs/>
          <w:lang w:val="en-US"/>
        </w:rPr>
        <w:t>Studies in the Renaissance</w:t>
      </w:r>
      <w:r w:rsidRPr="00205892">
        <w:rPr>
          <w:lang w:val="en-US"/>
        </w:rPr>
        <w:t xml:space="preserve"> 19 (1972): 7–41; Daniel </w:t>
      </w:r>
      <w:proofErr w:type="spellStart"/>
      <w:r w:rsidRPr="00205892">
        <w:rPr>
          <w:lang w:val="en-US"/>
        </w:rPr>
        <w:t>Arasse</w:t>
      </w:r>
      <w:proofErr w:type="spellEnd"/>
      <w:r w:rsidRPr="00205892">
        <w:rPr>
          <w:lang w:val="en-US"/>
        </w:rPr>
        <w:t xml:space="preserve">, “Entre </w:t>
      </w:r>
      <w:proofErr w:type="spellStart"/>
      <w:r w:rsidRPr="00205892">
        <w:rPr>
          <w:lang w:val="en-US"/>
        </w:rPr>
        <w:t>dévotion</w:t>
      </w:r>
      <w:proofErr w:type="spellEnd"/>
      <w:r w:rsidRPr="00205892">
        <w:rPr>
          <w:lang w:val="en-US"/>
        </w:rPr>
        <w:t xml:space="preserve"> et culture: </w:t>
      </w:r>
      <w:proofErr w:type="spellStart"/>
      <w:r w:rsidRPr="00205892">
        <w:rPr>
          <w:lang w:val="en-US"/>
        </w:rPr>
        <w:t>fonctions</w:t>
      </w:r>
      <w:proofErr w:type="spellEnd"/>
      <w:r w:rsidRPr="00205892">
        <w:rPr>
          <w:lang w:val="en-US"/>
        </w:rPr>
        <w:t xml:space="preserve"> de </w:t>
      </w:r>
      <w:proofErr w:type="spellStart"/>
      <w:r w:rsidRPr="00205892">
        <w:rPr>
          <w:lang w:val="en-US"/>
        </w:rPr>
        <w:t>l’image</w:t>
      </w:r>
      <w:proofErr w:type="spellEnd"/>
      <w:r w:rsidRPr="00205892">
        <w:rPr>
          <w:lang w:val="en-US"/>
        </w:rPr>
        <w:t xml:space="preserve"> religieuse au </w:t>
      </w:r>
      <w:proofErr w:type="spellStart"/>
      <w:r w:rsidRPr="00205892">
        <w:rPr>
          <w:lang w:val="en-US"/>
        </w:rPr>
        <w:t>XVe</w:t>
      </w:r>
      <w:proofErr w:type="spellEnd"/>
      <w:r w:rsidRPr="00205892">
        <w:rPr>
          <w:lang w:val="en-US"/>
        </w:rPr>
        <w:t xml:space="preserve"> Siècle,” in </w:t>
      </w:r>
      <w:r w:rsidRPr="00205892">
        <w:rPr>
          <w:i/>
          <w:iCs/>
          <w:lang w:val="en-US"/>
        </w:rPr>
        <w:t xml:space="preserve">Faire </w:t>
      </w:r>
      <w:proofErr w:type="spellStart"/>
      <w:r w:rsidRPr="00205892">
        <w:rPr>
          <w:i/>
          <w:iCs/>
          <w:lang w:val="en-US"/>
        </w:rPr>
        <w:t>croire</w:t>
      </w:r>
      <w:proofErr w:type="spellEnd"/>
      <w:r w:rsidRPr="00205892">
        <w:rPr>
          <w:i/>
          <w:iCs/>
          <w:lang w:val="en-US"/>
        </w:rPr>
        <w:t xml:space="preserve">. </w:t>
      </w:r>
      <w:proofErr w:type="spellStart"/>
      <w:r w:rsidRPr="00205892">
        <w:rPr>
          <w:i/>
          <w:iCs/>
          <w:lang w:val="en-US"/>
        </w:rPr>
        <w:t>Modalités</w:t>
      </w:r>
      <w:proofErr w:type="spellEnd"/>
      <w:r w:rsidRPr="00205892">
        <w:rPr>
          <w:i/>
          <w:iCs/>
          <w:lang w:val="en-US"/>
        </w:rPr>
        <w:t xml:space="preserve"> de la diffusion et de la </w:t>
      </w:r>
      <w:proofErr w:type="spellStart"/>
      <w:r w:rsidRPr="00205892">
        <w:rPr>
          <w:i/>
          <w:iCs/>
          <w:lang w:val="en-US"/>
        </w:rPr>
        <w:t>réception</w:t>
      </w:r>
      <w:proofErr w:type="spellEnd"/>
      <w:r w:rsidRPr="00205892">
        <w:rPr>
          <w:i/>
          <w:iCs/>
          <w:lang w:val="en-US"/>
        </w:rPr>
        <w:t xml:space="preserve"> des messages religieux du </w:t>
      </w:r>
      <w:proofErr w:type="spellStart"/>
      <w:r w:rsidRPr="00205892">
        <w:rPr>
          <w:i/>
          <w:iCs/>
          <w:lang w:val="en-US"/>
        </w:rPr>
        <w:t>XIIe</w:t>
      </w:r>
      <w:proofErr w:type="spellEnd"/>
      <w:r w:rsidRPr="00205892">
        <w:rPr>
          <w:i/>
          <w:iCs/>
          <w:lang w:val="en-US"/>
        </w:rPr>
        <w:t xml:space="preserve"> au </w:t>
      </w:r>
      <w:proofErr w:type="spellStart"/>
      <w:r w:rsidRPr="00205892">
        <w:rPr>
          <w:i/>
          <w:iCs/>
          <w:lang w:val="en-US"/>
        </w:rPr>
        <w:t>XVe</w:t>
      </w:r>
      <w:proofErr w:type="spellEnd"/>
      <w:r w:rsidRPr="00205892">
        <w:rPr>
          <w:i/>
          <w:iCs/>
          <w:lang w:val="en-US"/>
        </w:rPr>
        <w:t xml:space="preserve"> siècle</w:t>
      </w:r>
      <w:r w:rsidRPr="00205892">
        <w:rPr>
          <w:lang w:val="en-US"/>
        </w:rPr>
        <w:t xml:space="preserve"> (Rome: École </w:t>
      </w:r>
      <w:proofErr w:type="spellStart"/>
      <w:r w:rsidRPr="00205892">
        <w:rPr>
          <w:lang w:val="en-US"/>
        </w:rPr>
        <w:t>Française</w:t>
      </w:r>
      <w:proofErr w:type="spellEnd"/>
      <w:r w:rsidRPr="00205892">
        <w:rPr>
          <w:lang w:val="en-US"/>
        </w:rPr>
        <w:t xml:space="preserve"> de Rome, 1981), 131–46; Jeffrey Hamburger, “The Visual and the Visionary: The Image in Late Medieval Monastic Devotions,” </w:t>
      </w:r>
      <w:r w:rsidRPr="00205892">
        <w:rPr>
          <w:i/>
          <w:iCs/>
          <w:lang w:val="en-US"/>
        </w:rPr>
        <w:t>Viator</w:t>
      </w:r>
      <w:r w:rsidRPr="00205892">
        <w:rPr>
          <w:lang w:val="en-US"/>
        </w:rPr>
        <w:t xml:space="preserve"> 20 (January 1, 1989): 161–82; Paola </w:t>
      </w:r>
      <w:proofErr w:type="spellStart"/>
      <w:r w:rsidRPr="00205892">
        <w:rPr>
          <w:lang w:val="en-US"/>
        </w:rPr>
        <w:t>Tinagli</w:t>
      </w:r>
      <w:proofErr w:type="spellEnd"/>
      <w:r w:rsidRPr="00205892">
        <w:rPr>
          <w:lang w:val="en-US"/>
        </w:rPr>
        <w:t xml:space="preserve">, </w:t>
      </w:r>
      <w:r w:rsidRPr="00205892">
        <w:rPr>
          <w:i/>
          <w:iCs/>
          <w:lang w:val="en-US"/>
        </w:rPr>
        <w:t>Women in Italian Renaissance Art: Gender, Representation, Identity</w:t>
      </w:r>
      <w:r w:rsidRPr="00205892">
        <w:rPr>
          <w:lang w:val="en-US"/>
        </w:rPr>
        <w:t xml:space="preserve"> (Manchester: Manchester University Press, 1997), esp. chapter 5 “The cult of female saints: images of devotion and exempla”, 155-185; Herbert L. Kessler, </w:t>
      </w:r>
      <w:r w:rsidRPr="00205892">
        <w:rPr>
          <w:i/>
          <w:iCs/>
          <w:lang w:val="en-US"/>
        </w:rPr>
        <w:t>Spiritual Seeing: Picturing God’s Invisibility in Medieval Art</w:t>
      </w:r>
      <w:r w:rsidRPr="00205892">
        <w:rPr>
          <w:lang w:val="en-US"/>
        </w:rPr>
        <w:t xml:space="preserve"> (Philadelphia, PA: University of Pennsylvania Press, 2000); Robert S Nelson, ed., </w:t>
      </w:r>
      <w:r w:rsidRPr="00205892">
        <w:rPr>
          <w:i/>
          <w:iCs/>
          <w:lang w:val="en-US"/>
        </w:rPr>
        <w:t>Visuality before and beyond the Renaissance: Seeing as Others Saw</w:t>
      </w:r>
      <w:r w:rsidRPr="00205892">
        <w:rPr>
          <w:lang w:val="en-US"/>
        </w:rPr>
        <w:t xml:space="preserve"> (Cambridge: Cambridge University Press, 2000); especially chapters by Cynthia Hahn, “The Cult of Female Saints: Images of Devotion and Exempla,” in </w:t>
      </w:r>
      <w:r w:rsidRPr="00205892">
        <w:rPr>
          <w:i/>
          <w:iCs/>
          <w:lang w:val="en-US"/>
        </w:rPr>
        <w:t>Visuality before and beyond the Renaissance: Seeing as Others Saw</w:t>
      </w:r>
      <w:r w:rsidRPr="00205892">
        <w:rPr>
          <w:lang w:val="en-US"/>
        </w:rPr>
        <w:t xml:space="preserve">, ed. Robert S Nelson (Cambridge: Cambridge University Press, 2000), 169–96; and Michael Camille, “Before the Gaze. The Internal Senses and Late Medieval Practices of Seeing,” in </w:t>
      </w:r>
      <w:r w:rsidRPr="00205892">
        <w:rPr>
          <w:i/>
          <w:iCs/>
          <w:lang w:val="en-US"/>
        </w:rPr>
        <w:t>Visuality before and beyond the Renaissance. Seeing as Others Saw</w:t>
      </w:r>
      <w:r w:rsidRPr="00205892">
        <w:rPr>
          <w:lang w:val="en-US"/>
        </w:rPr>
        <w:t xml:space="preserve">, ed. Robert S. Nelson (Cambridge: Cambridge University Press, 2000), 197–223; Suzannah </w:t>
      </w:r>
      <w:proofErr w:type="spellStart"/>
      <w:r w:rsidRPr="00205892">
        <w:rPr>
          <w:lang w:val="en-US"/>
        </w:rPr>
        <w:t>Biernoff</w:t>
      </w:r>
      <w:proofErr w:type="spellEnd"/>
      <w:r w:rsidRPr="00205892">
        <w:rPr>
          <w:lang w:val="en-US"/>
        </w:rPr>
        <w:t xml:space="preserve">, </w:t>
      </w:r>
      <w:r w:rsidRPr="00205892">
        <w:rPr>
          <w:i/>
          <w:iCs/>
          <w:lang w:val="en-US"/>
        </w:rPr>
        <w:t>Sight and Embodiment in the Middle Ages</w:t>
      </w:r>
      <w:r w:rsidRPr="00205892">
        <w:rPr>
          <w:lang w:val="en-US"/>
        </w:rPr>
        <w:t xml:space="preserve"> (Basingstoke: Palgrave, 2002); François </w:t>
      </w:r>
      <w:proofErr w:type="spellStart"/>
      <w:r w:rsidRPr="00205892">
        <w:rPr>
          <w:lang w:val="en-US"/>
        </w:rPr>
        <w:t>Quiviger</w:t>
      </w:r>
      <w:proofErr w:type="spellEnd"/>
      <w:r w:rsidRPr="00205892">
        <w:rPr>
          <w:lang w:val="en-US"/>
        </w:rPr>
        <w:t xml:space="preserve">, “Seeing and Looking in the Renaissance,” in </w:t>
      </w:r>
      <w:r w:rsidRPr="00205892">
        <w:rPr>
          <w:i/>
          <w:iCs/>
          <w:lang w:val="en-US"/>
        </w:rPr>
        <w:t xml:space="preserve">La Vista y La </w:t>
      </w:r>
      <w:proofErr w:type="spellStart"/>
      <w:r w:rsidRPr="00205892">
        <w:rPr>
          <w:i/>
          <w:iCs/>
          <w:lang w:val="en-US"/>
        </w:rPr>
        <w:t>Visión</w:t>
      </w:r>
      <w:proofErr w:type="spellEnd"/>
      <w:r w:rsidRPr="00205892">
        <w:rPr>
          <w:lang w:val="en-US"/>
        </w:rPr>
        <w:t xml:space="preserve"> (Valencia: </w:t>
      </w:r>
      <w:proofErr w:type="spellStart"/>
      <w:r w:rsidRPr="00205892">
        <w:rPr>
          <w:lang w:val="en-US"/>
        </w:rPr>
        <w:t>Institut</w:t>
      </w:r>
      <w:proofErr w:type="spellEnd"/>
      <w:r w:rsidRPr="00205892">
        <w:rPr>
          <w:lang w:val="en-US"/>
        </w:rPr>
        <w:t xml:space="preserve"> </w:t>
      </w:r>
      <w:proofErr w:type="spellStart"/>
      <w:r w:rsidRPr="00205892">
        <w:rPr>
          <w:lang w:val="en-US"/>
        </w:rPr>
        <w:t>Valencià</w:t>
      </w:r>
      <w:proofErr w:type="spellEnd"/>
      <w:r w:rsidRPr="00205892">
        <w:rPr>
          <w:lang w:val="en-US"/>
        </w:rPr>
        <w:t xml:space="preserve"> </w:t>
      </w:r>
      <w:proofErr w:type="spellStart"/>
      <w:r w:rsidRPr="00205892">
        <w:rPr>
          <w:lang w:val="en-US"/>
        </w:rPr>
        <w:t>d’Art</w:t>
      </w:r>
      <w:proofErr w:type="spellEnd"/>
      <w:r w:rsidRPr="00205892">
        <w:rPr>
          <w:lang w:val="en-US"/>
        </w:rPr>
        <w:t xml:space="preserve"> Modern, 2003); François </w:t>
      </w:r>
      <w:proofErr w:type="spellStart"/>
      <w:r w:rsidRPr="00205892">
        <w:rPr>
          <w:lang w:val="en-US"/>
        </w:rPr>
        <w:t>Quiviger</w:t>
      </w:r>
      <w:proofErr w:type="spellEnd"/>
      <w:r w:rsidRPr="00205892">
        <w:rPr>
          <w:lang w:val="en-US"/>
        </w:rPr>
        <w:t xml:space="preserve">, </w:t>
      </w:r>
      <w:r w:rsidRPr="00205892">
        <w:rPr>
          <w:i/>
          <w:iCs/>
          <w:lang w:val="en-US"/>
        </w:rPr>
        <w:t>The Sensory World of Italian Renaissance Art</w:t>
      </w:r>
      <w:r w:rsidRPr="00205892">
        <w:rPr>
          <w:lang w:val="en-US"/>
        </w:rPr>
        <w:t xml:space="preserve"> (London: </w:t>
      </w:r>
      <w:proofErr w:type="spellStart"/>
      <w:r w:rsidRPr="00205892">
        <w:rPr>
          <w:lang w:val="en-US"/>
        </w:rPr>
        <w:t>Reaktion</w:t>
      </w:r>
      <w:proofErr w:type="spellEnd"/>
      <w:r w:rsidRPr="00205892">
        <w:rPr>
          <w:lang w:val="en-US"/>
        </w:rPr>
        <w:t xml:space="preserve"> Books, 2010) especially the chapter on Sight. 99-104; </w:t>
      </w:r>
      <w:proofErr w:type="spellStart"/>
      <w:r w:rsidRPr="00205892">
        <w:rPr>
          <w:lang w:val="en-US"/>
        </w:rPr>
        <w:t>Vikan</w:t>
      </w:r>
      <w:proofErr w:type="spellEnd"/>
      <w:r w:rsidRPr="00205892">
        <w:rPr>
          <w:lang w:val="en-US"/>
        </w:rPr>
        <w:t xml:space="preserve">, “Sacred Images, Sacred Power,” 135–46; Sara Lipton, “Images and Their Use,” in </w:t>
      </w:r>
      <w:r w:rsidRPr="00205892">
        <w:rPr>
          <w:i/>
          <w:iCs/>
          <w:lang w:val="en-US"/>
        </w:rPr>
        <w:t>The Cambridge History of Christianity: Volume 4, Christianity in Western Europe, c.1100–c.1500</w:t>
      </w:r>
      <w:r w:rsidRPr="00205892">
        <w:rPr>
          <w:lang w:val="en-US"/>
        </w:rPr>
        <w:t xml:space="preserve">, ed. Miri Rubin and Walter Simons (Cambridge and New York: Cambridge University Press, 2014), 254–82; Beth Williamson, “Sensory Experience in Medieval Devotion: Sound and Vision, Invisibility and Silence,” </w:t>
      </w:r>
      <w:r w:rsidRPr="00205892">
        <w:rPr>
          <w:i/>
          <w:iCs/>
          <w:lang w:val="en-US"/>
        </w:rPr>
        <w:t>Speculum</w:t>
      </w:r>
      <w:r w:rsidRPr="00205892">
        <w:rPr>
          <w:lang w:val="en-US"/>
        </w:rPr>
        <w:t xml:space="preserve"> 88, no. 1 (January 2013): 1–43; Jennifer R. </w:t>
      </w:r>
      <w:proofErr w:type="spellStart"/>
      <w:r w:rsidRPr="00205892">
        <w:rPr>
          <w:lang w:val="en-US"/>
        </w:rPr>
        <w:t>Hammerschmidt</w:t>
      </w:r>
      <w:proofErr w:type="spellEnd"/>
      <w:r w:rsidRPr="00205892">
        <w:rPr>
          <w:lang w:val="en-US"/>
        </w:rPr>
        <w:t xml:space="preserve">, “Beyond Vision: The Impact of </w:t>
      </w:r>
      <w:proofErr w:type="spellStart"/>
      <w:r w:rsidRPr="00205892">
        <w:rPr>
          <w:lang w:val="en-US"/>
        </w:rPr>
        <w:t>Rogier</w:t>
      </w:r>
      <w:proofErr w:type="spellEnd"/>
      <w:r w:rsidRPr="00205892">
        <w:rPr>
          <w:lang w:val="en-US"/>
        </w:rPr>
        <w:t xml:space="preserve"> van Der Weyden’s Descent from the Cross,” in </w:t>
      </w:r>
      <w:r w:rsidRPr="00205892">
        <w:rPr>
          <w:i/>
          <w:iCs/>
          <w:lang w:val="en-US"/>
        </w:rPr>
        <w:t>Religion and the Senses in Early Modern Europe</w:t>
      </w:r>
      <w:r w:rsidRPr="00205892">
        <w:rPr>
          <w:lang w:val="en-US"/>
        </w:rPr>
        <w:t xml:space="preserve">, ed. </w:t>
      </w:r>
      <w:proofErr w:type="spellStart"/>
      <w:r w:rsidRPr="00205892">
        <w:rPr>
          <w:lang w:val="en-US"/>
        </w:rPr>
        <w:t>Wietse</w:t>
      </w:r>
      <w:proofErr w:type="spellEnd"/>
      <w:r w:rsidRPr="00205892">
        <w:rPr>
          <w:lang w:val="en-US"/>
        </w:rPr>
        <w:t xml:space="preserve"> de Boer and Christine </w:t>
      </w:r>
      <w:proofErr w:type="spellStart"/>
      <w:r w:rsidRPr="00205892">
        <w:rPr>
          <w:lang w:val="en-US"/>
        </w:rPr>
        <w:t>Göttler</w:t>
      </w:r>
      <w:proofErr w:type="spellEnd"/>
      <w:r w:rsidRPr="00205892">
        <w:rPr>
          <w:lang w:val="en-US"/>
        </w:rPr>
        <w:t xml:space="preserve"> (Leiden and Boston: Brill, 2013), 201–17; Theresa Flanigan, “Art, Memory, and the Cultivation of Virtue: The Ethical Function of Images in </w:t>
      </w:r>
      <w:proofErr w:type="spellStart"/>
      <w:r w:rsidRPr="00205892">
        <w:rPr>
          <w:lang w:val="en-US"/>
        </w:rPr>
        <w:t>Antoninus’s</w:t>
      </w:r>
      <w:proofErr w:type="spellEnd"/>
      <w:r w:rsidRPr="00205892">
        <w:rPr>
          <w:lang w:val="en-US"/>
        </w:rPr>
        <w:t xml:space="preserve"> Opera a Ben Vivere,” </w:t>
      </w:r>
      <w:proofErr w:type="spellStart"/>
      <w:r w:rsidRPr="00205892">
        <w:rPr>
          <w:i/>
          <w:iCs/>
          <w:lang w:val="en-US"/>
        </w:rPr>
        <w:t>Gesta</w:t>
      </w:r>
      <w:proofErr w:type="spellEnd"/>
      <w:r w:rsidRPr="00205892">
        <w:rPr>
          <w:lang w:val="en-US"/>
        </w:rPr>
        <w:t xml:space="preserve"> 53.2 (Fall 2014): 175–95.</w:t>
      </w:r>
    </w:p>
  </w:footnote>
  <w:footnote w:id="128">
    <w:p w14:paraId="3F4D4896" w14:textId="77777777" w:rsidR="00182EED" w:rsidRDefault="00182EED" w:rsidP="001840E8">
      <w:pPr>
        <w:pStyle w:val="FootnoteText"/>
      </w:pPr>
      <w:r w:rsidRPr="00391186">
        <w:rPr>
          <w:rStyle w:val="FootnoteReference"/>
        </w:rPr>
        <w:footnoteRef/>
      </w:r>
      <w:r>
        <w:t xml:space="preserve"> </w:t>
      </w:r>
      <w:r w:rsidRPr="00FB38BA">
        <w:rPr>
          <w:lang w:val="en-US"/>
        </w:rPr>
        <w:t xml:space="preserve">See </w:t>
      </w:r>
      <w:proofErr w:type="spellStart"/>
      <w:r w:rsidRPr="00FB38BA">
        <w:rPr>
          <w:lang w:val="en-US"/>
        </w:rPr>
        <w:t>Quiviger</w:t>
      </w:r>
      <w:proofErr w:type="spellEnd"/>
      <w:r w:rsidRPr="00FB38BA">
        <w:rPr>
          <w:lang w:val="en-US"/>
        </w:rPr>
        <w:t xml:space="preserve">, </w:t>
      </w:r>
      <w:r w:rsidRPr="00FB38BA">
        <w:rPr>
          <w:i/>
          <w:iCs/>
          <w:lang w:val="en-US"/>
        </w:rPr>
        <w:t>The Sensory World</w:t>
      </w:r>
      <w:r w:rsidRPr="00FB38BA">
        <w:rPr>
          <w:lang w:val="en-US"/>
        </w:rPr>
        <w:t>, 99.</w:t>
      </w:r>
    </w:p>
  </w:footnote>
  <w:footnote w:id="129">
    <w:p w14:paraId="12E67FEE" w14:textId="77777777" w:rsidR="00182EED" w:rsidRDefault="00182EED" w:rsidP="001840E8">
      <w:pPr>
        <w:pStyle w:val="FootnoteText"/>
      </w:pPr>
      <w:r w:rsidRPr="00391186">
        <w:rPr>
          <w:rStyle w:val="FootnoteReference"/>
        </w:rPr>
        <w:footnoteRef/>
      </w:r>
      <w:r>
        <w:t xml:space="preserve"> </w:t>
      </w:r>
      <w:r w:rsidRPr="00FB38BA">
        <w:rPr>
          <w:lang w:val="en-US"/>
        </w:rPr>
        <w:t xml:space="preserve">Gregory the Great, “Liber </w:t>
      </w:r>
      <w:proofErr w:type="spellStart"/>
      <w:r w:rsidRPr="00FB38BA">
        <w:rPr>
          <w:lang w:val="en-US"/>
        </w:rPr>
        <w:t>Regulae</w:t>
      </w:r>
      <w:proofErr w:type="spellEnd"/>
      <w:r w:rsidRPr="00FB38BA">
        <w:rPr>
          <w:lang w:val="en-US"/>
        </w:rPr>
        <w:t xml:space="preserve"> </w:t>
      </w:r>
      <w:proofErr w:type="spellStart"/>
      <w:r w:rsidRPr="00FB38BA">
        <w:rPr>
          <w:lang w:val="en-US"/>
        </w:rPr>
        <w:t>Pastoralis</w:t>
      </w:r>
      <w:proofErr w:type="spellEnd"/>
      <w:r w:rsidRPr="00FB38BA">
        <w:rPr>
          <w:lang w:val="en-US"/>
        </w:rPr>
        <w:t xml:space="preserve">,” in </w:t>
      </w:r>
      <w:proofErr w:type="spellStart"/>
      <w:r w:rsidRPr="00FB38BA">
        <w:rPr>
          <w:i/>
          <w:iCs/>
          <w:lang w:val="en-US"/>
        </w:rPr>
        <w:t>Patrologiae</w:t>
      </w:r>
      <w:proofErr w:type="spellEnd"/>
      <w:r w:rsidRPr="00FB38BA">
        <w:rPr>
          <w:i/>
          <w:iCs/>
          <w:lang w:val="en-US"/>
        </w:rPr>
        <w:t xml:space="preserve"> Cursus </w:t>
      </w:r>
      <w:proofErr w:type="spellStart"/>
      <w:r w:rsidRPr="00FB38BA">
        <w:rPr>
          <w:i/>
          <w:iCs/>
          <w:lang w:val="en-US"/>
        </w:rPr>
        <w:t>Completus</w:t>
      </w:r>
      <w:proofErr w:type="spellEnd"/>
      <w:r w:rsidRPr="00FB38BA">
        <w:rPr>
          <w:i/>
          <w:iCs/>
          <w:lang w:val="en-US"/>
        </w:rPr>
        <w:t xml:space="preserve">. Series Prima. </w:t>
      </w:r>
      <w:proofErr w:type="spellStart"/>
      <w:r w:rsidRPr="00FB38BA">
        <w:rPr>
          <w:i/>
          <w:iCs/>
          <w:lang w:val="en-US"/>
        </w:rPr>
        <w:t>Patrologiae</w:t>
      </w:r>
      <w:proofErr w:type="spellEnd"/>
      <w:r w:rsidRPr="00FB38BA">
        <w:rPr>
          <w:i/>
          <w:iCs/>
          <w:lang w:val="en-US"/>
        </w:rPr>
        <w:t xml:space="preserve"> </w:t>
      </w:r>
      <w:proofErr w:type="spellStart"/>
      <w:r w:rsidRPr="00FB38BA">
        <w:rPr>
          <w:i/>
          <w:iCs/>
          <w:lang w:val="en-US"/>
        </w:rPr>
        <w:t>Tomus</w:t>
      </w:r>
      <w:proofErr w:type="spellEnd"/>
      <w:r w:rsidRPr="00FB38BA">
        <w:rPr>
          <w:i/>
          <w:iCs/>
          <w:lang w:val="en-US"/>
        </w:rPr>
        <w:t xml:space="preserve"> LXXVII</w:t>
      </w:r>
      <w:r w:rsidRPr="00FB38BA">
        <w:rPr>
          <w:lang w:val="en-US"/>
        </w:rPr>
        <w:t xml:space="preserve">, ed. Jacques-Paul </w:t>
      </w:r>
      <w:proofErr w:type="spellStart"/>
      <w:r w:rsidRPr="00FB38BA">
        <w:rPr>
          <w:lang w:val="en-US"/>
        </w:rPr>
        <w:t>Migne</w:t>
      </w:r>
      <w:proofErr w:type="spellEnd"/>
      <w:r w:rsidRPr="00FB38BA">
        <w:rPr>
          <w:lang w:val="en-US"/>
        </w:rPr>
        <w:t xml:space="preserve"> (</w:t>
      </w:r>
      <w:proofErr w:type="spellStart"/>
      <w:r w:rsidRPr="00FB38BA">
        <w:rPr>
          <w:lang w:val="en-US"/>
        </w:rPr>
        <w:t>Lutetiae</w:t>
      </w:r>
      <w:proofErr w:type="spellEnd"/>
      <w:r w:rsidRPr="00FB38BA">
        <w:rPr>
          <w:lang w:val="en-US"/>
        </w:rPr>
        <w:t xml:space="preserve"> </w:t>
      </w:r>
      <w:proofErr w:type="spellStart"/>
      <w:r w:rsidRPr="00FB38BA">
        <w:rPr>
          <w:lang w:val="en-US"/>
        </w:rPr>
        <w:t>Parisiorum</w:t>
      </w:r>
      <w:proofErr w:type="spellEnd"/>
      <w:r w:rsidRPr="00FB38BA">
        <w:rPr>
          <w:lang w:val="en-US"/>
        </w:rPr>
        <w:t xml:space="preserve">: J. P. </w:t>
      </w:r>
      <w:proofErr w:type="spellStart"/>
      <w:r w:rsidRPr="00FB38BA">
        <w:rPr>
          <w:lang w:val="en-US"/>
        </w:rPr>
        <w:t>Migne</w:t>
      </w:r>
      <w:proofErr w:type="spellEnd"/>
      <w:r w:rsidRPr="00FB38BA">
        <w:rPr>
          <w:lang w:val="en-US"/>
        </w:rPr>
        <w:t xml:space="preserve">, 1849), pars </w:t>
      </w:r>
      <w:proofErr w:type="spellStart"/>
      <w:r w:rsidRPr="00FB38BA">
        <w:rPr>
          <w:lang w:val="en-US"/>
        </w:rPr>
        <w:t>tertia</w:t>
      </w:r>
      <w:proofErr w:type="spellEnd"/>
      <w:r w:rsidRPr="00FB38BA">
        <w:rPr>
          <w:lang w:val="en-US"/>
        </w:rPr>
        <w:t xml:space="preserve">, XI, 64; XXIV, 94; See also Constant J. Mews and Claire </w:t>
      </w:r>
      <w:proofErr w:type="spellStart"/>
      <w:r w:rsidRPr="00FB38BA">
        <w:rPr>
          <w:lang w:val="en-US"/>
        </w:rPr>
        <w:t>Renkin</w:t>
      </w:r>
      <w:proofErr w:type="spellEnd"/>
      <w:r w:rsidRPr="00FB38BA">
        <w:rPr>
          <w:lang w:val="en-US"/>
        </w:rPr>
        <w:t xml:space="preserve">, “The Legacy of Gregory the Great in the Latin West,” in </w:t>
      </w:r>
      <w:r w:rsidRPr="00FB38BA">
        <w:rPr>
          <w:i/>
          <w:iCs/>
          <w:lang w:val="en-US"/>
        </w:rPr>
        <w:t>A Companion to Gregory the Great</w:t>
      </w:r>
      <w:r w:rsidRPr="00FB38BA">
        <w:rPr>
          <w:lang w:val="en-US"/>
        </w:rPr>
        <w:t>, ed. Bronwen Neil and Matthew Dal Santo (Leiden: Brill, 2013), 331–32.</w:t>
      </w:r>
    </w:p>
  </w:footnote>
  <w:footnote w:id="130">
    <w:p w14:paraId="2FC69458" w14:textId="77777777" w:rsidR="00182EED" w:rsidRDefault="00182EED" w:rsidP="001840E8">
      <w:pPr>
        <w:pStyle w:val="FootnoteText"/>
      </w:pPr>
      <w:r w:rsidRPr="00391186">
        <w:rPr>
          <w:rStyle w:val="FootnoteReference"/>
        </w:rPr>
        <w:footnoteRef/>
      </w:r>
      <w:r>
        <w:t xml:space="preserve"> </w:t>
      </w:r>
      <w:r w:rsidRPr="00FB38BA">
        <w:rPr>
          <w:lang w:val="en-US"/>
        </w:rPr>
        <w:t xml:space="preserve">“Quod </w:t>
      </w:r>
      <w:proofErr w:type="spellStart"/>
      <w:r w:rsidRPr="00FB38BA">
        <w:rPr>
          <w:lang w:val="en-US"/>
        </w:rPr>
        <w:t>legentibus</w:t>
      </w:r>
      <w:proofErr w:type="spellEnd"/>
      <w:r w:rsidRPr="00FB38BA">
        <w:rPr>
          <w:lang w:val="en-US"/>
        </w:rPr>
        <w:t xml:space="preserve"> scriptura hoc </w:t>
      </w:r>
      <w:proofErr w:type="spellStart"/>
      <w:r w:rsidRPr="00FB38BA">
        <w:rPr>
          <w:lang w:val="en-US"/>
        </w:rPr>
        <w:t>idiotis</w:t>
      </w:r>
      <w:proofErr w:type="spellEnd"/>
      <w:r w:rsidRPr="00FB38BA">
        <w:rPr>
          <w:lang w:val="en-US"/>
        </w:rPr>
        <w:t xml:space="preserve"> </w:t>
      </w:r>
      <w:proofErr w:type="spellStart"/>
      <w:r w:rsidRPr="00FB38BA">
        <w:rPr>
          <w:lang w:val="en-US"/>
        </w:rPr>
        <w:t>praestat</w:t>
      </w:r>
      <w:proofErr w:type="spellEnd"/>
      <w:r w:rsidRPr="00FB38BA">
        <w:rPr>
          <w:lang w:val="en-US"/>
        </w:rPr>
        <w:t xml:space="preserve"> </w:t>
      </w:r>
      <w:proofErr w:type="spellStart"/>
      <w:r w:rsidRPr="00FB38BA">
        <w:rPr>
          <w:lang w:val="en-US"/>
        </w:rPr>
        <w:t>pictura</w:t>
      </w:r>
      <w:proofErr w:type="spellEnd"/>
      <w:r w:rsidRPr="00FB38BA">
        <w:rPr>
          <w:lang w:val="en-US"/>
        </w:rPr>
        <w:t xml:space="preserve"> </w:t>
      </w:r>
      <w:proofErr w:type="spellStart"/>
      <w:r w:rsidRPr="00FB38BA">
        <w:rPr>
          <w:lang w:val="en-US"/>
        </w:rPr>
        <w:t>cernentibus</w:t>
      </w:r>
      <w:proofErr w:type="spellEnd"/>
      <w:r w:rsidRPr="00FB38BA">
        <w:rPr>
          <w:lang w:val="en-US"/>
        </w:rPr>
        <w:t xml:space="preserve">, </w:t>
      </w:r>
      <w:proofErr w:type="spellStart"/>
      <w:r w:rsidRPr="00FB38BA">
        <w:rPr>
          <w:lang w:val="en-US"/>
        </w:rPr>
        <w:t>quia</w:t>
      </w:r>
      <w:proofErr w:type="spellEnd"/>
      <w:r w:rsidRPr="00FB38BA">
        <w:rPr>
          <w:lang w:val="en-US"/>
        </w:rPr>
        <w:t xml:space="preserve"> in </w:t>
      </w:r>
      <w:proofErr w:type="spellStart"/>
      <w:r w:rsidRPr="00FB38BA">
        <w:rPr>
          <w:lang w:val="en-US"/>
        </w:rPr>
        <w:t>ipsia</w:t>
      </w:r>
      <w:proofErr w:type="spellEnd"/>
      <w:r w:rsidRPr="00FB38BA">
        <w:rPr>
          <w:lang w:val="en-US"/>
        </w:rPr>
        <w:t xml:space="preserve"> </w:t>
      </w:r>
      <w:proofErr w:type="spellStart"/>
      <w:r w:rsidRPr="00FB38BA">
        <w:rPr>
          <w:lang w:val="en-US"/>
        </w:rPr>
        <w:t>etiam</w:t>
      </w:r>
      <w:proofErr w:type="spellEnd"/>
      <w:r w:rsidRPr="00FB38BA">
        <w:rPr>
          <w:lang w:val="en-US"/>
        </w:rPr>
        <w:t xml:space="preserve"> </w:t>
      </w:r>
      <w:proofErr w:type="spellStart"/>
      <w:r w:rsidRPr="00FB38BA">
        <w:rPr>
          <w:lang w:val="en-US"/>
        </w:rPr>
        <w:t>ignorantes</w:t>
      </w:r>
      <w:proofErr w:type="spellEnd"/>
      <w:r w:rsidRPr="00FB38BA">
        <w:rPr>
          <w:lang w:val="en-US"/>
        </w:rPr>
        <w:t xml:space="preserve"> </w:t>
      </w:r>
      <w:proofErr w:type="spellStart"/>
      <w:r w:rsidRPr="00FB38BA">
        <w:rPr>
          <w:lang w:val="en-US"/>
        </w:rPr>
        <w:t>videt</w:t>
      </w:r>
      <w:proofErr w:type="spellEnd"/>
      <w:r w:rsidRPr="00FB38BA">
        <w:rPr>
          <w:lang w:val="en-US"/>
        </w:rPr>
        <w:t xml:space="preserve"> quid </w:t>
      </w:r>
      <w:proofErr w:type="spellStart"/>
      <w:r w:rsidRPr="00FB38BA">
        <w:rPr>
          <w:lang w:val="en-US"/>
        </w:rPr>
        <w:t>sequi</w:t>
      </w:r>
      <w:proofErr w:type="spellEnd"/>
      <w:r w:rsidRPr="00FB38BA">
        <w:rPr>
          <w:lang w:val="en-US"/>
        </w:rPr>
        <w:t xml:space="preserve"> </w:t>
      </w:r>
      <w:proofErr w:type="spellStart"/>
      <w:r w:rsidRPr="00FB38BA">
        <w:rPr>
          <w:lang w:val="en-US"/>
        </w:rPr>
        <w:t>debeant</w:t>
      </w:r>
      <w:proofErr w:type="spellEnd"/>
      <w:r w:rsidRPr="00FB38BA">
        <w:rPr>
          <w:lang w:val="en-US"/>
        </w:rPr>
        <w:t xml:space="preserve">, in </w:t>
      </w:r>
      <w:proofErr w:type="spellStart"/>
      <w:r w:rsidRPr="00FB38BA">
        <w:rPr>
          <w:lang w:val="en-US"/>
        </w:rPr>
        <w:t>ipsa</w:t>
      </w:r>
      <w:proofErr w:type="spellEnd"/>
      <w:r w:rsidRPr="00FB38BA">
        <w:rPr>
          <w:lang w:val="en-US"/>
        </w:rPr>
        <w:t xml:space="preserve"> </w:t>
      </w:r>
      <w:proofErr w:type="spellStart"/>
      <w:r w:rsidRPr="00FB38BA">
        <w:rPr>
          <w:lang w:val="en-US"/>
        </w:rPr>
        <w:t>legunt</w:t>
      </w:r>
      <w:proofErr w:type="spellEnd"/>
      <w:r w:rsidRPr="00FB38BA">
        <w:rPr>
          <w:lang w:val="en-US"/>
        </w:rPr>
        <w:t xml:space="preserve"> qui </w:t>
      </w:r>
      <w:proofErr w:type="spellStart"/>
      <w:r w:rsidRPr="00FB38BA">
        <w:rPr>
          <w:lang w:val="en-US"/>
        </w:rPr>
        <w:t>litteras</w:t>
      </w:r>
      <w:proofErr w:type="spellEnd"/>
      <w:r w:rsidRPr="00FB38BA">
        <w:rPr>
          <w:lang w:val="en-US"/>
        </w:rPr>
        <w:t xml:space="preserve"> </w:t>
      </w:r>
      <w:proofErr w:type="spellStart"/>
      <w:r w:rsidRPr="00FB38BA">
        <w:rPr>
          <w:lang w:val="en-US"/>
        </w:rPr>
        <w:t>nesciunt</w:t>
      </w:r>
      <w:proofErr w:type="spellEnd"/>
      <w:r w:rsidRPr="00FB38BA">
        <w:rPr>
          <w:lang w:val="en-US"/>
        </w:rPr>
        <w:t xml:space="preserve">. </w:t>
      </w:r>
      <w:proofErr w:type="spellStart"/>
      <w:r w:rsidRPr="00FB38BA">
        <w:rPr>
          <w:lang w:val="en-US"/>
        </w:rPr>
        <w:t>Unde</w:t>
      </w:r>
      <w:proofErr w:type="spellEnd"/>
      <w:r w:rsidRPr="00FB38BA">
        <w:rPr>
          <w:lang w:val="en-US"/>
        </w:rPr>
        <w:t xml:space="preserve"> et </w:t>
      </w:r>
      <w:proofErr w:type="spellStart"/>
      <w:r w:rsidRPr="00FB38BA">
        <w:rPr>
          <w:lang w:val="en-US"/>
        </w:rPr>
        <w:t>praecipue</w:t>
      </w:r>
      <w:proofErr w:type="spellEnd"/>
      <w:r w:rsidRPr="00FB38BA">
        <w:rPr>
          <w:lang w:val="en-US"/>
        </w:rPr>
        <w:t xml:space="preserve"> </w:t>
      </w:r>
      <w:proofErr w:type="spellStart"/>
      <w:r w:rsidRPr="00FB38BA">
        <w:rPr>
          <w:lang w:val="en-US"/>
        </w:rPr>
        <w:t>gentibus</w:t>
      </w:r>
      <w:proofErr w:type="spellEnd"/>
      <w:r w:rsidRPr="00FB38BA">
        <w:rPr>
          <w:lang w:val="en-US"/>
        </w:rPr>
        <w:t xml:space="preserve"> pro </w:t>
      </w:r>
      <w:proofErr w:type="spellStart"/>
      <w:r w:rsidRPr="00FB38BA">
        <w:rPr>
          <w:lang w:val="en-US"/>
        </w:rPr>
        <w:t>lectione</w:t>
      </w:r>
      <w:proofErr w:type="spellEnd"/>
      <w:r w:rsidRPr="00FB38BA">
        <w:rPr>
          <w:lang w:val="en-US"/>
        </w:rPr>
        <w:t xml:space="preserve"> </w:t>
      </w:r>
      <w:proofErr w:type="spellStart"/>
      <w:r w:rsidRPr="00FB38BA">
        <w:rPr>
          <w:lang w:val="en-US"/>
        </w:rPr>
        <w:t>pictura</w:t>
      </w:r>
      <w:proofErr w:type="spellEnd"/>
      <w:r w:rsidRPr="00FB38BA">
        <w:rPr>
          <w:lang w:val="en-US"/>
        </w:rPr>
        <w:t xml:space="preserve"> est.” Gregory the Great, “</w:t>
      </w:r>
      <w:proofErr w:type="spellStart"/>
      <w:r w:rsidRPr="00FB38BA">
        <w:rPr>
          <w:lang w:val="en-US"/>
        </w:rPr>
        <w:t>Epistola</w:t>
      </w:r>
      <w:proofErr w:type="spellEnd"/>
      <w:r w:rsidRPr="00FB38BA">
        <w:rPr>
          <w:lang w:val="en-US"/>
        </w:rPr>
        <w:t xml:space="preserve"> Ad </w:t>
      </w:r>
      <w:proofErr w:type="spellStart"/>
      <w:r w:rsidRPr="00FB38BA">
        <w:rPr>
          <w:lang w:val="en-US"/>
        </w:rPr>
        <w:t>Serenum</w:t>
      </w:r>
      <w:proofErr w:type="spellEnd"/>
      <w:r w:rsidRPr="00FB38BA">
        <w:rPr>
          <w:lang w:val="en-US"/>
        </w:rPr>
        <w:t xml:space="preserve"> </w:t>
      </w:r>
      <w:proofErr w:type="spellStart"/>
      <w:r w:rsidRPr="00FB38BA">
        <w:rPr>
          <w:lang w:val="en-US"/>
        </w:rPr>
        <w:t>Massiliensem</w:t>
      </w:r>
      <w:proofErr w:type="spellEnd"/>
      <w:r w:rsidRPr="00FB38BA">
        <w:rPr>
          <w:lang w:val="en-US"/>
        </w:rPr>
        <w:t xml:space="preserve"> </w:t>
      </w:r>
      <w:proofErr w:type="spellStart"/>
      <w:r w:rsidRPr="00FB38BA">
        <w:rPr>
          <w:lang w:val="en-US"/>
        </w:rPr>
        <w:t>Episcopum</w:t>
      </w:r>
      <w:proofErr w:type="spellEnd"/>
      <w:r w:rsidRPr="00FB38BA">
        <w:rPr>
          <w:lang w:val="en-US"/>
        </w:rPr>
        <w:t xml:space="preserve">,” in </w:t>
      </w:r>
      <w:proofErr w:type="spellStart"/>
      <w:r w:rsidRPr="00FB38BA">
        <w:rPr>
          <w:i/>
          <w:iCs/>
          <w:lang w:val="en-US"/>
        </w:rPr>
        <w:t>Patrologiae</w:t>
      </w:r>
      <w:proofErr w:type="spellEnd"/>
      <w:r w:rsidRPr="00FB38BA">
        <w:rPr>
          <w:i/>
          <w:iCs/>
          <w:lang w:val="en-US"/>
        </w:rPr>
        <w:t xml:space="preserve"> Cursus </w:t>
      </w:r>
      <w:proofErr w:type="spellStart"/>
      <w:r w:rsidRPr="00FB38BA">
        <w:rPr>
          <w:i/>
          <w:iCs/>
          <w:lang w:val="en-US"/>
        </w:rPr>
        <w:t>Completus</w:t>
      </w:r>
      <w:proofErr w:type="spellEnd"/>
      <w:r w:rsidRPr="00FB38BA">
        <w:rPr>
          <w:i/>
          <w:iCs/>
          <w:lang w:val="en-US"/>
        </w:rPr>
        <w:t xml:space="preserve">. Series Prima. </w:t>
      </w:r>
      <w:proofErr w:type="spellStart"/>
      <w:r w:rsidRPr="00FB38BA">
        <w:rPr>
          <w:i/>
          <w:iCs/>
          <w:lang w:val="en-US"/>
        </w:rPr>
        <w:t>Patrologiae</w:t>
      </w:r>
      <w:proofErr w:type="spellEnd"/>
      <w:r w:rsidRPr="00FB38BA">
        <w:rPr>
          <w:i/>
          <w:iCs/>
          <w:lang w:val="en-US"/>
        </w:rPr>
        <w:t xml:space="preserve"> </w:t>
      </w:r>
      <w:proofErr w:type="spellStart"/>
      <w:r w:rsidRPr="00FB38BA">
        <w:rPr>
          <w:i/>
          <w:iCs/>
          <w:lang w:val="en-US"/>
        </w:rPr>
        <w:t>Tomus</w:t>
      </w:r>
      <w:proofErr w:type="spellEnd"/>
      <w:r w:rsidRPr="00FB38BA">
        <w:rPr>
          <w:i/>
          <w:iCs/>
          <w:lang w:val="en-US"/>
        </w:rPr>
        <w:t xml:space="preserve"> LXXVII</w:t>
      </w:r>
      <w:r w:rsidRPr="00FB38BA">
        <w:rPr>
          <w:lang w:val="en-US"/>
        </w:rPr>
        <w:t xml:space="preserve">, ed. Jacques-Paul </w:t>
      </w:r>
      <w:proofErr w:type="spellStart"/>
      <w:r w:rsidRPr="00FB38BA">
        <w:rPr>
          <w:lang w:val="en-US"/>
        </w:rPr>
        <w:t>Migne</w:t>
      </w:r>
      <w:proofErr w:type="spellEnd"/>
      <w:r w:rsidRPr="00FB38BA">
        <w:rPr>
          <w:lang w:val="en-US"/>
        </w:rPr>
        <w:t xml:space="preserve"> (</w:t>
      </w:r>
      <w:proofErr w:type="spellStart"/>
      <w:r w:rsidRPr="00FB38BA">
        <w:rPr>
          <w:lang w:val="en-US"/>
        </w:rPr>
        <w:t>Lutetiae</w:t>
      </w:r>
      <w:proofErr w:type="spellEnd"/>
      <w:r w:rsidRPr="00FB38BA">
        <w:rPr>
          <w:lang w:val="en-US"/>
        </w:rPr>
        <w:t xml:space="preserve"> </w:t>
      </w:r>
      <w:proofErr w:type="spellStart"/>
      <w:r w:rsidRPr="00FB38BA">
        <w:rPr>
          <w:lang w:val="en-US"/>
        </w:rPr>
        <w:t>Parisiorum</w:t>
      </w:r>
      <w:proofErr w:type="spellEnd"/>
      <w:r w:rsidRPr="00FB38BA">
        <w:rPr>
          <w:lang w:val="en-US"/>
        </w:rPr>
        <w:t xml:space="preserve">: J. P. </w:t>
      </w:r>
      <w:proofErr w:type="spellStart"/>
      <w:r w:rsidRPr="00FB38BA">
        <w:rPr>
          <w:lang w:val="en-US"/>
        </w:rPr>
        <w:t>Migne</w:t>
      </w:r>
      <w:proofErr w:type="spellEnd"/>
      <w:r w:rsidRPr="00FB38BA">
        <w:rPr>
          <w:lang w:val="en-US"/>
        </w:rPr>
        <w:t xml:space="preserve">, 1849), 1128; English translation by Robert Austin Markus, </w:t>
      </w:r>
      <w:r w:rsidRPr="00FB38BA">
        <w:rPr>
          <w:i/>
          <w:iCs/>
          <w:lang w:val="en-US"/>
        </w:rPr>
        <w:t>Gregory the Great and His World</w:t>
      </w:r>
      <w:r w:rsidRPr="00FB38BA">
        <w:rPr>
          <w:lang w:val="en-US"/>
        </w:rPr>
        <w:t xml:space="preserve"> (Cambridge: Cambridge University Press, 1997), 175; See also Gillian Rosemary Evans, </w:t>
      </w:r>
      <w:r w:rsidRPr="00FB38BA">
        <w:rPr>
          <w:i/>
          <w:iCs/>
          <w:lang w:val="en-US"/>
        </w:rPr>
        <w:t>The Thought of Gregory the Great</w:t>
      </w:r>
      <w:r w:rsidRPr="00FB38BA">
        <w:rPr>
          <w:lang w:val="en-US"/>
        </w:rPr>
        <w:t xml:space="preserve"> (Cambridge: Cambridge University Press, 1986), 51.</w:t>
      </w:r>
    </w:p>
  </w:footnote>
  <w:footnote w:id="131">
    <w:p w14:paraId="7035C75C" w14:textId="77777777" w:rsidR="00182EED" w:rsidRDefault="00182EED" w:rsidP="001840E8">
      <w:pPr>
        <w:pStyle w:val="FootnoteText"/>
      </w:pPr>
      <w:r w:rsidRPr="00391186">
        <w:rPr>
          <w:rStyle w:val="FootnoteReference"/>
        </w:rPr>
        <w:footnoteRef/>
      </w:r>
      <w:r>
        <w:t xml:space="preserve"> </w:t>
      </w:r>
      <w:r w:rsidRPr="00B81B4B">
        <w:rPr>
          <w:lang w:val="en-US"/>
        </w:rPr>
        <w:t xml:space="preserve">Gregory the Great, “Liber </w:t>
      </w:r>
      <w:proofErr w:type="spellStart"/>
      <w:r w:rsidRPr="00B81B4B">
        <w:rPr>
          <w:lang w:val="en-US"/>
        </w:rPr>
        <w:t>Regulae</w:t>
      </w:r>
      <w:proofErr w:type="spellEnd"/>
      <w:r w:rsidRPr="00B81B4B">
        <w:rPr>
          <w:lang w:val="en-US"/>
        </w:rPr>
        <w:t xml:space="preserve"> </w:t>
      </w:r>
      <w:proofErr w:type="spellStart"/>
      <w:r w:rsidRPr="00B81B4B">
        <w:rPr>
          <w:lang w:val="en-US"/>
        </w:rPr>
        <w:t>Pastoralis</w:t>
      </w:r>
      <w:proofErr w:type="spellEnd"/>
      <w:r w:rsidRPr="00B81B4B">
        <w:rPr>
          <w:lang w:val="en-US"/>
        </w:rPr>
        <w:t xml:space="preserve">,” 982–91, esp. 990–91; Kessler, </w:t>
      </w:r>
      <w:r w:rsidRPr="00B81B4B">
        <w:rPr>
          <w:i/>
          <w:iCs/>
          <w:lang w:val="en-US"/>
        </w:rPr>
        <w:t>Spiritual Seeing: Picturing God’s Invisibility in Medieval Art</w:t>
      </w:r>
      <w:r w:rsidRPr="00B81B4B">
        <w:rPr>
          <w:lang w:val="en-US"/>
        </w:rPr>
        <w:t xml:space="preserve">, 121; </w:t>
      </w:r>
      <w:proofErr w:type="spellStart"/>
      <w:r w:rsidRPr="00B81B4B">
        <w:rPr>
          <w:lang w:val="en-US"/>
        </w:rPr>
        <w:t>Sixten</w:t>
      </w:r>
      <w:proofErr w:type="spellEnd"/>
      <w:r w:rsidRPr="00B81B4B">
        <w:rPr>
          <w:lang w:val="en-US"/>
        </w:rPr>
        <w:t xml:space="preserve"> </w:t>
      </w:r>
      <w:proofErr w:type="spellStart"/>
      <w:r w:rsidRPr="00B81B4B">
        <w:rPr>
          <w:lang w:val="en-US"/>
        </w:rPr>
        <w:t>Ringbom</w:t>
      </w:r>
      <w:proofErr w:type="spellEnd"/>
      <w:r w:rsidRPr="00B81B4B">
        <w:rPr>
          <w:lang w:val="en-US"/>
        </w:rPr>
        <w:t xml:space="preserve">, </w:t>
      </w:r>
      <w:r w:rsidRPr="00B81B4B">
        <w:rPr>
          <w:i/>
          <w:iCs/>
          <w:lang w:val="en-US"/>
        </w:rPr>
        <w:t>Icon to Narrative: The Rise of the Dramatic Close-up in Fifteenth-Century Devotional Painting</w:t>
      </w:r>
      <w:r w:rsidRPr="00B81B4B">
        <w:rPr>
          <w:lang w:val="en-US"/>
        </w:rPr>
        <w:t xml:space="preserve"> (</w:t>
      </w:r>
      <w:proofErr w:type="spellStart"/>
      <w:r w:rsidRPr="00B81B4B">
        <w:rPr>
          <w:lang w:val="en-US"/>
        </w:rPr>
        <w:t>Doornspijk</w:t>
      </w:r>
      <w:proofErr w:type="spellEnd"/>
      <w:r w:rsidRPr="00B81B4B">
        <w:rPr>
          <w:lang w:val="en-US"/>
        </w:rPr>
        <w:t xml:space="preserve">: </w:t>
      </w:r>
      <w:proofErr w:type="spellStart"/>
      <w:r w:rsidRPr="00B81B4B">
        <w:rPr>
          <w:lang w:val="en-US"/>
        </w:rPr>
        <w:t>Davaco</w:t>
      </w:r>
      <w:proofErr w:type="spellEnd"/>
      <w:r w:rsidRPr="00B81B4B">
        <w:rPr>
          <w:lang w:val="en-US"/>
        </w:rPr>
        <w:t>, 1984), 121–22.</w:t>
      </w:r>
    </w:p>
  </w:footnote>
  <w:footnote w:id="132">
    <w:p w14:paraId="5A2E1AFE" w14:textId="77777777" w:rsidR="00182EED" w:rsidRDefault="00182EED" w:rsidP="001840E8">
      <w:pPr>
        <w:pStyle w:val="FootnoteText"/>
      </w:pPr>
      <w:r w:rsidRPr="00391186">
        <w:rPr>
          <w:rStyle w:val="FootnoteReference"/>
        </w:rPr>
        <w:footnoteRef/>
      </w:r>
      <w:r>
        <w:t xml:space="preserve"> </w:t>
      </w:r>
      <w:proofErr w:type="spellStart"/>
      <w:r w:rsidRPr="00B81B4B">
        <w:rPr>
          <w:lang w:val="en-US"/>
        </w:rPr>
        <w:t>Quiviger</w:t>
      </w:r>
      <w:proofErr w:type="spellEnd"/>
      <w:r w:rsidRPr="00B81B4B">
        <w:rPr>
          <w:lang w:val="en-US"/>
        </w:rPr>
        <w:t xml:space="preserve">, </w:t>
      </w:r>
      <w:r w:rsidRPr="00B81B4B">
        <w:rPr>
          <w:i/>
          <w:iCs/>
          <w:lang w:val="en-US"/>
        </w:rPr>
        <w:t>The Sensory World</w:t>
      </w:r>
      <w:r w:rsidRPr="00B81B4B">
        <w:rPr>
          <w:lang w:val="en-US"/>
        </w:rPr>
        <w:t>, 21.</w:t>
      </w:r>
    </w:p>
  </w:footnote>
  <w:footnote w:id="133">
    <w:p w14:paraId="35CE64CE" w14:textId="77777777" w:rsidR="00182EED" w:rsidRDefault="00182EED" w:rsidP="001840E8">
      <w:pPr>
        <w:pStyle w:val="FootnoteText"/>
      </w:pPr>
      <w:r w:rsidRPr="00391186">
        <w:rPr>
          <w:rStyle w:val="FootnoteReference"/>
        </w:rPr>
        <w:footnoteRef/>
      </w:r>
      <w:r>
        <w:t xml:space="preserve"> </w:t>
      </w:r>
      <w:r w:rsidRPr="00B81B4B">
        <w:rPr>
          <w:lang w:val="en-US"/>
        </w:rPr>
        <w:t xml:space="preserve">“Item </w:t>
      </w:r>
      <w:proofErr w:type="spellStart"/>
      <w:r w:rsidRPr="00B81B4B">
        <w:rPr>
          <w:lang w:val="en-US"/>
        </w:rPr>
        <w:t>scire</w:t>
      </w:r>
      <w:proofErr w:type="spellEnd"/>
      <w:r w:rsidRPr="00B81B4B">
        <w:rPr>
          <w:lang w:val="en-US"/>
        </w:rPr>
        <w:t xml:space="preserve"> </w:t>
      </w:r>
      <w:proofErr w:type="spellStart"/>
      <w:r w:rsidRPr="00B81B4B">
        <w:rPr>
          <w:lang w:val="en-US"/>
        </w:rPr>
        <w:t>te</w:t>
      </w:r>
      <w:proofErr w:type="spellEnd"/>
      <w:r w:rsidRPr="00B81B4B">
        <w:rPr>
          <w:lang w:val="en-US"/>
        </w:rPr>
        <w:t xml:space="preserve"> </w:t>
      </w:r>
      <w:proofErr w:type="spellStart"/>
      <w:r w:rsidRPr="00B81B4B">
        <w:rPr>
          <w:lang w:val="en-US"/>
        </w:rPr>
        <w:t>volo</w:t>
      </w:r>
      <w:proofErr w:type="spellEnd"/>
      <w:r w:rsidRPr="00B81B4B">
        <w:rPr>
          <w:lang w:val="en-US"/>
        </w:rPr>
        <w:t xml:space="preserve"> quod triplex </w:t>
      </w:r>
      <w:proofErr w:type="spellStart"/>
      <w:r w:rsidRPr="00B81B4B">
        <w:rPr>
          <w:lang w:val="en-US"/>
        </w:rPr>
        <w:t>fuit</w:t>
      </w:r>
      <w:proofErr w:type="spellEnd"/>
      <w:r w:rsidRPr="00B81B4B">
        <w:rPr>
          <w:lang w:val="en-US"/>
        </w:rPr>
        <w:t xml:space="preserve"> ratio </w:t>
      </w:r>
      <w:proofErr w:type="spellStart"/>
      <w:r w:rsidRPr="00B81B4B">
        <w:rPr>
          <w:lang w:val="en-US"/>
        </w:rPr>
        <w:t>institutionis</w:t>
      </w:r>
      <w:proofErr w:type="spellEnd"/>
      <w:r w:rsidRPr="00B81B4B">
        <w:rPr>
          <w:lang w:val="en-US"/>
        </w:rPr>
        <w:t xml:space="preserve"> </w:t>
      </w:r>
      <w:proofErr w:type="spellStart"/>
      <w:r w:rsidRPr="00B81B4B">
        <w:rPr>
          <w:lang w:val="en-US"/>
        </w:rPr>
        <w:t>imaginum</w:t>
      </w:r>
      <w:proofErr w:type="spellEnd"/>
      <w:r w:rsidRPr="00B81B4B">
        <w:rPr>
          <w:lang w:val="en-US"/>
        </w:rPr>
        <w:t xml:space="preserve"> in ecclesia. Prima ad </w:t>
      </w:r>
      <w:proofErr w:type="spellStart"/>
      <w:r w:rsidRPr="00B81B4B">
        <w:rPr>
          <w:lang w:val="en-US"/>
        </w:rPr>
        <w:t>instructionem</w:t>
      </w:r>
      <w:proofErr w:type="spellEnd"/>
      <w:r w:rsidRPr="00B81B4B">
        <w:rPr>
          <w:lang w:val="en-US"/>
        </w:rPr>
        <w:t xml:space="preserve"> </w:t>
      </w:r>
      <w:proofErr w:type="spellStart"/>
      <w:r w:rsidRPr="00B81B4B">
        <w:rPr>
          <w:lang w:val="en-US"/>
        </w:rPr>
        <w:t>rudium</w:t>
      </w:r>
      <w:proofErr w:type="spellEnd"/>
      <w:r w:rsidRPr="00B81B4B">
        <w:rPr>
          <w:lang w:val="en-US"/>
        </w:rPr>
        <w:t xml:space="preserve">, qui </w:t>
      </w:r>
      <w:proofErr w:type="spellStart"/>
      <w:r w:rsidRPr="00B81B4B">
        <w:rPr>
          <w:lang w:val="en-US"/>
        </w:rPr>
        <w:t>eis</w:t>
      </w:r>
      <w:proofErr w:type="spellEnd"/>
      <w:r w:rsidRPr="00B81B4B">
        <w:rPr>
          <w:lang w:val="en-US"/>
        </w:rPr>
        <w:t xml:space="preserve"> quasi </w:t>
      </w:r>
      <w:proofErr w:type="spellStart"/>
      <w:r w:rsidRPr="00B81B4B">
        <w:rPr>
          <w:lang w:val="en-US"/>
        </w:rPr>
        <w:t>quibusdam</w:t>
      </w:r>
      <w:proofErr w:type="spellEnd"/>
      <w:r w:rsidRPr="00B81B4B">
        <w:rPr>
          <w:lang w:val="en-US"/>
        </w:rPr>
        <w:t xml:space="preserve"> libris </w:t>
      </w:r>
      <w:proofErr w:type="spellStart"/>
      <w:r w:rsidRPr="00B81B4B">
        <w:rPr>
          <w:lang w:val="en-US"/>
        </w:rPr>
        <w:t>edoceri</w:t>
      </w:r>
      <w:proofErr w:type="spellEnd"/>
      <w:r w:rsidRPr="00B81B4B">
        <w:rPr>
          <w:lang w:val="en-US"/>
        </w:rPr>
        <w:t xml:space="preserve"> </w:t>
      </w:r>
      <w:proofErr w:type="spellStart"/>
      <w:r w:rsidRPr="00B81B4B">
        <w:rPr>
          <w:lang w:val="en-US"/>
        </w:rPr>
        <w:t>videntur</w:t>
      </w:r>
      <w:proofErr w:type="spellEnd"/>
      <w:r w:rsidRPr="00B81B4B">
        <w:rPr>
          <w:lang w:val="en-US"/>
        </w:rPr>
        <w:t xml:space="preserve">. </w:t>
      </w:r>
      <w:proofErr w:type="spellStart"/>
      <w:r w:rsidRPr="00B81B4B">
        <w:rPr>
          <w:lang w:val="en-US"/>
        </w:rPr>
        <w:t>Secunda</w:t>
      </w:r>
      <w:proofErr w:type="spellEnd"/>
      <w:r w:rsidRPr="00B81B4B">
        <w:rPr>
          <w:lang w:val="en-US"/>
        </w:rPr>
        <w:t xml:space="preserve"> ut </w:t>
      </w:r>
      <w:proofErr w:type="spellStart"/>
      <w:r w:rsidRPr="00B81B4B">
        <w:rPr>
          <w:lang w:val="en-US"/>
        </w:rPr>
        <w:t>incarnationis</w:t>
      </w:r>
      <w:proofErr w:type="spellEnd"/>
      <w:r w:rsidRPr="00B81B4B">
        <w:rPr>
          <w:lang w:val="en-US"/>
        </w:rPr>
        <w:t xml:space="preserve"> </w:t>
      </w:r>
      <w:proofErr w:type="spellStart"/>
      <w:r w:rsidRPr="00B81B4B">
        <w:rPr>
          <w:lang w:val="en-US"/>
        </w:rPr>
        <w:t>mysterium</w:t>
      </w:r>
      <w:proofErr w:type="spellEnd"/>
      <w:r w:rsidRPr="00B81B4B">
        <w:rPr>
          <w:lang w:val="en-US"/>
        </w:rPr>
        <w:t xml:space="preserve"> et sanctorum exempla </w:t>
      </w:r>
      <w:proofErr w:type="spellStart"/>
      <w:r w:rsidRPr="00B81B4B">
        <w:rPr>
          <w:lang w:val="en-US"/>
        </w:rPr>
        <w:t>magis</w:t>
      </w:r>
      <w:proofErr w:type="spellEnd"/>
      <w:r w:rsidRPr="00B81B4B">
        <w:rPr>
          <w:lang w:val="en-US"/>
        </w:rPr>
        <w:t xml:space="preserve"> in </w:t>
      </w:r>
      <w:proofErr w:type="spellStart"/>
      <w:r w:rsidRPr="00B81B4B">
        <w:rPr>
          <w:lang w:val="en-US"/>
        </w:rPr>
        <w:t>memoria</w:t>
      </w:r>
      <w:proofErr w:type="spellEnd"/>
      <w:r w:rsidRPr="00B81B4B">
        <w:rPr>
          <w:lang w:val="en-US"/>
        </w:rPr>
        <w:t xml:space="preserve"> nostra </w:t>
      </w:r>
      <w:proofErr w:type="spellStart"/>
      <w:r w:rsidRPr="00B81B4B">
        <w:rPr>
          <w:lang w:val="en-US"/>
        </w:rPr>
        <w:t>essent</w:t>
      </w:r>
      <w:proofErr w:type="spellEnd"/>
      <w:r w:rsidRPr="00B81B4B">
        <w:rPr>
          <w:lang w:val="en-US"/>
        </w:rPr>
        <w:t xml:space="preserve"> </w:t>
      </w:r>
      <w:proofErr w:type="spellStart"/>
      <w:r w:rsidRPr="00B81B4B">
        <w:rPr>
          <w:lang w:val="en-US"/>
        </w:rPr>
        <w:t>dum</w:t>
      </w:r>
      <w:proofErr w:type="spellEnd"/>
      <w:r w:rsidRPr="00B81B4B">
        <w:rPr>
          <w:lang w:val="en-US"/>
        </w:rPr>
        <w:t xml:space="preserve"> </w:t>
      </w:r>
      <w:proofErr w:type="spellStart"/>
      <w:r w:rsidRPr="00B81B4B">
        <w:rPr>
          <w:lang w:val="en-US"/>
        </w:rPr>
        <w:t>quotidie</w:t>
      </w:r>
      <w:proofErr w:type="spellEnd"/>
      <w:r w:rsidRPr="00B81B4B">
        <w:rPr>
          <w:lang w:val="en-US"/>
        </w:rPr>
        <w:t xml:space="preserve"> </w:t>
      </w:r>
      <w:proofErr w:type="spellStart"/>
      <w:r w:rsidRPr="00B81B4B">
        <w:rPr>
          <w:lang w:val="en-US"/>
        </w:rPr>
        <w:t>oculis</w:t>
      </w:r>
      <w:proofErr w:type="spellEnd"/>
      <w:r w:rsidRPr="00B81B4B">
        <w:rPr>
          <w:lang w:val="en-US"/>
        </w:rPr>
        <w:t xml:space="preserve"> </w:t>
      </w:r>
      <w:proofErr w:type="spellStart"/>
      <w:r w:rsidRPr="00B81B4B">
        <w:rPr>
          <w:lang w:val="en-US"/>
        </w:rPr>
        <w:t>nostris</w:t>
      </w:r>
      <w:proofErr w:type="spellEnd"/>
      <w:r w:rsidRPr="00B81B4B">
        <w:rPr>
          <w:lang w:val="en-US"/>
        </w:rPr>
        <w:t xml:space="preserve"> </w:t>
      </w:r>
      <w:proofErr w:type="spellStart"/>
      <w:r w:rsidRPr="00B81B4B">
        <w:rPr>
          <w:lang w:val="en-US"/>
        </w:rPr>
        <w:t>representantur</w:t>
      </w:r>
      <w:proofErr w:type="spellEnd"/>
      <w:r w:rsidRPr="00B81B4B">
        <w:rPr>
          <w:lang w:val="en-US"/>
        </w:rPr>
        <w:t xml:space="preserve">. </w:t>
      </w:r>
      <w:proofErr w:type="spellStart"/>
      <w:r w:rsidRPr="00B81B4B">
        <w:rPr>
          <w:lang w:val="en-US"/>
        </w:rPr>
        <w:t>Tertia</w:t>
      </w:r>
      <w:proofErr w:type="spellEnd"/>
      <w:r w:rsidRPr="00B81B4B">
        <w:rPr>
          <w:lang w:val="en-US"/>
        </w:rPr>
        <w:t xml:space="preserve"> </w:t>
      </w:r>
      <w:proofErr w:type="spellStart"/>
      <w:r w:rsidRPr="00B81B4B">
        <w:rPr>
          <w:lang w:val="en-US"/>
        </w:rPr>
        <w:t>ad</w:t>
      </w:r>
      <w:proofErr w:type="spellEnd"/>
      <w:r w:rsidRPr="00B81B4B">
        <w:rPr>
          <w:lang w:val="en-US"/>
        </w:rPr>
        <w:t xml:space="preserve"> </w:t>
      </w:r>
      <w:proofErr w:type="spellStart"/>
      <w:r w:rsidRPr="00B81B4B">
        <w:rPr>
          <w:lang w:val="en-US"/>
        </w:rPr>
        <w:t>excitandum</w:t>
      </w:r>
      <w:proofErr w:type="spellEnd"/>
      <w:r w:rsidRPr="00B81B4B">
        <w:rPr>
          <w:lang w:val="en-US"/>
        </w:rPr>
        <w:t xml:space="preserve"> </w:t>
      </w:r>
      <w:proofErr w:type="spellStart"/>
      <w:r w:rsidRPr="00B81B4B">
        <w:rPr>
          <w:lang w:val="en-US"/>
        </w:rPr>
        <w:t>devotionis</w:t>
      </w:r>
      <w:proofErr w:type="spellEnd"/>
      <w:r w:rsidRPr="00B81B4B">
        <w:rPr>
          <w:lang w:val="en-US"/>
        </w:rPr>
        <w:t xml:space="preserve"> </w:t>
      </w:r>
      <w:proofErr w:type="spellStart"/>
      <w:r w:rsidRPr="00B81B4B">
        <w:rPr>
          <w:lang w:val="en-US"/>
        </w:rPr>
        <w:t>affectum</w:t>
      </w:r>
      <w:proofErr w:type="spellEnd"/>
      <w:r w:rsidRPr="00B81B4B">
        <w:rPr>
          <w:lang w:val="en-US"/>
        </w:rPr>
        <w:t xml:space="preserve">, qui ex </w:t>
      </w:r>
      <w:proofErr w:type="spellStart"/>
      <w:r w:rsidRPr="00B81B4B">
        <w:rPr>
          <w:lang w:val="en-US"/>
        </w:rPr>
        <w:t>visis</w:t>
      </w:r>
      <w:proofErr w:type="spellEnd"/>
      <w:r w:rsidRPr="00B81B4B">
        <w:rPr>
          <w:lang w:val="en-US"/>
        </w:rPr>
        <w:t xml:space="preserve"> </w:t>
      </w:r>
      <w:proofErr w:type="spellStart"/>
      <w:r w:rsidRPr="00B81B4B">
        <w:rPr>
          <w:lang w:val="en-US"/>
        </w:rPr>
        <w:t>efficacius</w:t>
      </w:r>
      <w:proofErr w:type="spellEnd"/>
      <w:r w:rsidRPr="00B81B4B">
        <w:rPr>
          <w:lang w:val="en-US"/>
        </w:rPr>
        <w:t xml:space="preserve"> </w:t>
      </w:r>
      <w:proofErr w:type="spellStart"/>
      <w:r w:rsidRPr="00B81B4B">
        <w:rPr>
          <w:lang w:val="en-US"/>
        </w:rPr>
        <w:t>excitatur</w:t>
      </w:r>
      <w:proofErr w:type="spellEnd"/>
      <w:r w:rsidRPr="00B81B4B">
        <w:rPr>
          <w:lang w:val="en-US"/>
        </w:rPr>
        <w:t xml:space="preserve"> </w:t>
      </w:r>
      <w:proofErr w:type="spellStart"/>
      <w:r w:rsidRPr="00B81B4B">
        <w:rPr>
          <w:lang w:val="en-US"/>
        </w:rPr>
        <w:t>quam</w:t>
      </w:r>
      <w:proofErr w:type="spellEnd"/>
      <w:r w:rsidRPr="00B81B4B">
        <w:rPr>
          <w:lang w:val="en-US"/>
        </w:rPr>
        <w:t xml:space="preserve"> ex </w:t>
      </w:r>
      <w:proofErr w:type="spellStart"/>
      <w:r w:rsidRPr="00B81B4B">
        <w:rPr>
          <w:lang w:val="en-US"/>
        </w:rPr>
        <w:t>auditis</w:t>
      </w:r>
      <w:proofErr w:type="spellEnd"/>
      <w:r w:rsidRPr="00B81B4B">
        <w:rPr>
          <w:lang w:val="en-US"/>
        </w:rPr>
        <w:t xml:space="preserve">.” Quoted in Michael Baxandall, </w:t>
      </w:r>
      <w:r w:rsidRPr="00B81B4B">
        <w:rPr>
          <w:i/>
          <w:iCs/>
          <w:lang w:val="en-US"/>
        </w:rPr>
        <w:t>Painting and Experience in Fifteenth-Century Italy. A Primer in the Social History of Pictorial Style</w:t>
      </w:r>
      <w:r w:rsidRPr="00B81B4B">
        <w:rPr>
          <w:lang w:val="en-US"/>
        </w:rPr>
        <w:t xml:space="preserve"> (Oxford: Oxford University Press, 1972), 161; English translation from ibid., 41.</w:t>
      </w:r>
    </w:p>
  </w:footnote>
  <w:footnote w:id="134">
    <w:p w14:paraId="49FE0734" w14:textId="77777777" w:rsidR="00182EED" w:rsidRDefault="00182EED" w:rsidP="001840E8">
      <w:pPr>
        <w:pStyle w:val="FootnoteText"/>
      </w:pPr>
      <w:r w:rsidRPr="00391186">
        <w:rPr>
          <w:rStyle w:val="FootnoteReference"/>
        </w:rPr>
        <w:footnoteRef/>
      </w:r>
      <w:r>
        <w:t xml:space="preserve"> </w:t>
      </w:r>
      <w:r w:rsidRPr="00133716">
        <w:rPr>
          <w:lang w:val="en-US"/>
        </w:rPr>
        <w:t xml:space="preserve">Fra Michele da </w:t>
      </w:r>
      <w:proofErr w:type="spellStart"/>
      <w:r w:rsidRPr="00133716">
        <w:rPr>
          <w:lang w:val="en-US"/>
        </w:rPr>
        <w:t>Carcano’s</w:t>
      </w:r>
      <w:proofErr w:type="spellEnd"/>
      <w:r w:rsidRPr="00133716">
        <w:rPr>
          <w:lang w:val="en-US"/>
        </w:rPr>
        <w:t xml:space="preserve"> </w:t>
      </w:r>
      <w:proofErr w:type="spellStart"/>
      <w:r w:rsidRPr="00133716">
        <w:rPr>
          <w:i/>
          <w:iCs/>
          <w:lang w:val="en-US"/>
        </w:rPr>
        <w:t>Sermones</w:t>
      </w:r>
      <w:proofErr w:type="spellEnd"/>
      <w:r w:rsidRPr="00133716">
        <w:rPr>
          <w:i/>
          <w:iCs/>
          <w:lang w:val="en-US"/>
        </w:rPr>
        <w:t xml:space="preserve"> </w:t>
      </w:r>
      <w:proofErr w:type="spellStart"/>
      <w:r w:rsidRPr="00133716">
        <w:rPr>
          <w:i/>
          <w:iCs/>
          <w:lang w:val="en-US"/>
        </w:rPr>
        <w:t>quadragesimales</w:t>
      </w:r>
      <w:proofErr w:type="spellEnd"/>
      <w:r w:rsidRPr="00133716">
        <w:rPr>
          <w:i/>
          <w:iCs/>
          <w:lang w:val="en-US"/>
        </w:rPr>
        <w:t xml:space="preserve"> </w:t>
      </w:r>
      <w:proofErr w:type="spellStart"/>
      <w:r w:rsidRPr="00133716">
        <w:rPr>
          <w:i/>
          <w:iCs/>
          <w:lang w:val="en-US"/>
        </w:rPr>
        <w:t>fratis</w:t>
      </w:r>
      <w:proofErr w:type="spellEnd"/>
      <w:r w:rsidRPr="00133716">
        <w:rPr>
          <w:i/>
          <w:iCs/>
          <w:lang w:val="en-US"/>
        </w:rPr>
        <w:t xml:space="preserve"> Michaelis de </w:t>
      </w:r>
      <w:proofErr w:type="spellStart"/>
      <w:r w:rsidRPr="00133716">
        <w:rPr>
          <w:i/>
          <w:iCs/>
          <w:lang w:val="en-US"/>
        </w:rPr>
        <w:t>Mediolano</w:t>
      </w:r>
      <w:proofErr w:type="spellEnd"/>
      <w:r w:rsidRPr="00133716">
        <w:rPr>
          <w:i/>
          <w:iCs/>
          <w:lang w:val="en-US"/>
        </w:rPr>
        <w:t xml:space="preserve"> de </w:t>
      </w:r>
      <w:proofErr w:type="spellStart"/>
      <w:r w:rsidRPr="00133716">
        <w:rPr>
          <w:i/>
          <w:iCs/>
          <w:lang w:val="en-US"/>
        </w:rPr>
        <w:t>decem</w:t>
      </w:r>
      <w:proofErr w:type="spellEnd"/>
      <w:r w:rsidRPr="00133716">
        <w:rPr>
          <w:i/>
          <w:iCs/>
          <w:lang w:val="en-US"/>
        </w:rPr>
        <w:t xml:space="preserve"> </w:t>
      </w:r>
      <w:proofErr w:type="spellStart"/>
      <w:r w:rsidRPr="00133716">
        <w:rPr>
          <w:i/>
          <w:iCs/>
          <w:lang w:val="en-US"/>
        </w:rPr>
        <w:t>preceptis</w:t>
      </w:r>
      <w:proofErr w:type="spellEnd"/>
      <w:r w:rsidRPr="00133716">
        <w:rPr>
          <w:lang w:val="en-US"/>
        </w:rPr>
        <w:t xml:space="preserve"> are quoted in Baxandall, </w:t>
      </w:r>
      <w:r w:rsidRPr="00133716">
        <w:rPr>
          <w:i/>
          <w:iCs/>
          <w:lang w:val="en-US"/>
        </w:rPr>
        <w:t>Painting and Experience in Fifteenth-Century Italy. A Primer in the Social History of Pictorial Style</w:t>
      </w:r>
      <w:r w:rsidRPr="00133716">
        <w:rPr>
          <w:lang w:val="en-US"/>
        </w:rPr>
        <w:t xml:space="preserve">, 41; On Johannes de </w:t>
      </w:r>
      <w:proofErr w:type="spellStart"/>
      <w:r w:rsidRPr="00133716">
        <w:rPr>
          <w:lang w:val="en-US"/>
        </w:rPr>
        <w:t>Balbi’s</w:t>
      </w:r>
      <w:proofErr w:type="spellEnd"/>
      <w:r w:rsidRPr="00133716">
        <w:rPr>
          <w:lang w:val="en-US"/>
        </w:rPr>
        <w:t xml:space="preserve"> </w:t>
      </w:r>
      <w:r w:rsidRPr="00133716">
        <w:rPr>
          <w:i/>
          <w:iCs/>
          <w:lang w:val="en-US"/>
        </w:rPr>
        <w:t xml:space="preserve">Summa </w:t>
      </w:r>
      <w:proofErr w:type="spellStart"/>
      <w:r w:rsidRPr="00133716">
        <w:rPr>
          <w:i/>
          <w:iCs/>
          <w:lang w:val="en-US"/>
        </w:rPr>
        <w:t>grammaticalis</w:t>
      </w:r>
      <w:proofErr w:type="spellEnd"/>
      <w:r w:rsidRPr="00133716">
        <w:rPr>
          <w:i/>
          <w:iCs/>
          <w:lang w:val="en-US"/>
        </w:rPr>
        <w:t xml:space="preserve"> </w:t>
      </w:r>
      <w:proofErr w:type="spellStart"/>
      <w:r w:rsidRPr="00133716">
        <w:rPr>
          <w:i/>
          <w:iCs/>
          <w:lang w:val="en-US"/>
        </w:rPr>
        <w:t>quae</w:t>
      </w:r>
      <w:proofErr w:type="spellEnd"/>
      <w:r w:rsidRPr="00133716">
        <w:rPr>
          <w:i/>
          <w:iCs/>
          <w:lang w:val="en-US"/>
        </w:rPr>
        <w:t xml:space="preserve"> </w:t>
      </w:r>
      <w:proofErr w:type="spellStart"/>
      <w:r w:rsidRPr="00133716">
        <w:rPr>
          <w:i/>
          <w:iCs/>
          <w:lang w:val="en-US"/>
        </w:rPr>
        <w:t>vocatur</w:t>
      </w:r>
      <w:proofErr w:type="spellEnd"/>
      <w:r w:rsidRPr="00133716">
        <w:rPr>
          <w:i/>
          <w:iCs/>
          <w:lang w:val="en-US"/>
        </w:rPr>
        <w:t xml:space="preserve"> </w:t>
      </w:r>
      <w:proofErr w:type="spellStart"/>
      <w:r w:rsidRPr="00133716">
        <w:rPr>
          <w:i/>
          <w:iCs/>
          <w:lang w:val="en-US"/>
        </w:rPr>
        <w:t>Catholiconi</w:t>
      </w:r>
      <w:proofErr w:type="spellEnd"/>
      <w:r w:rsidRPr="00133716">
        <w:rPr>
          <w:lang w:val="en-US"/>
        </w:rPr>
        <w:t xml:space="preserve"> see Richard Freedman, </w:t>
      </w:r>
      <w:r w:rsidRPr="00133716">
        <w:rPr>
          <w:i/>
          <w:iCs/>
          <w:lang w:val="en-US"/>
        </w:rPr>
        <w:t>Music in the Renaissance: Western Music in Context</w:t>
      </w:r>
      <w:r w:rsidRPr="00133716">
        <w:rPr>
          <w:lang w:val="en-US"/>
        </w:rPr>
        <w:t xml:space="preserve"> (New York and London: W. W. Norton &amp; Company, 2013), 59; Margaret R. Miles, </w:t>
      </w:r>
      <w:r w:rsidRPr="00133716">
        <w:rPr>
          <w:i/>
          <w:iCs/>
          <w:lang w:val="en-US"/>
        </w:rPr>
        <w:t>Image as Insight: Visual Understanding in Western Christianity and Secular Culture</w:t>
      </w:r>
      <w:r w:rsidRPr="00133716">
        <w:rPr>
          <w:lang w:val="en-US"/>
        </w:rPr>
        <w:t xml:space="preserve"> (Eugene, OR: Wipf and Stock Publishers, 1985), 66. </w:t>
      </w:r>
      <w:proofErr w:type="spellStart"/>
      <w:r w:rsidRPr="00133716">
        <w:rPr>
          <w:lang w:val="en-US"/>
        </w:rPr>
        <w:t>Balbi’s</w:t>
      </w:r>
      <w:proofErr w:type="spellEnd"/>
      <w:r w:rsidRPr="00133716">
        <w:rPr>
          <w:lang w:val="en-US"/>
        </w:rPr>
        <w:t xml:space="preserve"> dictionary was printed at least seven times in Venice between 1483 and 1506.</w:t>
      </w:r>
    </w:p>
  </w:footnote>
  <w:footnote w:id="135">
    <w:p w14:paraId="316743F6" w14:textId="77777777" w:rsidR="00182EED" w:rsidRDefault="00182EED" w:rsidP="001840E8">
      <w:pPr>
        <w:pStyle w:val="FootnoteText"/>
      </w:pPr>
      <w:r w:rsidRPr="00391186">
        <w:rPr>
          <w:rStyle w:val="FootnoteReference"/>
        </w:rPr>
        <w:footnoteRef/>
      </w:r>
      <w:r>
        <w:t xml:space="preserve"> </w:t>
      </w:r>
      <w:proofErr w:type="spellStart"/>
      <w:r w:rsidRPr="00B81B4B">
        <w:rPr>
          <w:lang w:val="en-US"/>
        </w:rPr>
        <w:t>Grendler</w:t>
      </w:r>
      <w:proofErr w:type="spellEnd"/>
      <w:r w:rsidRPr="00B81B4B">
        <w:rPr>
          <w:lang w:val="en-US"/>
        </w:rPr>
        <w:t xml:space="preserve">, </w:t>
      </w:r>
      <w:r w:rsidRPr="00B81B4B">
        <w:rPr>
          <w:i/>
          <w:iCs/>
          <w:lang w:val="en-US"/>
        </w:rPr>
        <w:t>Schooling in Renaissance Italy</w:t>
      </w:r>
      <w:r w:rsidRPr="00B81B4B">
        <w:rPr>
          <w:lang w:val="en-US"/>
        </w:rPr>
        <w:t>, 286–88.</w:t>
      </w:r>
    </w:p>
  </w:footnote>
  <w:footnote w:id="136">
    <w:p w14:paraId="61A707B0" w14:textId="77777777" w:rsidR="00182EED" w:rsidRDefault="00182EED" w:rsidP="001840E8">
      <w:pPr>
        <w:pStyle w:val="FootnoteText"/>
      </w:pPr>
      <w:r w:rsidRPr="00391186">
        <w:rPr>
          <w:rStyle w:val="FootnoteReference"/>
        </w:rPr>
        <w:footnoteRef/>
      </w:r>
      <w:r>
        <w:t xml:space="preserve"> </w:t>
      </w:r>
      <w:r w:rsidRPr="00205892">
        <w:rPr>
          <w:lang w:val="en-US"/>
        </w:rPr>
        <w:t xml:space="preserve">The </w:t>
      </w:r>
      <w:proofErr w:type="spellStart"/>
      <w:r w:rsidRPr="00205892">
        <w:rPr>
          <w:i/>
          <w:iCs/>
          <w:lang w:val="en-US"/>
        </w:rPr>
        <w:t>Meditationes</w:t>
      </w:r>
      <w:proofErr w:type="spellEnd"/>
      <w:r w:rsidRPr="00205892">
        <w:rPr>
          <w:i/>
          <w:iCs/>
          <w:lang w:val="en-US"/>
        </w:rPr>
        <w:t xml:space="preserve"> vitae Christi</w:t>
      </w:r>
      <w:r w:rsidRPr="00205892">
        <w:rPr>
          <w:lang w:val="en-US"/>
        </w:rPr>
        <w:t xml:space="preserve"> survives in two hundreds manuscript copies and had 52 editions published in Italy, between 1465 and 1550; Schutte, </w:t>
      </w:r>
      <w:r w:rsidRPr="00205892">
        <w:rPr>
          <w:i/>
          <w:iCs/>
          <w:lang w:val="en-US"/>
        </w:rPr>
        <w:t>Printed Italian Vernacular Religious Books 1465-1550 : A Finding List</w:t>
      </w:r>
      <w:r w:rsidRPr="00205892">
        <w:rPr>
          <w:lang w:val="en-US"/>
        </w:rPr>
        <w:t xml:space="preserve">, 100–104; </w:t>
      </w:r>
      <w:proofErr w:type="spellStart"/>
      <w:r w:rsidRPr="00205892">
        <w:rPr>
          <w:lang w:val="en-US"/>
        </w:rPr>
        <w:t>Quiviger</w:t>
      </w:r>
      <w:proofErr w:type="spellEnd"/>
      <w:r w:rsidRPr="00205892">
        <w:rPr>
          <w:lang w:val="en-US"/>
        </w:rPr>
        <w:t xml:space="preserve">, “Seeing and Looking in the Renaissance,” 76 n. 18; </w:t>
      </w:r>
      <w:proofErr w:type="spellStart"/>
      <w:r w:rsidRPr="00205892">
        <w:rPr>
          <w:lang w:val="en-US"/>
        </w:rPr>
        <w:t>Biernoff</w:t>
      </w:r>
      <w:proofErr w:type="spellEnd"/>
      <w:r w:rsidRPr="00205892">
        <w:rPr>
          <w:lang w:val="en-US"/>
        </w:rPr>
        <w:t xml:space="preserve">, </w:t>
      </w:r>
      <w:r w:rsidRPr="00205892">
        <w:rPr>
          <w:i/>
          <w:iCs/>
          <w:lang w:val="en-US"/>
        </w:rPr>
        <w:t>Sight and Embodiment in the Middle Ages</w:t>
      </w:r>
      <w:r w:rsidRPr="00205892">
        <w:rPr>
          <w:lang w:val="en-US"/>
        </w:rPr>
        <w:t>, 137–38. According to S</w:t>
      </w:r>
      <w:r>
        <w:rPr>
          <w:lang w:val="en-US"/>
        </w:rPr>
        <w:t>ain</w:t>
      </w:r>
      <w:r w:rsidRPr="00205892">
        <w:rPr>
          <w:lang w:val="en-US"/>
        </w:rPr>
        <w:t xml:space="preserve">t Bernard, higher levels of prayer were imageless, and should rise above pictures; see </w:t>
      </w:r>
      <w:proofErr w:type="spellStart"/>
      <w:r w:rsidRPr="00205892">
        <w:rPr>
          <w:lang w:val="en-US"/>
        </w:rPr>
        <w:t>Donal</w:t>
      </w:r>
      <w:proofErr w:type="spellEnd"/>
      <w:r w:rsidRPr="00205892">
        <w:rPr>
          <w:lang w:val="en-US"/>
        </w:rPr>
        <w:t xml:space="preserve"> Cooper, “Devotion,” in </w:t>
      </w:r>
      <w:r w:rsidRPr="00205892">
        <w:rPr>
          <w:i/>
          <w:iCs/>
          <w:lang w:val="en-US"/>
        </w:rPr>
        <w:t>At Home in Renaissance Italy</w:t>
      </w:r>
      <w:r w:rsidRPr="00205892">
        <w:rPr>
          <w:lang w:val="en-US"/>
        </w:rPr>
        <w:t xml:space="preserve">, ed. Marta </w:t>
      </w:r>
      <w:proofErr w:type="spellStart"/>
      <w:r w:rsidRPr="00205892">
        <w:rPr>
          <w:lang w:val="en-US"/>
        </w:rPr>
        <w:t>Ajmar-Wollheim</w:t>
      </w:r>
      <w:proofErr w:type="spellEnd"/>
      <w:r w:rsidRPr="00205892">
        <w:rPr>
          <w:lang w:val="en-US"/>
        </w:rPr>
        <w:t xml:space="preserve"> and Flora Dennis (London: V&amp;A Publications, 2006), 190–203; Imageless devotion and the mind’s eye as an inner sense of sight are discussed in Williamson, “Sensory Experience in Medieval Devotion: Sound and Vision, Invisibility and Silence,” : 3, 12-13; see also </w:t>
      </w:r>
      <w:proofErr w:type="spellStart"/>
      <w:r w:rsidRPr="00205892">
        <w:rPr>
          <w:lang w:val="en-US"/>
        </w:rPr>
        <w:t>Quiviger</w:t>
      </w:r>
      <w:proofErr w:type="spellEnd"/>
      <w:r w:rsidRPr="00205892">
        <w:rPr>
          <w:lang w:val="en-US"/>
        </w:rPr>
        <w:t xml:space="preserve">, “Seeing and Looking in the Renaissance,” 74–76; </w:t>
      </w:r>
      <w:proofErr w:type="spellStart"/>
      <w:r w:rsidRPr="00205892">
        <w:rPr>
          <w:lang w:val="en-US"/>
        </w:rPr>
        <w:t>Quiviger</w:t>
      </w:r>
      <w:proofErr w:type="spellEnd"/>
      <w:r w:rsidRPr="00205892">
        <w:rPr>
          <w:lang w:val="en-US"/>
        </w:rPr>
        <w:t xml:space="preserve">, </w:t>
      </w:r>
      <w:r w:rsidRPr="00205892">
        <w:rPr>
          <w:i/>
          <w:iCs/>
          <w:lang w:val="en-US"/>
        </w:rPr>
        <w:t>The Sensory World</w:t>
      </w:r>
      <w:r w:rsidRPr="00205892">
        <w:rPr>
          <w:lang w:val="en-US"/>
        </w:rPr>
        <w:t>, 17.</w:t>
      </w:r>
    </w:p>
  </w:footnote>
  <w:footnote w:id="137">
    <w:p w14:paraId="5FDEC42D" w14:textId="77777777" w:rsidR="00182EED" w:rsidRDefault="00182EED" w:rsidP="001840E8">
      <w:pPr>
        <w:pStyle w:val="FootnoteText"/>
      </w:pPr>
      <w:r w:rsidRPr="00391186">
        <w:rPr>
          <w:rStyle w:val="FootnoteReference"/>
        </w:rPr>
        <w:footnoteRef/>
      </w:r>
      <w:r>
        <w:t xml:space="preserve"> </w:t>
      </w:r>
      <w:r w:rsidRPr="00C97886">
        <w:rPr>
          <w:lang w:val="en-US"/>
        </w:rPr>
        <w:t xml:space="preserve">Plato, </w:t>
      </w:r>
      <w:r w:rsidRPr="00C97886">
        <w:rPr>
          <w:i/>
          <w:iCs/>
          <w:lang w:val="en-US"/>
        </w:rPr>
        <w:t>The Republic</w:t>
      </w:r>
      <w:r w:rsidRPr="00C97886">
        <w:rPr>
          <w:lang w:val="en-US"/>
        </w:rPr>
        <w:t>, III, 79–80.</w:t>
      </w:r>
    </w:p>
  </w:footnote>
  <w:footnote w:id="138">
    <w:p w14:paraId="0018D901" w14:textId="77777777" w:rsidR="00182EED" w:rsidRDefault="00182EED" w:rsidP="001840E8">
      <w:pPr>
        <w:pStyle w:val="FootnoteText"/>
      </w:pPr>
      <w:r w:rsidRPr="00391186">
        <w:rPr>
          <w:rStyle w:val="FootnoteReference"/>
        </w:rPr>
        <w:footnoteRef/>
      </w:r>
      <w:r>
        <w:t xml:space="preserve"> </w:t>
      </w:r>
      <w:r w:rsidRPr="00C97886">
        <w:rPr>
          <w:lang w:val="en-US"/>
        </w:rPr>
        <w:t xml:space="preserve">Claudio </w:t>
      </w:r>
      <w:proofErr w:type="spellStart"/>
      <w:r w:rsidRPr="00C97886">
        <w:rPr>
          <w:lang w:val="en-US"/>
        </w:rPr>
        <w:t>Paolini</w:t>
      </w:r>
      <w:proofErr w:type="spellEnd"/>
      <w:r w:rsidRPr="00C97886">
        <w:rPr>
          <w:lang w:val="en-US"/>
        </w:rPr>
        <w:t xml:space="preserve">, “Chests,” in </w:t>
      </w:r>
      <w:r w:rsidRPr="00C97886">
        <w:rPr>
          <w:i/>
          <w:iCs/>
          <w:lang w:val="en-US"/>
        </w:rPr>
        <w:t>At Home in Renaissance Italy</w:t>
      </w:r>
      <w:r w:rsidRPr="00C97886">
        <w:rPr>
          <w:lang w:val="en-US"/>
        </w:rPr>
        <w:t xml:space="preserve">, ed. Marta </w:t>
      </w:r>
      <w:proofErr w:type="spellStart"/>
      <w:r w:rsidRPr="00C97886">
        <w:rPr>
          <w:lang w:val="en-US"/>
        </w:rPr>
        <w:t>Ajmar-Wollheim</w:t>
      </w:r>
      <w:proofErr w:type="spellEnd"/>
      <w:r w:rsidRPr="00C97886">
        <w:rPr>
          <w:lang w:val="en-US"/>
        </w:rPr>
        <w:t xml:space="preserve"> and Flora Dennis (London: V&amp;A Publications, 2006), 120–21.</w:t>
      </w:r>
    </w:p>
  </w:footnote>
  <w:footnote w:id="139">
    <w:p w14:paraId="5449A8FE" w14:textId="77777777" w:rsidR="00182EED" w:rsidRDefault="00182EED" w:rsidP="001840E8">
      <w:pPr>
        <w:pStyle w:val="FootnoteText"/>
      </w:pPr>
      <w:r w:rsidRPr="00391186">
        <w:rPr>
          <w:rStyle w:val="FootnoteReference"/>
        </w:rPr>
        <w:footnoteRef/>
      </w:r>
      <w:r>
        <w:t xml:space="preserve"> </w:t>
      </w:r>
      <w:r w:rsidRPr="00C97886">
        <w:rPr>
          <w:lang w:val="en-US"/>
        </w:rPr>
        <w:t xml:space="preserve">Syson and Thornton, </w:t>
      </w:r>
      <w:r w:rsidRPr="00C97886">
        <w:rPr>
          <w:i/>
          <w:iCs/>
          <w:lang w:val="en-US"/>
        </w:rPr>
        <w:t>Objects of Virtue</w:t>
      </w:r>
      <w:r w:rsidRPr="00C97886">
        <w:rPr>
          <w:lang w:val="en-US"/>
        </w:rPr>
        <w:t>, 70–71.</w:t>
      </w:r>
      <w:r>
        <w:rPr>
          <w:lang w:val="en-US"/>
        </w:rPr>
        <w:t xml:space="preserve"> See also Adrian W. B. Randolph, </w:t>
      </w:r>
      <w:r>
        <w:rPr>
          <w:i/>
          <w:lang w:val="en-US"/>
        </w:rPr>
        <w:t>Touching objects. Intimate experiences of Italian Fifteenth-Century Art</w:t>
      </w:r>
      <w:r>
        <w:rPr>
          <w:iCs/>
          <w:lang w:val="en-US"/>
        </w:rPr>
        <w:t xml:space="preserve"> (New Haven and London: Yale University Press, 2014), 148-49.</w:t>
      </w:r>
    </w:p>
  </w:footnote>
  <w:footnote w:id="140">
    <w:p w14:paraId="28E509DE" w14:textId="77777777" w:rsidR="00182EED" w:rsidRPr="0083061F" w:rsidRDefault="00182EED" w:rsidP="001840E8">
      <w:pPr>
        <w:pStyle w:val="FootnoteText"/>
        <w:rPr>
          <w:iCs/>
        </w:rPr>
      </w:pPr>
      <w:r w:rsidRPr="00391186">
        <w:rPr>
          <w:rStyle w:val="FootnoteReference"/>
        </w:rPr>
        <w:footnoteRef/>
      </w:r>
      <w:r>
        <w:t xml:space="preserve"> </w:t>
      </w:r>
      <w:r>
        <w:rPr>
          <w:lang w:val="en-US"/>
        </w:rPr>
        <w:t xml:space="preserve">On the reclining nude see Randolph, </w:t>
      </w:r>
      <w:r>
        <w:rPr>
          <w:i/>
          <w:lang w:val="en-US"/>
        </w:rPr>
        <w:t>Touching objects</w:t>
      </w:r>
      <w:r>
        <w:rPr>
          <w:iCs/>
          <w:lang w:val="en-US"/>
        </w:rPr>
        <w:t xml:space="preserve">, 151-67. See also </w:t>
      </w:r>
      <w:r w:rsidRPr="00C97886">
        <w:rPr>
          <w:lang w:val="en-US"/>
        </w:rPr>
        <w:t xml:space="preserve">Deborah L. </w:t>
      </w:r>
      <w:proofErr w:type="spellStart"/>
      <w:r w:rsidRPr="00C97886">
        <w:rPr>
          <w:lang w:val="en-US"/>
        </w:rPr>
        <w:t>Krohn</w:t>
      </w:r>
      <w:proofErr w:type="spellEnd"/>
      <w:r w:rsidRPr="00C97886">
        <w:rPr>
          <w:lang w:val="en-US"/>
        </w:rPr>
        <w:t xml:space="preserve">, “58b. Inner Lid from a Cassone with Venus Reclining on Pillows,” in </w:t>
      </w:r>
      <w:r w:rsidRPr="00C97886">
        <w:rPr>
          <w:i/>
          <w:iCs/>
          <w:lang w:val="en-US"/>
        </w:rPr>
        <w:t>Art and Love in Renaissance Italy</w:t>
      </w:r>
      <w:r w:rsidRPr="00C97886">
        <w:rPr>
          <w:lang w:val="en-US"/>
        </w:rPr>
        <w:t xml:space="preserve">, ed. Andrea Bayer (New York, New Haven, Conn.; London: Metropolitan Museum of Art; Yale University Press, 2008), 134–36; E. H. </w:t>
      </w:r>
      <w:proofErr w:type="spellStart"/>
      <w:r w:rsidRPr="00C97886">
        <w:rPr>
          <w:lang w:val="en-US"/>
        </w:rPr>
        <w:t>Gombrich</w:t>
      </w:r>
      <w:proofErr w:type="spellEnd"/>
      <w:r w:rsidRPr="00C97886">
        <w:rPr>
          <w:lang w:val="en-US"/>
        </w:rPr>
        <w:t xml:space="preserve">, “Apollonio Di Giovanni: A Florentine Cassone Workshop Seen through the Eyes of a Humanist Poet,” </w:t>
      </w:r>
      <w:r w:rsidRPr="00C97886">
        <w:rPr>
          <w:i/>
          <w:iCs/>
          <w:lang w:val="en-US"/>
        </w:rPr>
        <w:t xml:space="preserve">Journal of the Warburg and </w:t>
      </w:r>
      <w:proofErr w:type="spellStart"/>
      <w:r w:rsidRPr="00C97886">
        <w:rPr>
          <w:i/>
          <w:iCs/>
          <w:lang w:val="en-US"/>
        </w:rPr>
        <w:t>Courtauld</w:t>
      </w:r>
      <w:proofErr w:type="spellEnd"/>
      <w:r w:rsidRPr="00C97886">
        <w:rPr>
          <w:i/>
          <w:iCs/>
          <w:lang w:val="en-US"/>
        </w:rPr>
        <w:t xml:space="preserve"> Institutes</w:t>
      </w:r>
      <w:r w:rsidRPr="00C97886">
        <w:rPr>
          <w:lang w:val="en-US"/>
        </w:rPr>
        <w:t xml:space="preserve"> 18, no. 1/2 (1955): 27; Jacqueline Marie </w:t>
      </w:r>
      <w:proofErr w:type="spellStart"/>
      <w:r w:rsidRPr="00C97886">
        <w:rPr>
          <w:lang w:val="en-US"/>
        </w:rPr>
        <w:t>Musacchio</w:t>
      </w:r>
      <w:proofErr w:type="spellEnd"/>
      <w:r w:rsidRPr="00C97886">
        <w:rPr>
          <w:lang w:val="en-US"/>
        </w:rPr>
        <w:t xml:space="preserve">, </w:t>
      </w:r>
      <w:r w:rsidRPr="00C97886">
        <w:rPr>
          <w:i/>
          <w:iCs/>
          <w:lang w:val="en-US"/>
        </w:rPr>
        <w:t>The Art and Ritual of Childbirth in Renaissance Italy</w:t>
      </w:r>
      <w:r w:rsidRPr="00C97886">
        <w:rPr>
          <w:lang w:val="en-US"/>
        </w:rPr>
        <w:t xml:space="preserve"> (New Haven, Conn. and London: Yale University Press, 1999), 132; Jacqueline Marie </w:t>
      </w:r>
      <w:proofErr w:type="spellStart"/>
      <w:r w:rsidRPr="00C97886">
        <w:rPr>
          <w:lang w:val="en-US"/>
        </w:rPr>
        <w:t>Musacchio</w:t>
      </w:r>
      <w:proofErr w:type="spellEnd"/>
      <w:r w:rsidRPr="00C97886">
        <w:rPr>
          <w:lang w:val="en-US"/>
        </w:rPr>
        <w:t xml:space="preserve">, “Imaginative Conceptions in Renaissance Italy,” in </w:t>
      </w:r>
      <w:r w:rsidRPr="00C97886">
        <w:rPr>
          <w:i/>
          <w:iCs/>
          <w:lang w:val="en-US"/>
        </w:rPr>
        <w:t>Picturing Women in Renaissance and Baroque Italy</w:t>
      </w:r>
      <w:r w:rsidRPr="00C97886">
        <w:rPr>
          <w:lang w:val="en-US"/>
        </w:rPr>
        <w:t xml:space="preserve">, ed. Geraldine A. Johnson and Sara F. Matthews </w:t>
      </w:r>
      <w:proofErr w:type="spellStart"/>
      <w:r w:rsidRPr="00C97886">
        <w:rPr>
          <w:lang w:val="en-US"/>
        </w:rPr>
        <w:t>Grieco</w:t>
      </w:r>
      <w:proofErr w:type="spellEnd"/>
      <w:r w:rsidRPr="00C97886">
        <w:rPr>
          <w:lang w:val="en-US"/>
        </w:rPr>
        <w:t xml:space="preserve"> (Cambridge and New York: Cambridge University Press, 1997), 49.</w:t>
      </w:r>
    </w:p>
  </w:footnote>
  <w:footnote w:id="141">
    <w:p w14:paraId="75B858D8" w14:textId="77777777" w:rsidR="00182EED" w:rsidRDefault="00182EED" w:rsidP="001840E8">
      <w:pPr>
        <w:pStyle w:val="FootnoteText"/>
      </w:pPr>
      <w:r w:rsidRPr="00391186">
        <w:rPr>
          <w:rStyle w:val="FootnoteReference"/>
        </w:rPr>
        <w:footnoteRef/>
      </w:r>
      <w:r>
        <w:t xml:space="preserve"> </w:t>
      </w:r>
      <w:r w:rsidRPr="00C97886">
        <w:rPr>
          <w:lang w:val="en-US"/>
        </w:rPr>
        <w:t xml:space="preserve">The episode of the </w:t>
      </w:r>
      <w:r w:rsidRPr="00C97886">
        <w:rPr>
          <w:i/>
          <w:iCs/>
          <w:lang w:val="en-US"/>
        </w:rPr>
        <w:t>Rape of the Sabine Women</w:t>
      </w:r>
      <w:r w:rsidRPr="00C97886">
        <w:rPr>
          <w:lang w:val="en-US"/>
        </w:rPr>
        <w:t>, recounted by the Roman authors Livy and Plutarch (</w:t>
      </w:r>
      <w:r w:rsidRPr="00C97886">
        <w:rPr>
          <w:i/>
          <w:iCs/>
          <w:lang w:val="en-US"/>
        </w:rPr>
        <w:t>Parallel Lives</w:t>
      </w:r>
      <w:r w:rsidRPr="00C97886">
        <w:rPr>
          <w:lang w:val="en-US"/>
        </w:rPr>
        <w:t xml:space="preserve"> II, 15 and 19), describes how Roman men abducted women from </w:t>
      </w:r>
      <w:proofErr w:type="spellStart"/>
      <w:r w:rsidRPr="00C97886">
        <w:rPr>
          <w:lang w:val="en-US"/>
        </w:rPr>
        <w:t>neighbouring</w:t>
      </w:r>
      <w:proofErr w:type="spellEnd"/>
      <w:r w:rsidRPr="00C97886">
        <w:rPr>
          <w:lang w:val="en-US"/>
        </w:rPr>
        <w:t xml:space="preserve"> families in order to make them their wives. The term “rape” in this case refers to abduction rather than to sexual abuse. This interpretation is suggested by </w:t>
      </w:r>
      <w:proofErr w:type="spellStart"/>
      <w:r w:rsidRPr="00C97886">
        <w:rPr>
          <w:lang w:val="en-US"/>
        </w:rPr>
        <w:t>Gombrich</w:t>
      </w:r>
      <w:proofErr w:type="spellEnd"/>
      <w:r w:rsidRPr="00C97886">
        <w:rPr>
          <w:lang w:val="en-US"/>
        </w:rPr>
        <w:t xml:space="preserve">, “Apollonio Di Giovanni,” 27; see also Jacqueline Marie </w:t>
      </w:r>
      <w:proofErr w:type="spellStart"/>
      <w:r w:rsidRPr="00C97886">
        <w:rPr>
          <w:lang w:val="en-US"/>
        </w:rPr>
        <w:t>Musacchio</w:t>
      </w:r>
      <w:proofErr w:type="spellEnd"/>
      <w:r w:rsidRPr="00C97886">
        <w:rPr>
          <w:lang w:val="en-US"/>
        </w:rPr>
        <w:t xml:space="preserve">, “The Rape of the Sabine Women on Quattrocento Marriage Panels,” in </w:t>
      </w:r>
      <w:r w:rsidRPr="00C97886">
        <w:rPr>
          <w:i/>
          <w:iCs/>
          <w:lang w:val="en-US"/>
        </w:rPr>
        <w:t>Marriage in Italy, 1300-1650</w:t>
      </w:r>
      <w:r w:rsidRPr="00C97886">
        <w:rPr>
          <w:lang w:val="en-US"/>
        </w:rPr>
        <w:t>, ed. Trevor Dean and K. J. P. Lowe (Cambridge: Cambridge University Press, 2002), 66–84.</w:t>
      </w:r>
    </w:p>
  </w:footnote>
  <w:footnote w:id="142">
    <w:p w14:paraId="3C355672" w14:textId="77777777" w:rsidR="00182EED" w:rsidRDefault="00182EED" w:rsidP="001840E8">
      <w:pPr>
        <w:pStyle w:val="FootnoteText"/>
      </w:pPr>
      <w:r w:rsidRPr="00391186">
        <w:rPr>
          <w:rStyle w:val="FootnoteReference"/>
        </w:rPr>
        <w:footnoteRef/>
      </w:r>
      <w:r>
        <w:t xml:space="preserve"> </w:t>
      </w:r>
      <w:r w:rsidRPr="00C97886">
        <w:rPr>
          <w:lang w:val="en-US"/>
        </w:rPr>
        <w:t xml:space="preserve">See John Pope-Hennessy, </w:t>
      </w:r>
      <w:r w:rsidRPr="00C97886">
        <w:rPr>
          <w:i/>
          <w:iCs/>
          <w:lang w:val="en-US"/>
        </w:rPr>
        <w:t>Italian Renaissance Sculpture</w:t>
      </w:r>
      <w:r w:rsidRPr="00C97886">
        <w:rPr>
          <w:lang w:val="en-US"/>
        </w:rPr>
        <w:t xml:space="preserve"> (London: </w:t>
      </w:r>
      <w:proofErr w:type="spellStart"/>
      <w:r w:rsidRPr="00C97886">
        <w:rPr>
          <w:lang w:val="en-US"/>
        </w:rPr>
        <w:t>Phaidon</w:t>
      </w:r>
      <w:proofErr w:type="spellEnd"/>
      <w:r w:rsidRPr="00C97886">
        <w:rPr>
          <w:lang w:val="en-US"/>
        </w:rPr>
        <w:t>, 1958), 12.</w:t>
      </w:r>
    </w:p>
  </w:footnote>
  <w:footnote w:id="143">
    <w:p w14:paraId="6542368B" w14:textId="77777777" w:rsidR="00182EED" w:rsidRDefault="00182EED" w:rsidP="001840E8">
      <w:pPr>
        <w:pStyle w:val="FootnoteText"/>
      </w:pPr>
      <w:r w:rsidRPr="00391186">
        <w:rPr>
          <w:rStyle w:val="FootnoteReference"/>
        </w:rPr>
        <w:footnoteRef/>
      </w:r>
      <w:r>
        <w:t xml:space="preserve"> </w:t>
      </w:r>
      <w:r w:rsidRPr="00130CDB">
        <w:rPr>
          <w:lang w:val="en-US"/>
        </w:rPr>
        <w:t>“[</w:t>
      </w:r>
      <w:proofErr w:type="spellStart"/>
      <w:r w:rsidRPr="00130CDB">
        <w:rPr>
          <w:lang w:val="en-US"/>
        </w:rPr>
        <w:t>Padri</w:t>
      </w:r>
      <w:proofErr w:type="spellEnd"/>
      <w:r w:rsidRPr="00130CDB">
        <w:rPr>
          <w:lang w:val="en-US"/>
        </w:rPr>
        <w:t xml:space="preserve"> e </w:t>
      </w:r>
      <w:proofErr w:type="spellStart"/>
      <w:r w:rsidRPr="00130CDB">
        <w:rPr>
          <w:lang w:val="en-US"/>
        </w:rPr>
        <w:t>madri</w:t>
      </w:r>
      <w:proofErr w:type="spellEnd"/>
      <w:r w:rsidRPr="00130CDB">
        <w:rPr>
          <w:lang w:val="en-US"/>
        </w:rPr>
        <w:t xml:space="preserve">] </w:t>
      </w:r>
      <w:proofErr w:type="spellStart"/>
      <w:r w:rsidRPr="00130CDB">
        <w:rPr>
          <w:lang w:val="en-US"/>
        </w:rPr>
        <w:t>tengono</w:t>
      </w:r>
      <w:proofErr w:type="spellEnd"/>
      <w:r w:rsidRPr="00130CDB">
        <w:rPr>
          <w:lang w:val="en-US"/>
        </w:rPr>
        <w:t xml:space="preserve"> in casa </w:t>
      </w:r>
      <w:proofErr w:type="spellStart"/>
      <w:r w:rsidRPr="00130CDB">
        <w:rPr>
          <w:lang w:val="en-US"/>
        </w:rPr>
        <w:t>alle</w:t>
      </w:r>
      <w:proofErr w:type="spellEnd"/>
      <w:r w:rsidRPr="00130CDB">
        <w:rPr>
          <w:lang w:val="en-US"/>
        </w:rPr>
        <w:t xml:space="preserve"> </w:t>
      </w:r>
      <w:proofErr w:type="spellStart"/>
      <w:r w:rsidRPr="00130CDB">
        <w:rPr>
          <w:lang w:val="en-US"/>
        </w:rPr>
        <w:t>lettiere</w:t>
      </w:r>
      <w:proofErr w:type="spellEnd"/>
      <w:r w:rsidRPr="00130CDB">
        <w:rPr>
          <w:lang w:val="en-US"/>
        </w:rPr>
        <w:t xml:space="preserve"> e a </w:t>
      </w:r>
      <w:proofErr w:type="spellStart"/>
      <w:r w:rsidRPr="00130CDB">
        <w:rPr>
          <w:lang w:val="en-US"/>
        </w:rPr>
        <w:t>lettucci</w:t>
      </w:r>
      <w:proofErr w:type="spellEnd"/>
      <w:r w:rsidRPr="00130CDB">
        <w:rPr>
          <w:lang w:val="en-US"/>
        </w:rPr>
        <w:t xml:space="preserve"> figure </w:t>
      </w:r>
      <w:proofErr w:type="spellStart"/>
      <w:r w:rsidRPr="00130CDB">
        <w:rPr>
          <w:lang w:val="en-US"/>
        </w:rPr>
        <w:t>disonestissime</w:t>
      </w:r>
      <w:proofErr w:type="spellEnd"/>
      <w:r w:rsidRPr="00130CDB">
        <w:rPr>
          <w:lang w:val="en-US"/>
        </w:rPr>
        <w:t xml:space="preserve">, </w:t>
      </w:r>
      <w:proofErr w:type="spellStart"/>
      <w:r w:rsidRPr="00130CDB">
        <w:rPr>
          <w:lang w:val="en-US"/>
        </w:rPr>
        <w:t>fanciulle</w:t>
      </w:r>
      <w:proofErr w:type="spellEnd"/>
      <w:r w:rsidRPr="00130CDB">
        <w:rPr>
          <w:lang w:val="en-US"/>
        </w:rPr>
        <w:t xml:space="preserve"> </w:t>
      </w:r>
      <w:proofErr w:type="spellStart"/>
      <w:r w:rsidRPr="00130CDB">
        <w:rPr>
          <w:lang w:val="en-US"/>
        </w:rPr>
        <w:t>ignude</w:t>
      </w:r>
      <w:proofErr w:type="spellEnd"/>
      <w:r w:rsidRPr="00130CDB">
        <w:rPr>
          <w:lang w:val="en-US"/>
        </w:rPr>
        <w:t xml:space="preserve"> con </w:t>
      </w:r>
      <w:proofErr w:type="spellStart"/>
      <w:r w:rsidRPr="00130CDB">
        <w:rPr>
          <w:lang w:val="en-US"/>
        </w:rPr>
        <w:t>huomini</w:t>
      </w:r>
      <w:proofErr w:type="spellEnd"/>
      <w:r w:rsidRPr="00130CDB">
        <w:rPr>
          <w:lang w:val="en-US"/>
        </w:rPr>
        <w:t xml:space="preserve">, con </w:t>
      </w:r>
      <w:proofErr w:type="spellStart"/>
      <w:r w:rsidRPr="00130CDB">
        <w:rPr>
          <w:lang w:val="en-US"/>
        </w:rPr>
        <w:t>certi</w:t>
      </w:r>
      <w:proofErr w:type="spellEnd"/>
      <w:r w:rsidRPr="00130CDB">
        <w:rPr>
          <w:lang w:val="en-US"/>
        </w:rPr>
        <w:t xml:space="preserve"> </w:t>
      </w:r>
      <w:proofErr w:type="spellStart"/>
      <w:r w:rsidRPr="00130CDB">
        <w:rPr>
          <w:lang w:val="en-US"/>
        </w:rPr>
        <w:t>atti</w:t>
      </w:r>
      <w:proofErr w:type="spellEnd"/>
      <w:r w:rsidRPr="00130CDB">
        <w:rPr>
          <w:lang w:val="en-US"/>
        </w:rPr>
        <w:t xml:space="preserve"> e </w:t>
      </w:r>
      <w:proofErr w:type="spellStart"/>
      <w:r w:rsidRPr="00130CDB">
        <w:rPr>
          <w:lang w:val="en-US"/>
        </w:rPr>
        <w:t>mod</w:t>
      </w:r>
      <w:r>
        <w:rPr>
          <w:lang w:val="en-US"/>
        </w:rPr>
        <w:t>i</w:t>
      </w:r>
      <w:proofErr w:type="spellEnd"/>
      <w:r w:rsidRPr="00130CDB">
        <w:rPr>
          <w:lang w:val="en-US"/>
        </w:rPr>
        <w:t xml:space="preserve"> </w:t>
      </w:r>
      <w:proofErr w:type="spellStart"/>
      <w:r w:rsidRPr="00130CDB">
        <w:rPr>
          <w:lang w:val="en-US"/>
        </w:rPr>
        <w:t>disonesti</w:t>
      </w:r>
      <w:proofErr w:type="spellEnd"/>
      <w:r w:rsidRPr="00130CDB">
        <w:rPr>
          <w:lang w:val="en-US"/>
        </w:rPr>
        <w:t>” Girolamo Savonarola, “</w:t>
      </w:r>
      <w:proofErr w:type="spellStart"/>
      <w:r w:rsidRPr="00130CDB">
        <w:rPr>
          <w:lang w:val="en-US"/>
        </w:rPr>
        <w:t>Predica</w:t>
      </w:r>
      <w:proofErr w:type="spellEnd"/>
      <w:r w:rsidRPr="00130CDB">
        <w:rPr>
          <w:lang w:val="en-US"/>
        </w:rPr>
        <w:t xml:space="preserve"> </w:t>
      </w:r>
      <w:proofErr w:type="spellStart"/>
      <w:r w:rsidRPr="00130CDB">
        <w:rPr>
          <w:lang w:val="en-US"/>
        </w:rPr>
        <w:t>Duodecima</w:t>
      </w:r>
      <w:proofErr w:type="spellEnd"/>
      <w:r w:rsidRPr="00130CDB">
        <w:rPr>
          <w:lang w:val="en-US"/>
        </w:rPr>
        <w:t xml:space="preserve">. Che </w:t>
      </w:r>
      <w:proofErr w:type="spellStart"/>
      <w:r w:rsidRPr="00130CDB">
        <w:rPr>
          <w:lang w:val="en-US"/>
        </w:rPr>
        <w:t>Dio</w:t>
      </w:r>
      <w:proofErr w:type="spellEnd"/>
      <w:r w:rsidRPr="00130CDB">
        <w:rPr>
          <w:lang w:val="en-US"/>
        </w:rPr>
        <w:t xml:space="preserve"> Non Fa Male a </w:t>
      </w:r>
      <w:proofErr w:type="spellStart"/>
      <w:r w:rsidRPr="00130CDB">
        <w:rPr>
          <w:lang w:val="en-US"/>
        </w:rPr>
        <w:t>Buoni</w:t>
      </w:r>
      <w:proofErr w:type="spellEnd"/>
      <w:r w:rsidRPr="00130CDB">
        <w:rPr>
          <w:lang w:val="en-US"/>
        </w:rPr>
        <w:t xml:space="preserve"> Ne Bene a </w:t>
      </w:r>
      <w:proofErr w:type="spellStart"/>
      <w:r w:rsidRPr="00130CDB">
        <w:rPr>
          <w:lang w:val="en-US"/>
        </w:rPr>
        <w:t>Cattivi</w:t>
      </w:r>
      <w:proofErr w:type="spellEnd"/>
      <w:r w:rsidRPr="00130CDB">
        <w:rPr>
          <w:lang w:val="en-US"/>
        </w:rPr>
        <w:t xml:space="preserve">,” in </w:t>
      </w:r>
      <w:proofErr w:type="spellStart"/>
      <w:r w:rsidRPr="00130CDB">
        <w:rPr>
          <w:i/>
          <w:iCs/>
          <w:lang w:val="en-US"/>
        </w:rPr>
        <w:t>Prediche</w:t>
      </w:r>
      <w:proofErr w:type="spellEnd"/>
      <w:r w:rsidRPr="00130CDB">
        <w:rPr>
          <w:i/>
          <w:iCs/>
          <w:lang w:val="en-US"/>
        </w:rPr>
        <w:t xml:space="preserve"> Del </w:t>
      </w:r>
      <w:proofErr w:type="spellStart"/>
      <w:r w:rsidRPr="00130CDB">
        <w:rPr>
          <w:i/>
          <w:iCs/>
          <w:lang w:val="en-US"/>
        </w:rPr>
        <w:t>Reverendo</w:t>
      </w:r>
      <w:proofErr w:type="spellEnd"/>
      <w:r w:rsidRPr="00130CDB">
        <w:rPr>
          <w:i/>
          <w:iCs/>
          <w:lang w:val="en-US"/>
        </w:rPr>
        <w:t xml:space="preserve"> Padre Fra Girolamo Savonarola Da Ferrara, Sopra Il Salmo </w:t>
      </w:r>
      <w:proofErr w:type="spellStart"/>
      <w:r w:rsidRPr="00130CDB">
        <w:rPr>
          <w:i/>
          <w:iCs/>
          <w:lang w:val="en-US"/>
        </w:rPr>
        <w:t>Quam</w:t>
      </w:r>
      <w:proofErr w:type="spellEnd"/>
      <w:r w:rsidRPr="00130CDB">
        <w:rPr>
          <w:i/>
          <w:iCs/>
          <w:lang w:val="en-US"/>
        </w:rPr>
        <w:t xml:space="preserve"> Bonus Israel Deus</w:t>
      </w:r>
      <w:r w:rsidRPr="00130CDB">
        <w:rPr>
          <w:lang w:val="en-US"/>
        </w:rPr>
        <w:t xml:space="preserve"> (Venetia, 1539), 252, http://reader.digitale-sammlungen.de/de/fs1/object/display/bsb10188962_00252.html; John Kent </w:t>
      </w:r>
      <w:proofErr w:type="spellStart"/>
      <w:r w:rsidRPr="00130CDB">
        <w:rPr>
          <w:lang w:val="en-US"/>
        </w:rPr>
        <w:t>Lydecker</w:t>
      </w:r>
      <w:proofErr w:type="spellEnd"/>
      <w:r w:rsidRPr="00130CDB">
        <w:rPr>
          <w:lang w:val="en-US"/>
        </w:rPr>
        <w:t>, “The Domestic Setting of the Arts in Renaissance Florence” (John Hopkins University, 1987), 173 n. 40.</w:t>
      </w:r>
    </w:p>
  </w:footnote>
  <w:footnote w:id="144">
    <w:p w14:paraId="38335840" w14:textId="77777777" w:rsidR="00182EED" w:rsidRDefault="00182EED" w:rsidP="001840E8">
      <w:pPr>
        <w:pStyle w:val="FootnoteText"/>
      </w:pPr>
      <w:r w:rsidRPr="00391186">
        <w:rPr>
          <w:rStyle w:val="FootnoteReference"/>
        </w:rPr>
        <w:footnoteRef/>
      </w:r>
      <w:r>
        <w:t xml:space="preserve"> </w:t>
      </w:r>
      <w:r w:rsidRPr="00130CDB">
        <w:rPr>
          <w:lang w:val="en-US"/>
        </w:rPr>
        <w:t xml:space="preserve">“Imagines </w:t>
      </w:r>
      <w:proofErr w:type="spellStart"/>
      <w:r w:rsidRPr="00130CDB">
        <w:rPr>
          <w:lang w:val="en-US"/>
        </w:rPr>
        <w:t>fortasse</w:t>
      </w:r>
      <w:proofErr w:type="spellEnd"/>
      <w:r w:rsidRPr="00130CDB">
        <w:rPr>
          <w:lang w:val="en-US"/>
        </w:rPr>
        <w:t xml:space="preserve"> maiorum </w:t>
      </w:r>
      <w:proofErr w:type="spellStart"/>
      <w:r w:rsidRPr="00130CDB">
        <w:rPr>
          <w:lang w:val="en-US"/>
        </w:rPr>
        <w:t>magis</w:t>
      </w:r>
      <w:proofErr w:type="spellEnd"/>
      <w:r w:rsidRPr="00130CDB">
        <w:rPr>
          <w:lang w:val="en-US"/>
        </w:rPr>
        <w:t xml:space="preserve"> </w:t>
      </w:r>
      <w:proofErr w:type="spellStart"/>
      <w:r w:rsidRPr="00130CDB">
        <w:rPr>
          <w:lang w:val="en-US"/>
        </w:rPr>
        <w:t>ad</w:t>
      </w:r>
      <w:proofErr w:type="spellEnd"/>
      <w:r w:rsidRPr="00130CDB">
        <w:rPr>
          <w:lang w:val="en-US"/>
        </w:rPr>
        <w:t xml:space="preserve"> </w:t>
      </w:r>
      <w:proofErr w:type="spellStart"/>
      <w:r w:rsidRPr="00130CDB">
        <w:rPr>
          <w:lang w:val="en-US"/>
        </w:rPr>
        <w:t>aemulationem</w:t>
      </w:r>
      <w:proofErr w:type="spellEnd"/>
      <w:r w:rsidRPr="00130CDB">
        <w:rPr>
          <w:lang w:val="en-US"/>
        </w:rPr>
        <w:t xml:space="preserve"> </w:t>
      </w:r>
      <w:proofErr w:type="spellStart"/>
      <w:r w:rsidRPr="00130CDB">
        <w:rPr>
          <w:lang w:val="en-US"/>
        </w:rPr>
        <w:t>gloriae</w:t>
      </w:r>
      <w:proofErr w:type="spellEnd"/>
      <w:r w:rsidRPr="00130CDB">
        <w:rPr>
          <w:lang w:val="en-US"/>
        </w:rPr>
        <w:t xml:space="preserve"> </w:t>
      </w:r>
      <w:proofErr w:type="spellStart"/>
      <w:r w:rsidRPr="00130CDB">
        <w:rPr>
          <w:lang w:val="en-US"/>
        </w:rPr>
        <w:t>animos</w:t>
      </w:r>
      <w:proofErr w:type="spellEnd"/>
      <w:r w:rsidRPr="00130CDB">
        <w:rPr>
          <w:lang w:val="en-US"/>
        </w:rPr>
        <w:t xml:space="preserve"> excitant” </w:t>
      </w:r>
      <w:proofErr w:type="spellStart"/>
      <w:r w:rsidRPr="00130CDB">
        <w:rPr>
          <w:lang w:val="en-US"/>
        </w:rPr>
        <w:t>Vergerio</w:t>
      </w:r>
      <w:proofErr w:type="spellEnd"/>
      <w:r w:rsidRPr="00130CDB">
        <w:rPr>
          <w:lang w:val="en-US"/>
        </w:rPr>
        <w:t xml:space="preserve">, “The Character and Studies Befitting a Free-Born Youth,” 12–13; </w:t>
      </w:r>
      <w:proofErr w:type="spellStart"/>
      <w:r w:rsidRPr="00130CDB">
        <w:rPr>
          <w:lang w:val="en-US"/>
        </w:rPr>
        <w:t>aslo</w:t>
      </w:r>
      <w:proofErr w:type="spellEnd"/>
      <w:r w:rsidRPr="00130CDB">
        <w:rPr>
          <w:lang w:val="en-US"/>
        </w:rPr>
        <w:t xml:space="preserve"> in Italian in </w:t>
      </w:r>
      <w:proofErr w:type="spellStart"/>
      <w:r w:rsidRPr="00130CDB">
        <w:rPr>
          <w:lang w:val="en-US"/>
        </w:rPr>
        <w:t>Garin</w:t>
      </w:r>
      <w:proofErr w:type="spellEnd"/>
      <w:r w:rsidRPr="00130CDB">
        <w:rPr>
          <w:lang w:val="en-US"/>
        </w:rPr>
        <w:t xml:space="preserve">, </w:t>
      </w:r>
      <w:proofErr w:type="spellStart"/>
      <w:r w:rsidRPr="00130CDB">
        <w:rPr>
          <w:i/>
          <w:iCs/>
          <w:lang w:val="en-US"/>
        </w:rPr>
        <w:t>L’educazione</w:t>
      </w:r>
      <w:proofErr w:type="spellEnd"/>
      <w:r w:rsidRPr="00130CDB">
        <w:rPr>
          <w:i/>
          <w:iCs/>
          <w:lang w:val="en-US"/>
        </w:rPr>
        <w:t xml:space="preserve"> </w:t>
      </w:r>
      <w:proofErr w:type="spellStart"/>
      <w:r w:rsidRPr="00130CDB">
        <w:rPr>
          <w:i/>
          <w:iCs/>
          <w:lang w:val="en-US"/>
        </w:rPr>
        <w:t>umanistica</w:t>
      </w:r>
      <w:proofErr w:type="spellEnd"/>
      <w:r w:rsidRPr="00130CDB">
        <w:rPr>
          <w:i/>
          <w:iCs/>
          <w:lang w:val="en-US"/>
        </w:rPr>
        <w:t xml:space="preserve"> in Italia</w:t>
      </w:r>
      <w:r w:rsidRPr="00130CDB">
        <w:rPr>
          <w:lang w:val="en-US"/>
        </w:rPr>
        <w:t>, 57–58.</w:t>
      </w:r>
    </w:p>
  </w:footnote>
  <w:footnote w:id="145">
    <w:p w14:paraId="24CD5C5A" w14:textId="77777777" w:rsidR="00182EED" w:rsidRDefault="00182EED" w:rsidP="001840E8">
      <w:pPr>
        <w:pStyle w:val="FootnoteText"/>
      </w:pPr>
      <w:r w:rsidRPr="00391186">
        <w:rPr>
          <w:rStyle w:val="FootnoteReference"/>
        </w:rPr>
        <w:footnoteRef/>
      </w:r>
      <w:r>
        <w:t xml:space="preserve"> </w:t>
      </w:r>
      <w:r w:rsidRPr="00130CDB">
        <w:rPr>
          <w:lang w:val="en-US"/>
        </w:rPr>
        <w:t xml:space="preserve">Syson and Thornton, </w:t>
      </w:r>
      <w:r w:rsidRPr="00130CDB">
        <w:rPr>
          <w:i/>
          <w:iCs/>
          <w:lang w:val="en-US"/>
        </w:rPr>
        <w:t>Objects of Virtue</w:t>
      </w:r>
      <w:r w:rsidRPr="00130CDB">
        <w:rPr>
          <w:lang w:val="en-US"/>
        </w:rPr>
        <w:t>, 19.</w:t>
      </w:r>
    </w:p>
  </w:footnote>
  <w:footnote w:id="146">
    <w:p w14:paraId="755CBF03" w14:textId="77777777" w:rsidR="00182EED" w:rsidRDefault="00182EED" w:rsidP="001840E8">
      <w:pPr>
        <w:pStyle w:val="FootnoteText"/>
      </w:pPr>
      <w:r w:rsidRPr="00391186">
        <w:rPr>
          <w:rStyle w:val="FootnoteReference"/>
        </w:rPr>
        <w:footnoteRef/>
      </w:r>
      <w:r>
        <w:t xml:space="preserve"> </w:t>
      </w:r>
      <w:r w:rsidRPr="00205892">
        <w:rPr>
          <w:lang w:val="en-US"/>
        </w:rPr>
        <w:t>“</w:t>
      </w:r>
      <w:proofErr w:type="spellStart"/>
      <w:r w:rsidRPr="00205892">
        <w:rPr>
          <w:lang w:val="en-US"/>
        </w:rPr>
        <w:t>Homines</w:t>
      </w:r>
      <w:proofErr w:type="spellEnd"/>
      <w:r w:rsidRPr="00205892">
        <w:rPr>
          <w:lang w:val="en-US"/>
        </w:rPr>
        <w:t xml:space="preserve"> aliquot </w:t>
      </w:r>
      <w:proofErr w:type="spellStart"/>
      <w:r w:rsidRPr="00205892">
        <w:rPr>
          <w:lang w:val="en-US"/>
        </w:rPr>
        <w:t>picturae</w:t>
      </w:r>
      <w:proofErr w:type="spellEnd"/>
      <w:r w:rsidRPr="00205892">
        <w:rPr>
          <w:lang w:val="en-US"/>
        </w:rPr>
        <w:t xml:space="preserve"> </w:t>
      </w:r>
      <w:proofErr w:type="spellStart"/>
      <w:r w:rsidRPr="00205892">
        <w:rPr>
          <w:lang w:val="en-US"/>
        </w:rPr>
        <w:t>genere</w:t>
      </w:r>
      <w:proofErr w:type="spellEnd"/>
      <w:r w:rsidRPr="00205892">
        <w:rPr>
          <w:lang w:val="en-US"/>
        </w:rPr>
        <w:t xml:space="preserve"> </w:t>
      </w:r>
      <w:proofErr w:type="spellStart"/>
      <w:r w:rsidRPr="00205892">
        <w:rPr>
          <w:lang w:val="en-US"/>
        </w:rPr>
        <w:t>teneantur</w:t>
      </w:r>
      <w:proofErr w:type="spellEnd"/>
      <w:r w:rsidRPr="00205892">
        <w:rPr>
          <w:lang w:val="en-US"/>
        </w:rPr>
        <w:t xml:space="preserve"> quo </w:t>
      </w:r>
      <w:proofErr w:type="spellStart"/>
      <w:r w:rsidRPr="00205892">
        <w:rPr>
          <w:lang w:val="en-US"/>
        </w:rPr>
        <w:t>possint</w:t>
      </w:r>
      <w:proofErr w:type="spellEnd"/>
      <w:r w:rsidRPr="00205892">
        <w:rPr>
          <w:lang w:val="en-US"/>
        </w:rPr>
        <w:t xml:space="preserve"> </w:t>
      </w:r>
      <w:proofErr w:type="spellStart"/>
      <w:r w:rsidRPr="00205892">
        <w:rPr>
          <w:lang w:val="en-US"/>
        </w:rPr>
        <w:t>tamquam</w:t>
      </w:r>
      <w:proofErr w:type="spellEnd"/>
      <w:r w:rsidRPr="00205892">
        <w:rPr>
          <w:lang w:val="en-US"/>
        </w:rPr>
        <w:t xml:space="preserve"> praesenti </w:t>
      </w:r>
      <w:proofErr w:type="spellStart"/>
      <w:r w:rsidRPr="00205892">
        <w:rPr>
          <w:lang w:val="en-US"/>
        </w:rPr>
        <w:t>historiae</w:t>
      </w:r>
      <w:proofErr w:type="spellEnd"/>
      <w:r w:rsidRPr="00205892">
        <w:rPr>
          <w:lang w:val="en-US"/>
        </w:rPr>
        <w:t xml:space="preserve"> </w:t>
      </w:r>
      <w:proofErr w:type="spellStart"/>
      <w:r w:rsidRPr="00205892">
        <w:rPr>
          <w:lang w:val="en-US"/>
        </w:rPr>
        <w:t>eruditione</w:t>
      </w:r>
      <w:proofErr w:type="spellEnd"/>
      <w:r w:rsidRPr="00205892">
        <w:rPr>
          <w:lang w:val="en-US"/>
        </w:rPr>
        <w:t xml:space="preserve"> </w:t>
      </w:r>
      <w:proofErr w:type="spellStart"/>
      <w:r w:rsidRPr="00205892">
        <w:rPr>
          <w:lang w:val="en-US"/>
        </w:rPr>
        <w:t>frui</w:t>
      </w:r>
      <w:proofErr w:type="spellEnd"/>
      <w:r w:rsidRPr="00205892">
        <w:rPr>
          <w:lang w:val="en-US"/>
        </w:rPr>
        <w:t xml:space="preserve">, quin in his ex </w:t>
      </w:r>
      <w:proofErr w:type="spellStart"/>
      <w:r w:rsidRPr="00205892">
        <w:rPr>
          <w:lang w:val="en-US"/>
        </w:rPr>
        <w:t>vehementi</w:t>
      </w:r>
      <w:proofErr w:type="spellEnd"/>
      <w:r w:rsidRPr="00205892">
        <w:rPr>
          <w:lang w:val="en-US"/>
        </w:rPr>
        <w:t xml:space="preserve"> </w:t>
      </w:r>
      <w:proofErr w:type="spellStart"/>
      <w:r w:rsidRPr="00205892">
        <w:rPr>
          <w:lang w:val="en-US"/>
        </w:rPr>
        <w:t>imaginum</w:t>
      </w:r>
      <w:proofErr w:type="spellEnd"/>
      <w:r w:rsidRPr="00205892">
        <w:rPr>
          <w:lang w:val="en-US"/>
        </w:rPr>
        <w:t xml:space="preserve"> </w:t>
      </w:r>
      <w:proofErr w:type="spellStart"/>
      <w:r w:rsidRPr="00205892">
        <w:rPr>
          <w:lang w:val="en-US"/>
        </w:rPr>
        <w:t>similitudine</w:t>
      </w:r>
      <w:proofErr w:type="spellEnd"/>
      <w:r w:rsidRPr="00205892">
        <w:rPr>
          <w:lang w:val="en-US"/>
        </w:rPr>
        <w:t xml:space="preserve"> </w:t>
      </w:r>
      <w:proofErr w:type="spellStart"/>
      <w:r w:rsidRPr="00205892">
        <w:rPr>
          <w:lang w:val="en-US"/>
        </w:rPr>
        <w:t>aut</w:t>
      </w:r>
      <w:proofErr w:type="spellEnd"/>
      <w:r w:rsidRPr="00205892">
        <w:rPr>
          <w:lang w:val="en-US"/>
        </w:rPr>
        <w:t xml:space="preserve"> animi </w:t>
      </w:r>
      <w:proofErr w:type="spellStart"/>
      <w:r w:rsidRPr="00205892">
        <w:rPr>
          <w:lang w:val="en-US"/>
        </w:rPr>
        <w:t>appetitio</w:t>
      </w:r>
      <w:proofErr w:type="spellEnd"/>
      <w:r w:rsidRPr="00205892">
        <w:rPr>
          <w:lang w:val="en-US"/>
        </w:rPr>
        <w:t xml:space="preserve"> </w:t>
      </w:r>
      <w:proofErr w:type="spellStart"/>
      <w:r w:rsidRPr="00205892">
        <w:rPr>
          <w:lang w:val="en-US"/>
        </w:rPr>
        <w:t>praeparetur</w:t>
      </w:r>
      <w:proofErr w:type="spellEnd"/>
      <w:r w:rsidRPr="00205892">
        <w:rPr>
          <w:lang w:val="en-US"/>
        </w:rPr>
        <w:t xml:space="preserve"> </w:t>
      </w:r>
      <w:proofErr w:type="spellStart"/>
      <w:r w:rsidRPr="00205892">
        <w:rPr>
          <w:lang w:val="en-US"/>
        </w:rPr>
        <w:t>aut</w:t>
      </w:r>
      <w:proofErr w:type="spellEnd"/>
      <w:r w:rsidRPr="00205892">
        <w:rPr>
          <w:lang w:val="en-US"/>
        </w:rPr>
        <w:t xml:space="preserve"> </w:t>
      </w:r>
      <w:proofErr w:type="spellStart"/>
      <w:r w:rsidRPr="00205892">
        <w:rPr>
          <w:lang w:val="en-US"/>
        </w:rPr>
        <w:t>motrix</w:t>
      </w:r>
      <w:proofErr w:type="spellEnd"/>
      <w:r w:rsidRPr="00205892">
        <w:rPr>
          <w:lang w:val="en-US"/>
        </w:rPr>
        <w:t xml:space="preserve"> </w:t>
      </w:r>
      <w:proofErr w:type="spellStart"/>
      <w:r w:rsidRPr="00205892">
        <w:rPr>
          <w:lang w:val="en-US"/>
        </w:rPr>
        <w:t>evocetur</w:t>
      </w:r>
      <w:proofErr w:type="spellEnd"/>
      <w:r w:rsidRPr="00205892">
        <w:rPr>
          <w:lang w:val="en-US"/>
        </w:rPr>
        <w:t xml:space="preserve"> </w:t>
      </w:r>
      <w:proofErr w:type="spellStart"/>
      <w:r w:rsidRPr="00205892">
        <w:rPr>
          <w:lang w:val="en-US"/>
        </w:rPr>
        <w:t>virtus</w:t>
      </w:r>
      <w:proofErr w:type="spellEnd"/>
      <w:r w:rsidRPr="00205892">
        <w:rPr>
          <w:lang w:val="en-US"/>
        </w:rPr>
        <w:t>.” Reported in Kathleen Weil-</w:t>
      </w:r>
      <w:proofErr w:type="spellStart"/>
      <w:r w:rsidRPr="00205892">
        <w:rPr>
          <w:lang w:val="en-US"/>
        </w:rPr>
        <w:t>Garris</w:t>
      </w:r>
      <w:proofErr w:type="spellEnd"/>
      <w:r w:rsidRPr="00205892">
        <w:rPr>
          <w:lang w:val="en-US"/>
        </w:rPr>
        <w:t xml:space="preserve"> and John F. D’Amico, “The Renaissance Cardinal’s Ideal Palace: A Chapter from </w:t>
      </w:r>
      <w:proofErr w:type="spellStart"/>
      <w:r w:rsidRPr="00205892">
        <w:rPr>
          <w:lang w:val="en-US"/>
        </w:rPr>
        <w:t>Cortesi’s</w:t>
      </w:r>
      <w:proofErr w:type="spellEnd"/>
      <w:r w:rsidRPr="00205892">
        <w:rPr>
          <w:lang w:val="en-US"/>
        </w:rPr>
        <w:t xml:space="preserve"> </w:t>
      </w:r>
      <w:r w:rsidRPr="00205892">
        <w:rPr>
          <w:i/>
          <w:iCs/>
          <w:lang w:val="en-US"/>
        </w:rPr>
        <w:t xml:space="preserve">De </w:t>
      </w:r>
      <w:proofErr w:type="spellStart"/>
      <w:r w:rsidRPr="00205892">
        <w:rPr>
          <w:i/>
          <w:iCs/>
          <w:lang w:val="en-US"/>
        </w:rPr>
        <w:t>Cardinalatu</w:t>
      </w:r>
      <w:proofErr w:type="spellEnd"/>
      <w:r w:rsidRPr="00205892">
        <w:rPr>
          <w:lang w:val="en-US"/>
        </w:rPr>
        <w:t xml:space="preserve">,” </w:t>
      </w:r>
      <w:r w:rsidRPr="00205892">
        <w:rPr>
          <w:i/>
          <w:iCs/>
          <w:lang w:val="en-US"/>
        </w:rPr>
        <w:t>Memoirs of the American Academy in Rome. Studies in Italian Art History 1: Studies in Italian Art and Architecture 15th through 18th Centuries.</w:t>
      </w:r>
      <w:r w:rsidRPr="00205892">
        <w:rPr>
          <w:lang w:val="en-US"/>
        </w:rPr>
        <w:t xml:space="preserve"> 35 (1980): 90–91</w:t>
      </w:r>
      <w:r>
        <w:rPr>
          <w:lang w:val="en-US"/>
        </w:rPr>
        <w:t>.</w:t>
      </w:r>
    </w:p>
  </w:footnote>
  <w:footnote w:id="147">
    <w:p w14:paraId="0218B986" w14:textId="77777777" w:rsidR="00182EED" w:rsidRDefault="00182EED" w:rsidP="001840E8">
      <w:pPr>
        <w:pStyle w:val="FootnoteText"/>
      </w:pPr>
      <w:r w:rsidRPr="00391186">
        <w:rPr>
          <w:rStyle w:val="FootnoteReference"/>
        </w:rPr>
        <w:footnoteRef/>
      </w:r>
      <w:r>
        <w:t xml:space="preserve"> </w:t>
      </w:r>
      <w:r w:rsidRPr="00086AA9">
        <w:rPr>
          <w:lang w:val="en-US"/>
        </w:rPr>
        <w:t>“</w:t>
      </w:r>
      <w:proofErr w:type="spellStart"/>
      <w:r w:rsidRPr="00086AA9">
        <w:rPr>
          <w:lang w:val="en-US"/>
        </w:rPr>
        <w:t>Ea</w:t>
      </w:r>
      <w:proofErr w:type="spellEnd"/>
      <w:r w:rsidRPr="00086AA9">
        <w:rPr>
          <w:lang w:val="en-US"/>
        </w:rPr>
        <w:t xml:space="preserve"> [the pictures] </w:t>
      </w:r>
      <w:proofErr w:type="spellStart"/>
      <w:r w:rsidRPr="00086AA9">
        <w:rPr>
          <w:lang w:val="en-US"/>
        </w:rPr>
        <w:t>maxime</w:t>
      </w:r>
      <w:proofErr w:type="spellEnd"/>
      <w:r w:rsidRPr="00086AA9">
        <w:rPr>
          <w:lang w:val="en-US"/>
        </w:rPr>
        <w:t xml:space="preserve"> </w:t>
      </w:r>
      <w:proofErr w:type="spellStart"/>
      <w:r w:rsidRPr="00086AA9">
        <w:rPr>
          <w:lang w:val="en-US"/>
        </w:rPr>
        <w:t>esse</w:t>
      </w:r>
      <w:proofErr w:type="spellEnd"/>
      <w:r w:rsidRPr="00086AA9">
        <w:rPr>
          <w:lang w:val="en-US"/>
        </w:rPr>
        <w:t xml:space="preserve"> </w:t>
      </w:r>
      <w:proofErr w:type="spellStart"/>
      <w:r w:rsidRPr="00086AA9">
        <w:rPr>
          <w:lang w:val="en-US"/>
        </w:rPr>
        <w:t>debent</w:t>
      </w:r>
      <w:proofErr w:type="spellEnd"/>
      <w:r w:rsidRPr="00086AA9">
        <w:rPr>
          <w:lang w:val="en-US"/>
        </w:rPr>
        <w:t xml:space="preserve"> </w:t>
      </w:r>
      <w:proofErr w:type="spellStart"/>
      <w:r w:rsidRPr="00086AA9">
        <w:rPr>
          <w:lang w:val="en-US"/>
        </w:rPr>
        <w:t>virtutum</w:t>
      </w:r>
      <w:proofErr w:type="spellEnd"/>
      <w:r w:rsidRPr="00086AA9">
        <w:rPr>
          <w:lang w:val="en-US"/>
        </w:rPr>
        <w:t xml:space="preserve"> </w:t>
      </w:r>
      <w:proofErr w:type="spellStart"/>
      <w:r w:rsidRPr="00086AA9">
        <w:rPr>
          <w:lang w:val="en-US"/>
        </w:rPr>
        <w:t>expressa</w:t>
      </w:r>
      <w:proofErr w:type="spellEnd"/>
      <w:r w:rsidRPr="00086AA9">
        <w:rPr>
          <w:lang w:val="en-US"/>
        </w:rPr>
        <w:t xml:space="preserve"> signa, </w:t>
      </w:r>
      <w:proofErr w:type="spellStart"/>
      <w:r w:rsidRPr="00086AA9">
        <w:rPr>
          <w:lang w:val="en-US"/>
        </w:rPr>
        <w:t>quibus</w:t>
      </w:r>
      <w:proofErr w:type="spellEnd"/>
      <w:r w:rsidRPr="00086AA9">
        <w:rPr>
          <w:lang w:val="en-US"/>
        </w:rPr>
        <w:t xml:space="preserve"> animi ad </w:t>
      </w:r>
      <w:proofErr w:type="spellStart"/>
      <w:r w:rsidRPr="00086AA9">
        <w:rPr>
          <w:lang w:val="en-US"/>
        </w:rPr>
        <w:t>similitudinem</w:t>
      </w:r>
      <w:proofErr w:type="spellEnd"/>
      <w:r w:rsidRPr="00086AA9">
        <w:rPr>
          <w:lang w:val="en-US"/>
        </w:rPr>
        <w:t xml:space="preserve"> </w:t>
      </w:r>
      <w:proofErr w:type="spellStart"/>
      <w:r w:rsidRPr="00086AA9">
        <w:rPr>
          <w:lang w:val="en-US"/>
        </w:rPr>
        <w:t>factorum</w:t>
      </w:r>
      <w:proofErr w:type="spellEnd"/>
      <w:r w:rsidRPr="00086AA9">
        <w:rPr>
          <w:lang w:val="en-US"/>
        </w:rPr>
        <w:t xml:space="preserve"> </w:t>
      </w:r>
      <w:proofErr w:type="spellStart"/>
      <w:r w:rsidRPr="00086AA9">
        <w:rPr>
          <w:lang w:val="en-US"/>
        </w:rPr>
        <w:t>matutina</w:t>
      </w:r>
      <w:proofErr w:type="spellEnd"/>
      <w:r w:rsidRPr="00086AA9">
        <w:rPr>
          <w:lang w:val="en-US"/>
        </w:rPr>
        <w:t xml:space="preserve"> </w:t>
      </w:r>
      <w:proofErr w:type="spellStart"/>
      <w:r w:rsidRPr="00086AA9">
        <w:rPr>
          <w:lang w:val="en-US"/>
        </w:rPr>
        <w:t>commonitione</w:t>
      </w:r>
      <w:proofErr w:type="spellEnd"/>
      <w:r w:rsidRPr="00086AA9">
        <w:rPr>
          <w:lang w:val="en-US"/>
        </w:rPr>
        <w:t xml:space="preserve"> </w:t>
      </w:r>
      <w:proofErr w:type="spellStart"/>
      <w:r w:rsidRPr="00086AA9">
        <w:rPr>
          <w:lang w:val="en-US"/>
        </w:rPr>
        <w:t>excitentur</w:t>
      </w:r>
      <w:proofErr w:type="spellEnd"/>
      <w:r w:rsidRPr="00086AA9">
        <w:rPr>
          <w:lang w:val="en-US"/>
        </w:rPr>
        <w:t xml:space="preserve">”. Quoted in ibid., 94–95; see also Syson and Thornton, </w:t>
      </w:r>
      <w:r w:rsidRPr="00086AA9">
        <w:rPr>
          <w:i/>
          <w:iCs/>
          <w:lang w:val="en-US"/>
        </w:rPr>
        <w:t>Objects of Virtue</w:t>
      </w:r>
      <w:r w:rsidRPr="00086AA9">
        <w:rPr>
          <w:lang w:val="en-US"/>
        </w:rPr>
        <w:t>, 21.</w:t>
      </w:r>
    </w:p>
  </w:footnote>
  <w:footnote w:id="148">
    <w:p w14:paraId="0991FEA8" w14:textId="77777777" w:rsidR="00182EED" w:rsidRDefault="00182EED" w:rsidP="001840E8">
      <w:pPr>
        <w:pStyle w:val="FootnoteText"/>
      </w:pPr>
      <w:r w:rsidRPr="00391186">
        <w:rPr>
          <w:rStyle w:val="FootnoteReference"/>
        </w:rPr>
        <w:footnoteRef/>
      </w:r>
      <w:r>
        <w:t xml:space="preserve"> </w:t>
      </w:r>
      <w:r w:rsidRPr="00130CDB">
        <w:rPr>
          <w:lang w:val="en-US"/>
        </w:rPr>
        <w:t xml:space="preserve">Syson and Thornton, </w:t>
      </w:r>
      <w:r w:rsidRPr="00130CDB">
        <w:rPr>
          <w:i/>
          <w:iCs/>
          <w:lang w:val="en-US"/>
        </w:rPr>
        <w:t>Objects of Virtue</w:t>
      </w:r>
      <w:r w:rsidRPr="00130CDB">
        <w:rPr>
          <w:lang w:val="en-US"/>
        </w:rPr>
        <w:t>, 21.</w:t>
      </w:r>
    </w:p>
  </w:footnote>
  <w:footnote w:id="149">
    <w:p w14:paraId="40E3369F" w14:textId="77777777" w:rsidR="00182EED" w:rsidRDefault="00182EED" w:rsidP="001840E8">
      <w:pPr>
        <w:pStyle w:val="FootnoteText"/>
      </w:pPr>
      <w:r w:rsidRPr="00391186">
        <w:rPr>
          <w:rStyle w:val="FootnoteReference"/>
        </w:rPr>
        <w:footnoteRef/>
      </w:r>
      <w:r>
        <w:t xml:space="preserve"> </w:t>
      </w:r>
      <w:r>
        <w:rPr>
          <w:noProof/>
        </w:rPr>
        <w:t>Spenser Collection MS 20, fol. 1r New York Public Library. The illuminations of this manuscript (ca.1480-85), produced for Cardinal Giovanni of Aragon, are attributed to Gaspare da Padova. See ibid., 17.</w:t>
      </w:r>
    </w:p>
  </w:footnote>
  <w:footnote w:id="150">
    <w:p w14:paraId="67B33616" w14:textId="77777777" w:rsidR="00182EED" w:rsidRDefault="00182EED" w:rsidP="001840E8">
      <w:pPr>
        <w:pStyle w:val="FootnoteText"/>
      </w:pPr>
      <w:r w:rsidRPr="00391186">
        <w:rPr>
          <w:rStyle w:val="FootnoteReference"/>
        </w:rPr>
        <w:footnoteRef/>
      </w:r>
      <w:r>
        <w:t xml:space="preserve"> </w:t>
      </w:r>
      <w:r w:rsidRPr="00086AA9">
        <w:rPr>
          <w:lang w:val="en-US"/>
        </w:rPr>
        <w:t>“</w:t>
      </w:r>
      <w:proofErr w:type="spellStart"/>
      <w:r w:rsidRPr="00086AA9">
        <w:rPr>
          <w:lang w:val="en-US"/>
        </w:rPr>
        <w:t>Huiusmodi</w:t>
      </w:r>
      <w:proofErr w:type="spellEnd"/>
      <w:r w:rsidRPr="00086AA9">
        <w:rPr>
          <w:lang w:val="en-US"/>
        </w:rPr>
        <w:t xml:space="preserve"> </w:t>
      </w:r>
      <w:proofErr w:type="spellStart"/>
      <w:r w:rsidRPr="00086AA9">
        <w:rPr>
          <w:lang w:val="en-US"/>
        </w:rPr>
        <w:t>enim</w:t>
      </w:r>
      <w:proofErr w:type="spellEnd"/>
      <w:r w:rsidRPr="00086AA9">
        <w:rPr>
          <w:lang w:val="en-US"/>
        </w:rPr>
        <w:t xml:space="preserve"> effigies ad </w:t>
      </w:r>
      <w:proofErr w:type="spellStart"/>
      <w:r w:rsidRPr="00086AA9">
        <w:rPr>
          <w:lang w:val="en-US"/>
        </w:rPr>
        <w:t>recolendam</w:t>
      </w:r>
      <w:proofErr w:type="spellEnd"/>
      <w:r w:rsidRPr="00086AA9">
        <w:rPr>
          <w:lang w:val="en-US"/>
        </w:rPr>
        <w:t xml:space="preserve"> Sanctorum memoriam, ad </w:t>
      </w:r>
      <w:proofErr w:type="spellStart"/>
      <w:r w:rsidRPr="00086AA9">
        <w:rPr>
          <w:lang w:val="en-US"/>
        </w:rPr>
        <w:t>excitandasque</w:t>
      </w:r>
      <w:proofErr w:type="spellEnd"/>
      <w:r w:rsidRPr="00086AA9">
        <w:rPr>
          <w:lang w:val="en-US"/>
        </w:rPr>
        <w:t xml:space="preserve"> </w:t>
      </w:r>
      <w:proofErr w:type="spellStart"/>
      <w:r w:rsidRPr="00086AA9">
        <w:rPr>
          <w:lang w:val="en-US"/>
        </w:rPr>
        <w:t>eorum</w:t>
      </w:r>
      <w:proofErr w:type="spellEnd"/>
      <w:r w:rsidRPr="00086AA9">
        <w:rPr>
          <w:lang w:val="en-US"/>
        </w:rPr>
        <w:t xml:space="preserve"> </w:t>
      </w:r>
      <w:proofErr w:type="spellStart"/>
      <w:r w:rsidRPr="00086AA9">
        <w:rPr>
          <w:lang w:val="en-US"/>
        </w:rPr>
        <w:t>exemplo</w:t>
      </w:r>
      <w:proofErr w:type="spellEnd"/>
      <w:r w:rsidRPr="00086AA9">
        <w:rPr>
          <w:lang w:val="en-US"/>
        </w:rPr>
        <w:t xml:space="preserve"> </w:t>
      </w:r>
      <w:proofErr w:type="spellStart"/>
      <w:r w:rsidRPr="00086AA9">
        <w:rPr>
          <w:lang w:val="en-US"/>
        </w:rPr>
        <w:t>ad</w:t>
      </w:r>
      <w:proofErr w:type="spellEnd"/>
      <w:r w:rsidRPr="00086AA9">
        <w:rPr>
          <w:lang w:val="en-US"/>
        </w:rPr>
        <w:t xml:space="preserve"> </w:t>
      </w:r>
      <w:proofErr w:type="spellStart"/>
      <w:r w:rsidRPr="00086AA9">
        <w:rPr>
          <w:lang w:val="en-US"/>
        </w:rPr>
        <w:t>virtutem</w:t>
      </w:r>
      <w:proofErr w:type="spellEnd"/>
      <w:r w:rsidRPr="00086AA9">
        <w:rPr>
          <w:lang w:val="en-US"/>
        </w:rPr>
        <w:t xml:space="preserve">, </w:t>
      </w:r>
      <w:proofErr w:type="spellStart"/>
      <w:r w:rsidRPr="00086AA9">
        <w:rPr>
          <w:lang w:val="en-US"/>
        </w:rPr>
        <w:t>sanctitatemque</w:t>
      </w:r>
      <w:proofErr w:type="spellEnd"/>
      <w:r w:rsidRPr="00086AA9">
        <w:rPr>
          <w:lang w:val="en-US"/>
        </w:rPr>
        <w:t xml:space="preserve"> animas, </w:t>
      </w:r>
      <w:proofErr w:type="spellStart"/>
      <w:r w:rsidRPr="00086AA9">
        <w:rPr>
          <w:lang w:val="en-US"/>
        </w:rPr>
        <w:t>erigendasque</w:t>
      </w:r>
      <w:proofErr w:type="spellEnd"/>
      <w:r w:rsidRPr="00086AA9">
        <w:rPr>
          <w:lang w:val="en-US"/>
        </w:rPr>
        <w:t xml:space="preserve"> </w:t>
      </w:r>
      <w:proofErr w:type="spellStart"/>
      <w:r w:rsidRPr="00086AA9">
        <w:rPr>
          <w:lang w:val="en-US"/>
        </w:rPr>
        <w:t>ad</w:t>
      </w:r>
      <w:proofErr w:type="spellEnd"/>
      <w:r w:rsidRPr="00086AA9">
        <w:rPr>
          <w:lang w:val="en-US"/>
        </w:rPr>
        <w:t xml:space="preserve"> </w:t>
      </w:r>
      <w:proofErr w:type="spellStart"/>
      <w:r w:rsidRPr="00086AA9">
        <w:rPr>
          <w:lang w:val="en-US"/>
        </w:rPr>
        <w:t>illorum</w:t>
      </w:r>
      <w:proofErr w:type="spellEnd"/>
      <w:r w:rsidRPr="00086AA9">
        <w:rPr>
          <w:lang w:val="en-US"/>
        </w:rPr>
        <w:t xml:space="preserve"> </w:t>
      </w:r>
      <w:proofErr w:type="spellStart"/>
      <w:r w:rsidRPr="00086AA9">
        <w:rPr>
          <w:lang w:val="en-US"/>
        </w:rPr>
        <w:t>suffragia</w:t>
      </w:r>
      <w:proofErr w:type="spellEnd"/>
      <w:r w:rsidRPr="00086AA9">
        <w:rPr>
          <w:lang w:val="en-US"/>
        </w:rPr>
        <w:t xml:space="preserve"> pro nobis ad </w:t>
      </w:r>
      <w:proofErr w:type="spellStart"/>
      <w:r w:rsidRPr="00086AA9">
        <w:rPr>
          <w:lang w:val="en-US"/>
        </w:rPr>
        <w:t>Dominum</w:t>
      </w:r>
      <w:proofErr w:type="spellEnd"/>
      <w:r w:rsidRPr="00086AA9">
        <w:rPr>
          <w:lang w:val="en-US"/>
        </w:rPr>
        <w:t xml:space="preserve"> </w:t>
      </w:r>
      <w:proofErr w:type="spellStart"/>
      <w:r w:rsidRPr="00086AA9">
        <w:rPr>
          <w:lang w:val="en-US"/>
        </w:rPr>
        <w:t>imploranda</w:t>
      </w:r>
      <w:proofErr w:type="spellEnd"/>
      <w:r w:rsidRPr="00086AA9">
        <w:rPr>
          <w:lang w:val="en-US"/>
        </w:rPr>
        <w:t xml:space="preserve"> </w:t>
      </w:r>
      <w:proofErr w:type="spellStart"/>
      <w:r w:rsidRPr="00086AA9">
        <w:rPr>
          <w:lang w:val="en-US"/>
        </w:rPr>
        <w:t>adiuventae</w:t>
      </w:r>
      <w:proofErr w:type="spellEnd"/>
      <w:r w:rsidRPr="00086AA9">
        <w:rPr>
          <w:lang w:val="en-US"/>
        </w:rPr>
        <w:t xml:space="preserve"> sunt” Savonarola, </w:t>
      </w:r>
      <w:proofErr w:type="spellStart"/>
      <w:r w:rsidRPr="00086AA9">
        <w:rPr>
          <w:i/>
          <w:iCs/>
          <w:lang w:val="en-US"/>
        </w:rPr>
        <w:t>Triumphus</w:t>
      </w:r>
      <w:proofErr w:type="spellEnd"/>
      <w:r w:rsidRPr="00086AA9">
        <w:rPr>
          <w:i/>
          <w:iCs/>
          <w:lang w:val="en-US"/>
        </w:rPr>
        <w:t xml:space="preserve"> Crucis </w:t>
      </w:r>
      <w:proofErr w:type="spellStart"/>
      <w:r w:rsidRPr="00086AA9">
        <w:rPr>
          <w:i/>
          <w:iCs/>
          <w:lang w:val="en-US"/>
        </w:rPr>
        <w:t>seu</w:t>
      </w:r>
      <w:proofErr w:type="spellEnd"/>
      <w:r w:rsidRPr="00086AA9">
        <w:rPr>
          <w:i/>
          <w:iCs/>
          <w:lang w:val="en-US"/>
        </w:rPr>
        <w:t xml:space="preserve"> de </w:t>
      </w:r>
      <w:proofErr w:type="spellStart"/>
      <w:r w:rsidRPr="00086AA9">
        <w:rPr>
          <w:i/>
          <w:iCs/>
          <w:lang w:val="en-US"/>
        </w:rPr>
        <w:t>Veritate</w:t>
      </w:r>
      <w:proofErr w:type="spellEnd"/>
      <w:r w:rsidRPr="00086AA9">
        <w:rPr>
          <w:i/>
          <w:iCs/>
          <w:lang w:val="en-US"/>
        </w:rPr>
        <w:t xml:space="preserve"> Fidei</w:t>
      </w:r>
      <w:r w:rsidRPr="00086AA9">
        <w:rPr>
          <w:lang w:val="en-US"/>
        </w:rPr>
        <w:t xml:space="preserve">, III.XVIII; English translation from Girolamo Savonarola, </w:t>
      </w:r>
      <w:r w:rsidRPr="00086AA9">
        <w:rPr>
          <w:i/>
          <w:iCs/>
          <w:lang w:val="en-US"/>
        </w:rPr>
        <w:t>The Triumph of the Cross</w:t>
      </w:r>
      <w:r w:rsidRPr="00086AA9">
        <w:rPr>
          <w:lang w:val="en-US"/>
        </w:rPr>
        <w:t xml:space="preserve">, ed. and trans. John Procter (London: Sands, 1901), 152; See also Bartolommeo </w:t>
      </w:r>
      <w:proofErr w:type="spellStart"/>
      <w:r w:rsidRPr="00086AA9">
        <w:rPr>
          <w:lang w:val="en-US"/>
        </w:rPr>
        <w:t>Aquarone</w:t>
      </w:r>
      <w:proofErr w:type="spellEnd"/>
      <w:r w:rsidRPr="00086AA9">
        <w:rPr>
          <w:lang w:val="en-US"/>
        </w:rPr>
        <w:t xml:space="preserve">, </w:t>
      </w:r>
      <w:r w:rsidRPr="00086AA9">
        <w:rPr>
          <w:i/>
          <w:iCs/>
          <w:lang w:val="en-US"/>
        </w:rPr>
        <w:t>Vita Di Fra Jeronimo Savonarola</w:t>
      </w:r>
      <w:r w:rsidRPr="00086AA9">
        <w:rPr>
          <w:lang w:val="en-US"/>
        </w:rPr>
        <w:t xml:space="preserve"> (Alessandria: </w:t>
      </w:r>
      <w:proofErr w:type="spellStart"/>
      <w:r w:rsidRPr="00086AA9">
        <w:rPr>
          <w:lang w:val="en-US"/>
        </w:rPr>
        <w:t>Gazzotti</w:t>
      </w:r>
      <w:proofErr w:type="spellEnd"/>
      <w:r w:rsidRPr="00086AA9">
        <w:rPr>
          <w:lang w:val="en-US"/>
        </w:rPr>
        <w:t xml:space="preserve"> e C., 1858), vols. 2, 26, n.14; Alison Brown, “Introduction,” in </w:t>
      </w:r>
      <w:r w:rsidRPr="00086AA9">
        <w:rPr>
          <w:i/>
          <w:iCs/>
          <w:lang w:val="en-US"/>
        </w:rPr>
        <w:t>Selected Writings of Girolamo Savonarola. Religion and Politics, 1490-1498</w:t>
      </w:r>
      <w:r w:rsidRPr="00086AA9">
        <w:rPr>
          <w:lang w:val="en-US"/>
        </w:rPr>
        <w:t xml:space="preserve">, ed. and trans. Anne Borelli and Maria Pastore </w:t>
      </w:r>
      <w:proofErr w:type="spellStart"/>
      <w:r w:rsidRPr="00086AA9">
        <w:rPr>
          <w:lang w:val="en-US"/>
        </w:rPr>
        <w:t>Passaro</w:t>
      </w:r>
      <w:proofErr w:type="spellEnd"/>
      <w:r w:rsidRPr="00086AA9">
        <w:rPr>
          <w:lang w:val="en-US"/>
        </w:rPr>
        <w:t xml:space="preserve"> (New Haven and London: Yale University Press, 2006), xxii; On the editions of Savonarola’s work in the vernacular translation see Schutte, </w:t>
      </w:r>
      <w:r w:rsidRPr="00086AA9">
        <w:rPr>
          <w:i/>
          <w:iCs/>
          <w:lang w:val="en-US"/>
        </w:rPr>
        <w:t>Printed Italian Vernacular Religious Books 1465-1550 : A Finding List</w:t>
      </w:r>
      <w:r w:rsidRPr="00086AA9">
        <w:rPr>
          <w:lang w:val="en-US"/>
        </w:rPr>
        <w:t>, 329–35; see also Chapter 1.3 of this thesis.</w:t>
      </w:r>
    </w:p>
  </w:footnote>
  <w:footnote w:id="151">
    <w:p w14:paraId="612ECDB8" w14:textId="77777777" w:rsidR="00182EED" w:rsidRDefault="00182EED" w:rsidP="001840E8">
      <w:pPr>
        <w:pStyle w:val="FootnoteText"/>
      </w:pPr>
      <w:r w:rsidRPr="00391186">
        <w:rPr>
          <w:rStyle w:val="FootnoteReference"/>
        </w:rPr>
        <w:footnoteRef/>
      </w:r>
      <w:r>
        <w:t xml:space="preserve"> </w:t>
      </w:r>
      <w:proofErr w:type="spellStart"/>
      <w:r w:rsidRPr="00AC1682">
        <w:rPr>
          <w:lang w:val="en-US"/>
        </w:rPr>
        <w:t>Ringbom</w:t>
      </w:r>
      <w:proofErr w:type="spellEnd"/>
      <w:r w:rsidRPr="00AC1682">
        <w:rPr>
          <w:lang w:val="en-US"/>
        </w:rPr>
        <w:t xml:space="preserve">, </w:t>
      </w:r>
      <w:r w:rsidRPr="00AC1682">
        <w:rPr>
          <w:i/>
          <w:iCs/>
          <w:lang w:val="en-US"/>
        </w:rPr>
        <w:t>Icon to Narrative</w:t>
      </w:r>
      <w:r w:rsidRPr="00AC1682">
        <w:rPr>
          <w:lang w:val="en-US"/>
        </w:rPr>
        <w:t>, 20.</w:t>
      </w:r>
    </w:p>
  </w:footnote>
  <w:footnote w:id="152">
    <w:p w14:paraId="5B9702FA" w14:textId="77777777" w:rsidR="00182EED" w:rsidRDefault="00182EED" w:rsidP="001840E8">
      <w:pPr>
        <w:pStyle w:val="FootnoteText"/>
      </w:pPr>
      <w:r w:rsidRPr="00391186">
        <w:rPr>
          <w:rStyle w:val="FootnoteReference"/>
        </w:rPr>
        <w:footnoteRef/>
      </w:r>
      <w:r>
        <w:t xml:space="preserve"> </w:t>
      </w:r>
      <w:r w:rsidRPr="0086182F">
        <w:rPr>
          <w:lang w:val="en-US"/>
        </w:rPr>
        <w:t>“</w:t>
      </w:r>
      <w:proofErr w:type="spellStart"/>
      <w:r w:rsidRPr="0086182F">
        <w:rPr>
          <w:lang w:val="en-US"/>
        </w:rPr>
        <w:t>Picturae</w:t>
      </w:r>
      <w:proofErr w:type="spellEnd"/>
      <w:r w:rsidRPr="0086182F">
        <w:rPr>
          <w:lang w:val="en-US"/>
        </w:rPr>
        <w:t xml:space="preserve"> quoque res </w:t>
      </w:r>
      <w:proofErr w:type="spellStart"/>
      <w:r w:rsidRPr="0086182F">
        <w:rPr>
          <w:lang w:val="en-US"/>
        </w:rPr>
        <w:t>eorum</w:t>
      </w:r>
      <w:proofErr w:type="spellEnd"/>
      <w:r w:rsidRPr="0086182F">
        <w:rPr>
          <w:lang w:val="en-US"/>
        </w:rPr>
        <w:t xml:space="preserve"> </w:t>
      </w:r>
      <w:proofErr w:type="spellStart"/>
      <w:r w:rsidRPr="0086182F">
        <w:rPr>
          <w:lang w:val="en-US"/>
        </w:rPr>
        <w:t>gestas</w:t>
      </w:r>
      <w:proofErr w:type="spellEnd"/>
      <w:r w:rsidRPr="0086182F">
        <w:rPr>
          <w:lang w:val="en-US"/>
        </w:rPr>
        <w:t xml:space="preserve"> </w:t>
      </w:r>
      <w:proofErr w:type="spellStart"/>
      <w:r w:rsidRPr="0086182F">
        <w:rPr>
          <w:lang w:val="en-US"/>
        </w:rPr>
        <w:t>exprimentes</w:t>
      </w:r>
      <w:proofErr w:type="spellEnd"/>
      <w:r w:rsidRPr="0086182F">
        <w:rPr>
          <w:lang w:val="en-US"/>
        </w:rPr>
        <w:t xml:space="preserve">, </w:t>
      </w:r>
      <w:proofErr w:type="spellStart"/>
      <w:r w:rsidRPr="0086182F">
        <w:rPr>
          <w:lang w:val="en-US"/>
        </w:rPr>
        <w:t>precipue</w:t>
      </w:r>
      <w:proofErr w:type="spellEnd"/>
      <w:r w:rsidRPr="0086182F">
        <w:rPr>
          <w:lang w:val="en-US"/>
        </w:rPr>
        <w:t xml:space="preserve"> </w:t>
      </w:r>
      <w:proofErr w:type="spellStart"/>
      <w:r w:rsidRPr="0086182F">
        <w:rPr>
          <w:lang w:val="en-US"/>
        </w:rPr>
        <w:t>rudibus</w:t>
      </w:r>
      <w:proofErr w:type="spellEnd"/>
      <w:r w:rsidRPr="0086182F">
        <w:rPr>
          <w:lang w:val="en-US"/>
        </w:rPr>
        <w:t xml:space="preserve">, </w:t>
      </w:r>
      <w:proofErr w:type="spellStart"/>
      <w:r w:rsidRPr="0086182F">
        <w:rPr>
          <w:lang w:val="en-US"/>
        </w:rPr>
        <w:t>litterarumque</w:t>
      </w:r>
      <w:proofErr w:type="spellEnd"/>
      <w:r w:rsidRPr="0086182F">
        <w:rPr>
          <w:lang w:val="en-US"/>
        </w:rPr>
        <w:t xml:space="preserve"> </w:t>
      </w:r>
      <w:proofErr w:type="spellStart"/>
      <w:r w:rsidRPr="0086182F">
        <w:rPr>
          <w:lang w:val="en-US"/>
        </w:rPr>
        <w:t>ignaris</w:t>
      </w:r>
      <w:proofErr w:type="spellEnd"/>
      <w:r w:rsidRPr="0086182F">
        <w:rPr>
          <w:lang w:val="en-US"/>
        </w:rPr>
        <w:t xml:space="preserve"> pro </w:t>
      </w:r>
      <w:proofErr w:type="spellStart"/>
      <w:r w:rsidRPr="0086182F">
        <w:rPr>
          <w:lang w:val="en-US"/>
        </w:rPr>
        <w:t>lectione</w:t>
      </w:r>
      <w:proofErr w:type="spellEnd"/>
      <w:r w:rsidRPr="0086182F">
        <w:rPr>
          <w:lang w:val="en-US"/>
        </w:rPr>
        <w:t xml:space="preserve"> </w:t>
      </w:r>
      <w:proofErr w:type="spellStart"/>
      <w:r w:rsidRPr="0086182F">
        <w:rPr>
          <w:lang w:val="en-US"/>
        </w:rPr>
        <w:t>succurrunt</w:t>
      </w:r>
      <w:proofErr w:type="spellEnd"/>
      <w:r w:rsidRPr="0086182F">
        <w:rPr>
          <w:lang w:val="en-US"/>
        </w:rPr>
        <w:t xml:space="preserve">.” Savonarola, </w:t>
      </w:r>
      <w:proofErr w:type="spellStart"/>
      <w:r w:rsidRPr="0086182F">
        <w:rPr>
          <w:i/>
          <w:iCs/>
          <w:lang w:val="en-US"/>
        </w:rPr>
        <w:t>Triumphus</w:t>
      </w:r>
      <w:proofErr w:type="spellEnd"/>
      <w:r w:rsidRPr="0086182F">
        <w:rPr>
          <w:i/>
          <w:iCs/>
          <w:lang w:val="en-US"/>
        </w:rPr>
        <w:t xml:space="preserve"> Crucis </w:t>
      </w:r>
      <w:proofErr w:type="spellStart"/>
      <w:r w:rsidRPr="0086182F">
        <w:rPr>
          <w:i/>
          <w:iCs/>
          <w:lang w:val="en-US"/>
        </w:rPr>
        <w:t>seu</w:t>
      </w:r>
      <w:proofErr w:type="spellEnd"/>
      <w:r w:rsidRPr="0086182F">
        <w:rPr>
          <w:i/>
          <w:iCs/>
          <w:lang w:val="en-US"/>
        </w:rPr>
        <w:t xml:space="preserve"> de </w:t>
      </w:r>
      <w:proofErr w:type="spellStart"/>
      <w:r w:rsidRPr="0086182F">
        <w:rPr>
          <w:i/>
          <w:iCs/>
          <w:lang w:val="en-US"/>
        </w:rPr>
        <w:t>Veritate</w:t>
      </w:r>
      <w:proofErr w:type="spellEnd"/>
      <w:r w:rsidRPr="0086182F">
        <w:rPr>
          <w:i/>
          <w:iCs/>
          <w:lang w:val="en-US"/>
        </w:rPr>
        <w:t xml:space="preserve"> Fidei</w:t>
      </w:r>
      <w:r w:rsidRPr="0086182F">
        <w:rPr>
          <w:lang w:val="en-US"/>
        </w:rPr>
        <w:t xml:space="preserve">, III.XVIII; English translation from Savonarola, </w:t>
      </w:r>
      <w:r w:rsidRPr="0086182F">
        <w:rPr>
          <w:i/>
          <w:iCs/>
          <w:lang w:val="en-US"/>
        </w:rPr>
        <w:t>The Triumph of the Cross</w:t>
      </w:r>
      <w:r w:rsidRPr="0086182F">
        <w:rPr>
          <w:lang w:val="en-US"/>
        </w:rPr>
        <w:t xml:space="preserve">, 152; For more information on Savonarola’s ideas about the use of images in devotional practice, see Ronald M Steinberg, </w:t>
      </w:r>
      <w:r w:rsidRPr="0086182F">
        <w:rPr>
          <w:i/>
          <w:iCs/>
          <w:lang w:val="en-US"/>
        </w:rPr>
        <w:t>Fra Girolamo Savonarola, Florentine Art, and Renaissance Historiography</w:t>
      </w:r>
      <w:r w:rsidRPr="0086182F">
        <w:rPr>
          <w:lang w:val="en-US"/>
        </w:rPr>
        <w:t xml:space="preserve"> (Athens Ohio: Ohio University Press, 1977), 47–52.</w:t>
      </w:r>
    </w:p>
  </w:footnote>
  <w:footnote w:id="153">
    <w:p w14:paraId="4B5A29AE" w14:textId="77777777" w:rsidR="00182EED" w:rsidRDefault="00182EED" w:rsidP="001840E8">
      <w:pPr>
        <w:pStyle w:val="FootnoteText"/>
      </w:pPr>
      <w:r w:rsidRPr="00391186">
        <w:rPr>
          <w:rStyle w:val="FootnoteReference"/>
        </w:rPr>
        <w:footnoteRef/>
      </w:r>
      <w:r>
        <w:t xml:space="preserve"> </w:t>
      </w:r>
      <w:r w:rsidRPr="0086182F">
        <w:rPr>
          <w:lang w:val="en-US"/>
        </w:rPr>
        <w:t xml:space="preserve">Peta </w:t>
      </w:r>
      <w:proofErr w:type="spellStart"/>
      <w:r w:rsidRPr="0086182F">
        <w:rPr>
          <w:lang w:val="en-US"/>
        </w:rPr>
        <w:t>Motture</w:t>
      </w:r>
      <w:proofErr w:type="spellEnd"/>
      <w:r w:rsidRPr="0086182F">
        <w:rPr>
          <w:lang w:val="en-US"/>
        </w:rPr>
        <w:t xml:space="preserve"> and Luke Syson, “Art in the Casa,” in </w:t>
      </w:r>
      <w:r w:rsidRPr="0086182F">
        <w:rPr>
          <w:i/>
          <w:iCs/>
          <w:lang w:val="en-US"/>
        </w:rPr>
        <w:t>At Home in Renaissance Italy</w:t>
      </w:r>
      <w:r w:rsidRPr="0086182F">
        <w:rPr>
          <w:lang w:val="en-US"/>
        </w:rPr>
        <w:t xml:space="preserve">, ed. Marta </w:t>
      </w:r>
      <w:proofErr w:type="spellStart"/>
      <w:r w:rsidRPr="0086182F">
        <w:rPr>
          <w:lang w:val="en-US"/>
        </w:rPr>
        <w:t>Ajmar-Wollheim</w:t>
      </w:r>
      <w:proofErr w:type="spellEnd"/>
      <w:r w:rsidRPr="0086182F">
        <w:rPr>
          <w:lang w:val="en-US"/>
        </w:rPr>
        <w:t xml:space="preserve"> and Flora Dennis (London: V&amp;A Publications, 2006), 281; Evelyn Welch, </w:t>
      </w:r>
      <w:r w:rsidRPr="0086182F">
        <w:rPr>
          <w:i/>
          <w:iCs/>
          <w:lang w:val="en-US"/>
        </w:rPr>
        <w:t>Art in Renaissance Italy, 1350-1500</w:t>
      </w:r>
      <w:r w:rsidRPr="0086182F">
        <w:rPr>
          <w:lang w:val="en-US"/>
        </w:rPr>
        <w:t xml:space="preserve"> (Oxford: Oxford University Press, 1997), 207</w:t>
      </w:r>
      <w:r>
        <w:rPr>
          <w:lang w:val="en-US"/>
        </w:rPr>
        <w:t>.</w:t>
      </w:r>
      <w:r w:rsidRPr="0086182F">
        <w:rPr>
          <w:lang w:val="en-US"/>
        </w:rPr>
        <w:t xml:space="preserve"> On devotion to the Virgin Mary see, for example, </w:t>
      </w:r>
      <w:proofErr w:type="spellStart"/>
      <w:r w:rsidRPr="0086182F">
        <w:rPr>
          <w:lang w:val="en-US"/>
        </w:rPr>
        <w:t>Fredrika</w:t>
      </w:r>
      <w:proofErr w:type="spellEnd"/>
      <w:r w:rsidRPr="0086182F">
        <w:rPr>
          <w:lang w:val="en-US"/>
        </w:rPr>
        <w:t xml:space="preserve"> H. Jacobs, </w:t>
      </w:r>
      <w:r w:rsidRPr="0086182F">
        <w:rPr>
          <w:i/>
          <w:iCs/>
          <w:lang w:val="en-US"/>
        </w:rPr>
        <w:t>Votive Panels and Popular Piety in Early Modern Italy</w:t>
      </w:r>
      <w:r w:rsidRPr="0086182F">
        <w:rPr>
          <w:lang w:val="en-US"/>
        </w:rPr>
        <w:t xml:space="preserve"> (Cambridge: Cambridge University Press, 2013), 115–25.</w:t>
      </w:r>
    </w:p>
  </w:footnote>
  <w:footnote w:id="154">
    <w:p w14:paraId="5CFDD186" w14:textId="77777777" w:rsidR="00182EED" w:rsidRDefault="00182EED" w:rsidP="001840E8">
      <w:pPr>
        <w:pStyle w:val="FootnoteText"/>
      </w:pPr>
      <w:r w:rsidRPr="00391186">
        <w:rPr>
          <w:rStyle w:val="FootnoteReference"/>
        </w:rPr>
        <w:footnoteRef/>
      </w:r>
      <w:r>
        <w:t xml:space="preserve"> </w:t>
      </w:r>
      <w:r w:rsidRPr="0086182F">
        <w:rPr>
          <w:lang w:val="en-US"/>
        </w:rPr>
        <w:t>Cooper, “Devotion,” 192.</w:t>
      </w:r>
    </w:p>
  </w:footnote>
  <w:footnote w:id="155">
    <w:p w14:paraId="105BEF4E" w14:textId="77777777" w:rsidR="00182EED" w:rsidRDefault="00182EED" w:rsidP="001840E8">
      <w:pPr>
        <w:pStyle w:val="FootnoteText"/>
      </w:pPr>
      <w:r w:rsidRPr="00391186">
        <w:rPr>
          <w:rStyle w:val="FootnoteReference"/>
        </w:rPr>
        <w:footnoteRef/>
      </w:r>
      <w:r>
        <w:t xml:space="preserve"> </w:t>
      </w:r>
      <w:proofErr w:type="spellStart"/>
      <w:r w:rsidRPr="0086182F">
        <w:rPr>
          <w:lang w:val="en-US"/>
        </w:rPr>
        <w:t>Fortini</w:t>
      </w:r>
      <w:proofErr w:type="spellEnd"/>
      <w:r w:rsidRPr="0086182F">
        <w:rPr>
          <w:lang w:val="en-US"/>
        </w:rPr>
        <w:t xml:space="preserve"> Brown, “Children and Education,” 136.</w:t>
      </w:r>
    </w:p>
  </w:footnote>
  <w:footnote w:id="156">
    <w:p w14:paraId="31F82CD9" w14:textId="77777777" w:rsidR="00182EED" w:rsidRPr="00CD5426" w:rsidRDefault="00182EED" w:rsidP="001840E8">
      <w:pPr>
        <w:pStyle w:val="FootnoteText"/>
        <w:rPr>
          <w:szCs w:val="18"/>
        </w:rPr>
      </w:pPr>
      <w:r w:rsidRPr="00391186">
        <w:rPr>
          <w:rStyle w:val="FootnoteReference"/>
        </w:rPr>
        <w:footnoteRef/>
      </w:r>
      <w:r w:rsidRPr="006C1BBD">
        <w:rPr>
          <w:szCs w:val="18"/>
        </w:rPr>
        <w:t xml:space="preserve"> See also</w:t>
      </w:r>
      <w:r w:rsidRPr="006C1BBD">
        <w:rPr>
          <w:i/>
          <w:szCs w:val="18"/>
        </w:rPr>
        <w:t xml:space="preserve"> </w:t>
      </w:r>
      <w:r w:rsidRPr="006C1BBD">
        <w:rPr>
          <w:szCs w:val="18"/>
        </w:rPr>
        <w:t xml:space="preserve">Chapters 1.1 and 1.2 of this </w:t>
      </w:r>
      <w:r w:rsidRPr="006C1BBD">
        <w:rPr>
          <w:szCs w:val="18"/>
        </w:rPr>
        <w:t>thesis.</w:t>
      </w:r>
    </w:p>
  </w:footnote>
  <w:footnote w:id="157">
    <w:p w14:paraId="18DD4C70" w14:textId="77777777" w:rsidR="00182EED" w:rsidRDefault="00182EED" w:rsidP="001840E8">
      <w:pPr>
        <w:pStyle w:val="FootnoteText"/>
      </w:pPr>
      <w:r w:rsidRPr="00391186">
        <w:rPr>
          <w:rStyle w:val="FootnoteReference"/>
        </w:rPr>
        <w:footnoteRef/>
      </w:r>
      <w:r>
        <w:t xml:space="preserve"> </w:t>
      </w:r>
      <w:r w:rsidRPr="00AC1682">
        <w:rPr>
          <w:lang w:val="en-US"/>
        </w:rPr>
        <w:t xml:space="preserve">Allison Lee Palmer, “The Walters’ </w:t>
      </w:r>
      <w:r w:rsidRPr="00AC1682">
        <w:rPr>
          <w:i/>
          <w:iCs/>
          <w:lang w:val="en-US"/>
        </w:rPr>
        <w:t>Madonna and Child</w:t>
      </w:r>
      <w:r w:rsidRPr="00AC1682">
        <w:rPr>
          <w:lang w:val="en-US"/>
        </w:rPr>
        <w:t xml:space="preserve"> Plaquette and Private Devotional Art in Early Renaissance Italy,” </w:t>
      </w:r>
      <w:r w:rsidRPr="00AC1682">
        <w:rPr>
          <w:i/>
          <w:iCs/>
          <w:lang w:val="en-US"/>
        </w:rPr>
        <w:t>The Journal of the Walters Art Museum</w:t>
      </w:r>
      <w:r w:rsidRPr="00AC1682">
        <w:rPr>
          <w:lang w:val="en-US"/>
        </w:rPr>
        <w:t xml:space="preserve"> 59 (2001): 79–80; Allison Lee Palmer, “The Maternal Madonna in Quattrocento Florence: Social Ideals in the Family of the Patriarch,” </w:t>
      </w:r>
      <w:r w:rsidRPr="00AC1682">
        <w:rPr>
          <w:i/>
          <w:iCs/>
          <w:lang w:val="en-US"/>
        </w:rPr>
        <w:t>Source: Notes in the History of Art</w:t>
      </w:r>
      <w:r w:rsidRPr="00AC1682">
        <w:rPr>
          <w:lang w:val="en-US"/>
        </w:rPr>
        <w:t xml:space="preserve"> 21, no. 3 (2002): 7–14.</w:t>
      </w:r>
    </w:p>
  </w:footnote>
  <w:footnote w:id="158">
    <w:p w14:paraId="7CCA22BA" w14:textId="77777777" w:rsidR="00182EED" w:rsidRDefault="00182EED" w:rsidP="001840E8">
      <w:pPr>
        <w:pStyle w:val="FootnoteText"/>
      </w:pPr>
      <w:r w:rsidRPr="00391186">
        <w:rPr>
          <w:rStyle w:val="FootnoteReference"/>
        </w:rPr>
        <w:footnoteRef/>
      </w:r>
      <w:r>
        <w:t xml:space="preserve"> </w:t>
      </w:r>
      <w:r w:rsidRPr="00AC1682">
        <w:rPr>
          <w:lang w:val="en-US"/>
        </w:rPr>
        <w:t xml:space="preserve">“Ma </w:t>
      </w:r>
      <w:proofErr w:type="spellStart"/>
      <w:r w:rsidRPr="00AC1682">
        <w:rPr>
          <w:lang w:val="en-US"/>
        </w:rPr>
        <w:t>diciamo</w:t>
      </w:r>
      <w:proofErr w:type="spellEnd"/>
      <w:r w:rsidRPr="00AC1682">
        <w:rPr>
          <w:lang w:val="en-US"/>
        </w:rPr>
        <w:t xml:space="preserve"> da [sic] la </w:t>
      </w:r>
      <w:proofErr w:type="spellStart"/>
      <w:r w:rsidRPr="00AC1682">
        <w:rPr>
          <w:lang w:val="en-US"/>
        </w:rPr>
        <w:t>trovo</w:t>
      </w:r>
      <w:proofErr w:type="spellEnd"/>
      <w:r w:rsidRPr="00AC1682">
        <w:rPr>
          <w:lang w:val="en-US"/>
        </w:rPr>
        <w:t xml:space="preserve">̀ </w:t>
      </w:r>
      <w:proofErr w:type="spellStart"/>
      <w:r w:rsidRPr="00AC1682">
        <w:rPr>
          <w:lang w:val="en-US"/>
        </w:rPr>
        <w:t>l’Angiolo</w:t>
      </w:r>
      <w:proofErr w:type="spellEnd"/>
      <w:r w:rsidRPr="00AC1682">
        <w:rPr>
          <w:lang w:val="en-US"/>
        </w:rPr>
        <w:t xml:space="preserve">. Dove </w:t>
      </w:r>
      <w:proofErr w:type="spellStart"/>
      <w:r w:rsidRPr="00AC1682">
        <w:rPr>
          <w:lang w:val="en-US"/>
        </w:rPr>
        <w:t>credi</w:t>
      </w:r>
      <w:proofErr w:type="spellEnd"/>
      <w:r w:rsidRPr="00AC1682">
        <w:rPr>
          <w:lang w:val="en-US"/>
        </w:rPr>
        <w:t xml:space="preserve"> </w:t>
      </w:r>
      <w:proofErr w:type="spellStart"/>
      <w:r w:rsidRPr="00AC1682">
        <w:rPr>
          <w:lang w:val="en-US"/>
        </w:rPr>
        <w:t>ch’ella</w:t>
      </w:r>
      <w:proofErr w:type="spellEnd"/>
      <w:r w:rsidRPr="00AC1682">
        <w:rPr>
          <w:lang w:val="en-US"/>
        </w:rPr>
        <w:t xml:space="preserve"> </w:t>
      </w:r>
      <w:proofErr w:type="spellStart"/>
      <w:r w:rsidRPr="00AC1682">
        <w:rPr>
          <w:lang w:val="en-US"/>
        </w:rPr>
        <w:t>fusse</w:t>
      </w:r>
      <w:proofErr w:type="spellEnd"/>
      <w:r w:rsidRPr="00AC1682">
        <w:rPr>
          <w:lang w:val="en-US"/>
        </w:rPr>
        <w:t xml:space="preserve">? A le </w:t>
      </w:r>
      <w:proofErr w:type="spellStart"/>
      <w:r w:rsidRPr="00AC1682">
        <w:rPr>
          <w:lang w:val="en-US"/>
        </w:rPr>
        <w:t>finestre</w:t>
      </w:r>
      <w:proofErr w:type="spellEnd"/>
      <w:r w:rsidRPr="00AC1682">
        <w:rPr>
          <w:lang w:val="en-US"/>
        </w:rPr>
        <w:t xml:space="preserve"> o a fare </w:t>
      </w:r>
      <w:proofErr w:type="spellStart"/>
      <w:r w:rsidRPr="00AC1682">
        <w:rPr>
          <w:lang w:val="en-US"/>
        </w:rPr>
        <w:t>qualche</w:t>
      </w:r>
      <w:proofErr w:type="spellEnd"/>
      <w:r w:rsidRPr="00AC1682">
        <w:rPr>
          <w:lang w:val="en-US"/>
        </w:rPr>
        <w:t xml:space="preserve"> </w:t>
      </w:r>
      <w:proofErr w:type="spellStart"/>
      <w:r w:rsidRPr="00AC1682">
        <w:rPr>
          <w:lang w:val="en-US"/>
        </w:rPr>
        <w:t>altro</w:t>
      </w:r>
      <w:proofErr w:type="spellEnd"/>
      <w:r w:rsidRPr="00AC1682">
        <w:rPr>
          <w:lang w:val="en-US"/>
        </w:rPr>
        <w:t xml:space="preserve"> </w:t>
      </w:r>
      <w:proofErr w:type="spellStart"/>
      <w:r w:rsidRPr="00AC1682">
        <w:rPr>
          <w:lang w:val="en-US"/>
        </w:rPr>
        <w:t>essercizio</w:t>
      </w:r>
      <w:proofErr w:type="spellEnd"/>
      <w:r w:rsidRPr="00AC1682">
        <w:rPr>
          <w:lang w:val="en-US"/>
        </w:rPr>
        <w:t xml:space="preserve"> di </w:t>
      </w:r>
      <w:proofErr w:type="spellStart"/>
      <w:r w:rsidRPr="00AC1682">
        <w:rPr>
          <w:lang w:val="en-US"/>
        </w:rPr>
        <w:t>vanita</w:t>
      </w:r>
      <w:proofErr w:type="spellEnd"/>
      <w:r w:rsidRPr="00AC1682">
        <w:rPr>
          <w:lang w:val="en-US"/>
        </w:rPr>
        <w:t xml:space="preserve">̀? Eh no! Ella </w:t>
      </w:r>
      <w:proofErr w:type="spellStart"/>
      <w:r w:rsidRPr="00AC1682">
        <w:rPr>
          <w:lang w:val="en-US"/>
        </w:rPr>
        <w:t>stava</w:t>
      </w:r>
      <w:proofErr w:type="spellEnd"/>
      <w:r w:rsidRPr="00AC1682">
        <w:rPr>
          <w:lang w:val="en-US"/>
        </w:rPr>
        <w:t xml:space="preserve"> </w:t>
      </w:r>
      <w:proofErr w:type="spellStart"/>
      <w:r w:rsidRPr="00AC1682">
        <w:rPr>
          <w:lang w:val="en-US"/>
        </w:rPr>
        <w:t>inserrata</w:t>
      </w:r>
      <w:proofErr w:type="spellEnd"/>
      <w:r w:rsidRPr="00AC1682">
        <w:rPr>
          <w:lang w:val="en-US"/>
        </w:rPr>
        <w:t xml:space="preserve"> in </w:t>
      </w:r>
      <w:proofErr w:type="spellStart"/>
      <w:r w:rsidRPr="00AC1682">
        <w:rPr>
          <w:lang w:val="en-US"/>
        </w:rPr>
        <w:t>camara</w:t>
      </w:r>
      <w:proofErr w:type="spellEnd"/>
      <w:r w:rsidRPr="00AC1682">
        <w:rPr>
          <w:lang w:val="en-US"/>
        </w:rPr>
        <w:t xml:space="preserve">, e </w:t>
      </w:r>
      <w:proofErr w:type="spellStart"/>
      <w:r w:rsidRPr="00AC1682">
        <w:rPr>
          <w:lang w:val="en-US"/>
        </w:rPr>
        <w:t>leggeva</w:t>
      </w:r>
      <w:proofErr w:type="spellEnd"/>
      <w:r w:rsidRPr="00AC1682">
        <w:rPr>
          <w:lang w:val="en-US"/>
        </w:rPr>
        <w:t xml:space="preserve">, per dare </w:t>
      </w:r>
      <w:proofErr w:type="spellStart"/>
      <w:r w:rsidRPr="00AC1682">
        <w:rPr>
          <w:lang w:val="en-US"/>
        </w:rPr>
        <w:t>essemplo</w:t>
      </w:r>
      <w:proofErr w:type="spellEnd"/>
      <w:r w:rsidRPr="00AC1682">
        <w:rPr>
          <w:lang w:val="en-US"/>
        </w:rPr>
        <w:t xml:space="preserve"> a </w:t>
      </w:r>
      <w:proofErr w:type="spellStart"/>
      <w:r w:rsidRPr="00AC1682">
        <w:rPr>
          <w:lang w:val="en-US"/>
        </w:rPr>
        <w:t>te</w:t>
      </w:r>
      <w:proofErr w:type="spellEnd"/>
      <w:r w:rsidRPr="00AC1682">
        <w:rPr>
          <w:lang w:val="en-US"/>
        </w:rPr>
        <w:t xml:space="preserve"> </w:t>
      </w:r>
      <w:proofErr w:type="spellStart"/>
      <w:r w:rsidRPr="00AC1682">
        <w:rPr>
          <w:lang w:val="en-US"/>
        </w:rPr>
        <w:t>fanciulla</w:t>
      </w:r>
      <w:proofErr w:type="spellEnd"/>
      <w:r w:rsidRPr="00AC1682">
        <w:rPr>
          <w:lang w:val="en-US"/>
        </w:rPr>
        <w:t xml:space="preserve">, </w:t>
      </w:r>
      <w:proofErr w:type="spellStart"/>
      <w:r w:rsidRPr="00AC1682">
        <w:rPr>
          <w:lang w:val="en-US"/>
        </w:rPr>
        <w:t>che</w:t>
      </w:r>
      <w:proofErr w:type="spellEnd"/>
      <w:r w:rsidRPr="00AC1682">
        <w:rPr>
          <w:lang w:val="en-US"/>
        </w:rPr>
        <w:t xml:space="preserve"> </w:t>
      </w:r>
      <w:proofErr w:type="spellStart"/>
      <w:r w:rsidRPr="00AC1682">
        <w:rPr>
          <w:lang w:val="en-US"/>
        </w:rPr>
        <w:t>mai</w:t>
      </w:r>
      <w:proofErr w:type="spellEnd"/>
      <w:r w:rsidRPr="00AC1682">
        <w:rPr>
          <w:lang w:val="en-US"/>
        </w:rPr>
        <w:t xml:space="preserve"> </w:t>
      </w:r>
      <w:proofErr w:type="spellStart"/>
      <w:r w:rsidRPr="00AC1682">
        <w:rPr>
          <w:lang w:val="en-US"/>
        </w:rPr>
        <w:t>tu</w:t>
      </w:r>
      <w:proofErr w:type="spellEnd"/>
      <w:r w:rsidRPr="00AC1682">
        <w:rPr>
          <w:lang w:val="en-US"/>
        </w:rPr>
        <w:t xml:space="preserve"> non </w:t>
      </w:r>
      <w:proofErr w:type="spellStart"/>
      <w:r w:rsidRPr="00AC1682">
        <w:rPr>
          <w:lang w:val="en-US"/>
        </w:rPr>
        <w:t>abbi</w:t>
      </w:r>
      <w:proofErr w:type="spellEnd"/>
      <w:r w:rsidRPr="00AC1682">
        <w:rPr>
          <w:lang w:val="en-US"/>
        </w:rPr>
        <w:t xml:space="preserve"> </w:t>
      </w:r>
      <w:proofErr w:type="spellStart"/>
      <w:r w:rsidRPr="00AC1682">
        <w:rPr>
          <w:lang w:val="en-US"/>
        </w:rPr>
        <w:t>diletto</w:t>
      </w:r>
      <w:proofErr w:type="spellEnd"/>
      <w:r w:rsidRPr="00AC1682">
        <w:rPr>
          <w:lang w:val="en-US"/>
        </w:rPr>
        <w:t xml:space="preserve"> di stare nè a </w:t>
      </w:r>
      <w:proofErr w:type="spellStart"/>
      <w:r w:rsidRPr="00AC1682">
        <w:rPr>
          <w:lang w:val="en-US"/>
        </w:rPr>
        <w:t>uscio</w:t>
      </w:r>
      <w:proofErr w:type="spellEnd"/>
      <w:r w:rsidRPr="00AC1682">
        <w:rPr>
          <w:lang w:val="en-US"/>
        </w:rPr>
        <w:t xml:space="preserve"> nè a </w:t>
      </w:r>
      <w:proofErr w:type="spellStart"/>
      <w:r w:rsidRPr="00AC1682">
        <w:rPr>
          <w:lang w:val="en-US"/>
        </w:rPr>
        <w:t>finestra</w:t>
      </w:r>
      <w:proofErr w:type="spellEnd"/>
      <w:r w:rsidRPr="00AC1682">
        <w:rPr>
          <w:lang w:val="en-US"/>
        </w:rPr>
        <w:t xml:space="preserve">, ma </w:t>
      </w:r>
      <w:proofErr w:type="spellStart"/>
      <w:r w:rsidRPr="00AC1682">
        <w:rPr>
          <w:lang w:val="en-US"/>
        </w:rPr>
        <w:t>che</w:t>
      </w:r>
      <w:proofErr w:type="spellEnd"/>
      <w:r w:rsidRPr="00AC1682">
        <w:rPr>
          <w:lang w:val="en-US"/>
        </w:rPr>
        <w:t xml:space="preserve"> </w:t>
      </w:r>
      <w:proofErr w:type="spellStart"/>
      <w:r w:rsidRPr="00AC1682">
        <w:rPr>
          <w:lang w:val="en-US"/>
        </w:rPr>
        <w:t>tu</w:t>
      </w:r>
      <w:proofErr w:type="spellEnd"/>
      <w:r w:rsidRPr="00AC1682">
        <w:rPr>
          <w:lang w:val="en-US"/>
        </w:rPr>
        <w:t xml:space="preserve"> </w:t>
      </w:r>
      <w:proofErr w:type="spellStart"/>
      <w:r w:rsidRPr="00AC1682">
        <w:rPr>
          <w:lang w:val="en-US"/>
        </w:rPr>
        <w:t>stia</w:t>
      </w:r>
      <w:proofErr w:type="spellEnd"/>
      <w:r w:rsidRPr="00AC1682">
        <w:rPr>
          <w:lang w:val="en-US"/>
        </w:rPr>
        <w:t xml:space="preserve"> dentro in casa, </w:t>
      </w:r>
      <w:proofErr w:type="spellStart"/>
      <w:r w:rsidRPr="00AC1682">
        <w:rPr>
          <w:lang w:val="en-US"/>
        </w:rPr>
        <w:t>dicendo</w:t>
      </w:r>
      <w:proofErr w:type="spellEnd"/>
      <w:r w:rsidRPr="00AC1682">
        <w:rPr>
          <w:lang w:val="en-US"/>
        </w:rPr>
        <w:t xml:space="preserve"> </w:t>
      </w:r>
      <w:proofErr w:type="spellStart"/>
      <w:r w:rsidRPr="00AC1682">
        <w:rPr>
          <w:lang w:val="en-US"/>
        </w:rPr>
        <w:t>delle</w:t>
      </w:r>
      <w:proofErr w:type="spellEnd"/>
      <w:r w:rsidRPr="00AC1682">
        <w:rPr>
          <w:lang w:val="en-US"/>
        </w:rPr>
        <w:t xml:space="preserve"> Ave Marie e de’ Pater </w:t>
      </w:r>
      <w:proofErr w:type="spellStart"/>
      <w:r w:rsidRPr="00AC1682">
        <w:rPr>
          <w:lang w:val="en-US"/>
        </w:rPr>
        <w:t>Nostri</w:t>
      </w:r>
      <w:proofErr w:type="spellEnd"/>
      <w:r w:rsidRPr="00AC1682">
        <w:rPr>
          <w:lang w:val="en-US"/>
        </w:rPr>
        <w:t xml:space="preserve">.” Original and English translation from Saundra Weddle, “Women’s Place in the Family and the Convent: A Reconsideration of Public and Private in Renaissance Florence,” </w:t>
      </w:r>
      <w:r w:rsidRPr="00AC1682">
        <w:rPr>
          <w:i/>
          <w:iCs/>
          <w:lang w:val="en-US"/>
        </w:rPr>
        <w:t>Journal of Architectural Education (1984-)</w:t>
      </w:r>
      <w:r w:rsidRPr="00AC1682">
        <w:rPr>
          <w:lang w:val="en-US"/>
        </w:rPr>
        <w:t xml:space="preserve"> 55, no. 2 (2001): 65; Also quoted in a different translation in Caroline </w:t>
      </w:r>
      <w:proofErr w:type="spellStart"/>
      <w:r w:rsidRPr="00AC1682">
        <w:rPr>
          <w:lang w:val="en-US"/>
        </w:rPr>
        <w:t>Corisande</w:t>
      </w:r>
      <w:proofErr w:type="spellEnd"/>
      <w:r w:rsidRPr="00AC1682">
        <w:rPr>
          <w:lang w:val="en-US"/>
        </w:rPr>
        <w:t xml:space="preserve"> Anderson, “The Material Culture of Domestic Religion in Early Modern Florence, c.1480 - c.1650” (University of York, 2007), 87.</w:t>
      </w:r>
    </w:p>
  </w:footnote>
  <w:footnote w:id="159">
    <w:p w14:paraId="71A322B1" w14:textId="77777777" w:rsidR="00182EED" w:rsidRDefault="00182EED" w:rsidP="001840E8">
      <w:pPr>
        <w:pStyle w:val="FootnoteText"/>
      </w:pPr>
      <w:r w:rsidRPr="00391186">
        <w:rPr>
          <w:rStyle w:val="FootnoteReference"/>
        </w:rPr>
        <w:footnoteRef/>
      </w:r>
      <w:r>
        <w:t xml:space="preserve"> </w:t>
      </w:r>
      <w:r w:rsidRPr="00AC1682">
        <w:rPr>
          <w:lang w:val="en-US"/>
        </w:rPr>
        <w:t xml:space="preserve">Roberta J. M. Olson, </w:t>
      </w:r>
      <w:r w:rsidRPr="00AC1682">
        <w:rPr>
          <w:i/>
          <w:iCs/>
          <w:lang w:val="en-US"/>
        </w:rPr>
        <w:t>The Florentine Tondo</w:t>
      </w:r>
      <w:r w:rsidRPr="00AC1682">
        <w:rPr>
          <w:lang w:val="en-US"/>
        </w:rPr>
        <w:t xml:space="preserve"> (Oxford: Oxford University Press, 2000), 96.</w:t>
      </w:r>
    </w:p>
  </w:footnote>
  <w:footnote w:id="160">
    <w:p w14:paraId="1A76DA83" w14:textId="77777777" w:rsidR="00182EED" w:rsidRDefault="00182EED" w:rsidP="001840E8">
      <w:pPr>
        <w:pStyle w:val="FootnoteText"/>
      </w:pPr>
      <w:r w:rsidRPr="00391186">
        <w:rPr>
          <w:rStyle w:val="FootnoteReference"/>
        </w:rPr>
        <w:footnoteRef/>
      </w:r>
      <w:r>
        <w:t xml:space="preserve"> </w:t>
      </w:r>
      <w:proofErr w:type="spellStart"/>
      <w:r w:rsidRPr="00AC1682">
        <w:rPr>
          <w:lang w:val="en-US"/>
        </w:rPr>
        <w:t>Tinagli</w:t>
      </w:r>
      <w:proofErr w:type="spellEnd"/>
      <w:r w:rsidRPr="00AC1682">
        <w:rPr>
          <w:lang w:val="en-US"/>
        </w:rPr>
        <w:t xml:space="preserve">, </w:t>
      </w:r>
      <w:r w:rsidRPr="00AC1682">
        <w:rPr>
          <w:i/>
          <w:iCs/>
          <w:lang w:val="en-US"/>
        </w:rPr>
        <w:t>Women in Italian Renaissance Art: Gender, Representation, Identity</w:t>
      </w:r>
      <w:r w:rsidRPr="00AC1682">
        <w:rPr>
          <w:lang w:val="en-US"/>
        </w:rPr>
        <w:t>, 155–60.</w:t>
      </w:r>
    </w:p>
  </w:footnote>
  <w:footnote w:id="161">
    <w:p w14:paraId="5CA990F4" w14:textId="77777777" w:rsidR="00182EED" w:rsidRDefault="00182EED" w:rsidP="001840E8">
      <w:pPr>
        <w:pStyle w:val="FootnoteText"/>
      </w:pPr>
      <w:r w:rsidRPr="00391186">
        <w:rPr>
          <w:rStyle w:val="FootnoteReference"/>
        </w:rPr>
        <w:footnoteRef/>
      </w:r>
      <w:r>
        <w:t xml:space="preserve"> </w:t>
      </w:r>
      <w:r w:rsidRPr="00086AA9">
        <w:rPr>
          <w:lang w:val="en-US"/>
        </w:rPr>
        <w:t xml:space="preserve">Horace K Mann, </w:t>
      </w:r>
      <w:r w:rsidRPr="00086AA9">
        <w:rPr>
          <w:i/>
          <w:iCs/>
          <w:lang w:val="en-US"/>
        </w:rPr>
        <w:t>The Lives of the Popes in the Early Middle Ages, Vol. I: The Popes Under the Lombard Rule, Part 2</w:t>
      </w:r>
      <w:r w:rsidRPr="00086AA9">
        <w:rPr>
          <w:lang w:val="en-US"/>
        </w:rPr>
        <w:t xml:space="preserve"> (</w:t>
      </w:r>
      <w:proofErr w:type="spellStart"/>
      <w:r w:rsidRPr="00086AA9">
        <w:rPr>
          <w:lang w:val="en-US"/>
        </w:rPr>
        <w:t>Nendeln</w:t>
      </w:r>
      <w:proofErr w:type="spellEnd"/>
      <w:r w:rsidRPr="00086AA9">
        <w:rPr>
          <w:lang w:val="en-US"/>
        </w:rPr>
        <w:t>, Liechtenstein: Kraus Reprint, 1976), 191</w:t>
      </w:r>
      <w:r>
        <w:rPr>
          <w:lang w:val="en-US"/>
        </w:rPr>
        <w:t xml:space="preserve">. </w:t>
      </w:r>
      <w:r w:rsidRPr="00086AA9">
        <w:rPr>
          <w:lang w:val="en-US"/>
        </w:rPr>
        <w:t xml:space="preserve">The letters attributed to Pope Gregory II are published in the original Greek and French translation in Jean </w:t>
      </w:r>
      <w:proofErr w:type="spellStart"/>
      <w:r w:rsidRPr="00086AA9">
        <w:rPr>
          <w:lang w:val="en-US"/>
        </w:rPr>
        <w:t>Gouillard</w:t>
      </w:r>
      <w:proofErr w:type="spellEnd"/>
      <w:r w:rsidRPr="00086AA9">
        <w:rPr>
          <w:lang w:val="en-US"/>
        </w:rPr>
        <w:t xml:space="preserve">, “Aux </w:t>
      </w:r>
      <w:proofErr w:type="spellStart"/>
      <w:r w:rsidRPr="00086AA9">
        <w:rPr>
          <w:lang w:val="en-US"/>
        </w:rPr>
        <w:t>origines</w:t>
      </w:r>
      <w:proofErr w:type="spellEnd"/>
      <w:r w:rsidRPr="00086AA9">
        <w:rPr>
          <w:lang w:val="en-US"/>
        </w:rPr>
        <w:t xml:space="preserve"> de </w:t>
      </w:r>
      <w:proofErr w:type="spellStart"/>
      <w:r w:rsidRPr="00086AA9">
        <w:rPr>
          <w:lang w:val="en-US"/>
        </w:rPr>
        <w:t>l’iconoclasme</w:t>
      </w:r>
      <w:proofErr w:type="spellEnd"/>
      <w:r w:rsidRPr="00086AA9">
        <w:rPr>
          <w:lang w:val="en-US"/>
        </w:rPr>
        <w:t xml:space="preserve">: le </w:t>
      </w:r>
      <w:proofErr w:type="spellStart"/>
      <w:r w:rsidRPr="00086AA9">
        <w:rPr>
          <w:lang w:val="en-US"/>
        </w:rPr>
        <w:t>témoignage</w:t>
      </w:r>
      <w:proofErr w:type="spellEnd"/>
      <w:r w:rsidRPr="00086AA9">
        <w:rPr>
          <w:lang w:val="en-US"/>
        </w:rPr>
        <w:t xml:space="preserve"> de Gregoire II?,” </w:t>
      </w:r>
      <w:r w:rsidRPr="00086AA9">
        <w:rPr>
          <w:i/>
          <w:iCs/>
          <w:lang w:val="en-US"/>
        </w:rPr>
        <w:t xml:space="preserve">Travaux et </w:t>
      </w:r>
      <w:proofErr w:type="spellStart"/>
      <w:r w:rsidRPr="00086AA9">
        <w:rPr>
          <w:i/>
          <w:iCs/>
          <w:lang w:val="en-US"/>
        </w:rPr>
        <w:t>mémoires</w:t>
      </w:r>
      <w:proofErr w:type="spellEnd"/>
      <w:r w:rsidRPr="00086AA9">
        <w:rPr>
          <w:lang w:val="en-US"/>
        </w:rPr>
        <w:t xml:space="preserve"> 3 (1968): 286–87; see also Edward James Martin, </w:t>
      </w:r>
      <w:r w:rsidRPr="00086AA9">
        <w:rPr>
          <w:i/>
          <w:iCs/>
          <w:lang w:val="en-US"/>
        </w:rPr>
        <w:t>A History of the Iconoclastic Controversy</w:t>
      </w:r>
      <w:r w:rsidRPr="00086AA9">
        <w:rPr>
          <w:lang w:val="en-US"/>
        </w:rPr>
        <w:t xml:space="preserve"> (London and New York: Society for Promoting Christian Knowledge, Macmillan Co, 1930), 36–37.</w:t>
      </w:r>
    </w:p>
  </w:footnote>
  <w:footnote w:id="162">
    <w:p w14:paraId="702AD7C6" w14:textId="77777777" w:rsidR="00182EED" w:rsidRDefault="00182EED" w:rsidP="001840E8">
      <w:pPr>
        <w:pStyle w:val="FootnoteText"/>
      </w:pPr>
      <w:r w:rsidRPr="00391186">
        <w:rPr>
          <w:rStyle w:val="FootnoteReference"/>
        </w:rPr>
        <w:footnoteRef/>
      </w:r>
      <w:r>
        <w:t xml:space="preserve"> </w:t>
      </w:r>
      <w:r w:rsidRPr="00B15A10">
        <w:rPr>
          <w:lang w:val="en-US"/>
        </w:rPr>
        <w:t xml:space="preserve">Arnold Victor </w:t>
      </w:r>
      <w:proofErr w:type="spellStart"/>
      <w:r w:rsidRPr="00B15A10">
        <w:rPr>
          <w:lang w:val="en-US"/>
        </w:rPr>
        <w:t>Coonin</w:t>
      </w:r>
      <w:proofErr w:type="spellEnd"/>
      <w:r w:rsidRPr="00B15A10">
        <w:rPr>
          <w:lang w:val="en-US"/>
        </w:rPr>
        <w:t xml:space="preserve">, “Portrait Busts of Children in Quattrocento Florence,” </w:t>
      </w:r>
      <w:r w:rsidRPr="00B15A10">
        <w:rPr>
          <w:i/>
          <w:iCs/>
          <w:lang w:val="en-US"/>
        </w:rPr>
        <w:t>Metropolitan Museum Journal</w:t>
      </w:r>
      <w:r w:rsidRPr="00B15A10">
        <w:rPr>
          <w:lang w:val="en-US"/>
        </w:rPr>
        <w:t xml:space="preserve"> 30 (1995): 64; see also </w:t>
      </w:r>
      <w:proofErr w:type="spellStart"/>
      <w:r w:rsidRPr="00B15A10">
        <w:rPr>
          <w:lang w:val="en-US"/>
        </w:rPr>
        <w:t>Fortini</w:t>
      </w:r>
      <w:proofErr w:type="spellEnd"/>
      <w:r w:rsidRPr="00B15A10">
        <w:rPr>
          <w:lang w:val="en-US"/>
        </w:rPr>
        <w:t xml:space="preserve"> Brown, “Children and Education,” 136–37.</w:t>
      </w:r>
    </w:p>
  </w:footnote>
  <w:footnote w:id="163">
    <w:p w14:paraId="36A4BFCA" w14:textId="77777777" w:rsidR="00182EED" w:rsidRDefault="00182EED" w:rsidP="001840E8">
      <w:pPr>
        <w:pStyle w:val="FootnoteText"/>
      </w:pPr>
      <w:r w:rsidRPr="00391186">
        <w:rPr>
          <w:rStyle w:val="FootnoteReference"/>
        </w:rPr>
        <w:footnoteRef/>
      </w:r>
      <w:r>
        <w:t xml:space="preserve"> </w:t>
      </w:r>
      <w:proofErr w:type="spellStart"/>
      <w:r w:rsidRPr="00086AA9">
        <w:rPr>
          <w:lang w:val="en-US"/>
        </w:rPr>
        <w:t>Dominici’s</w:t>
      </w:r>
      <w:proofErr w:type="spellEnd"/>
      <w:r w:rsidRPr="00086AA9">
        <w:rPr>
          <w:lang w:val="en-US"/>
        </w:rPr>
        <w:t xml:space="preserve"> life and writing have been discussed by several scholars, of which the most </w:t>
      </w:r>
      <w:r w:rsidRPr="00325303">
        <w:rPr>
          <w:lang w:val="en-US"/>
        </w:rPr>
        <w:t>relevant in this case</w:t>
      </w:r>
      <w:r w:rsidRPr="00086AA9">
        <w:rPr>
          <w:lang w:val="en-US"/>
        </w:rPr>
        <w:t xml:space="preserve"> are: Giuseppina Battista, </w:t>
      </w:r>
      <w:proofErr w:type="spellStart"/>
      <w:r w:rsidRPr="00086AA9">
        <w:rPr>
          <w:i/>
          <w:iCs/>
          <w:lang w:val="en-US"/>
        </w:rPr>
        <w:t>L’educazione</w:t>
      </w:r>
      <w:proofErr w:type="spellEnd"/>
      <w:r w:rsidRPr="00086AA9">
        <w:rPr>
          <w:i/>
          <w:iCs/>
          <w:lang w:val="en-US"/>
        </w:rPr>
        <w:t xml:space="preserve"> </w:t>
      </w:r>
      <w:proofErr w:type="spellStart"/>
      <w:r w:rsidRPr="00086AA9">
        <w:rPr>
          <w:i/>
          <w:iCs/>
          <w:lang w:val="en-US"/>
        </w:rPr>
        <w:t>dei</w:t>
      </w:r>
      <w:proofErr w:type="spellEnd"/>
      <w:r w:rsidRPr="00086AA9">
        <w:rPr>
          <w:i/>
          <w:iCs/>
          <w:lang w:val="en-US"/>
        </w:rPr>
        <w:t xml:space="preserve"> </w:t>
      </w:r>
      <w:proofErr w:type="spellStart"/>
      <w:r w:rsidRPr="00086AA9">
        <w:rPr>
          <w:i/>
          <w:iCs/>
          <w:lang w:val="en-US"/>
        </w:rPr>
        <w:t>figli</w:t>
      </w:r>
      <w:proofErr w:type="spellEnd"/>
      <w:r w:rsidRPr="00086AA9">
        <w:rPr>
          <w:i/>
          <w:iCs/>
          <w:lang w:val="en-US"/>
        </w:rPr>
        <w:t xml:space="preserve"> </w:t>
      </w:r>
      <w:proofErr w:type="spellStart"/>
      <w:r w:rsidRPr="00086AA9">
        <w:rPr>
          <w:i/>
          <w:iCs/>
          <w:lang w:val="en-US"/>
        </w:rPr>
        <w:t>nella</w:t>
      </w:r>
      <w:proofErr w:type="spellEnd"/>
      <w:r w:rsidRPr="00086AA9">
        <w:rPr>
          <w:i/>
          <w:iCs/>
          <w:lang w:val="en-US"/>
        </w:rPr>
        <w:t xml:space="preserve"> </w:t>
      </w:r>
      <w:proofErr w:type="spellStart"/>
      <w:r w:rsidRPr="00086AA9">
        <w:rPr>
          <w:i/>
          <w:iCs/>
          <w:lang w:val="en-US"/>
        </w:rPr>
        <w:t>regola</w:t>
      </w:r>
      <w:proofErr w:type="spellEnd"/>
      <w:r w:rsidRPr="00086AA9">
        <w:rPr>
          <w:i/>
          <w:iCs/>
          <w:lang w:val="en-US"/>
        </w:rPr>
        <w:t xml:space="preserve"> di Giovanni </w:t>
      </w:r>
      <w:proofErr w:type="spellStart"/>
      <w:r w:rsidRPr="00086AA9">
        <w:rPr>
          <w:i/>
          <w:iCs/>
          <w:lang w:val="en-US"/>
        </w:rPr>
        <w:t>Dominici</w:t>
      </w:r>
      <w:proofErr w:type="spellEnd"/>
      <w:r w:rsidRPr="00086AA9">
        <w:rPr>
          <w:lang w:val="en-US"/>
        </w:rPr>
        <w:t xml:space="preserve"> (Florence: </w:t>
      </w:r>
      <w:proofErr w:type="spellStart"/>
      <w:r w:rsidRPr="00086AA9">
        <w:rPr>
          <w:lang w:val="en-US"/>
        </w:rPr>
        <w:t>Pagnini</w:t>
      </w:r>
      <w:proofErr w:type="spellEnd"/>
      <w:r w:rsidRPr="00086AA9">
        <w:rPr>
          <w:lang w:val="en-US"/>
        </w:rPr>
        <w:t xml:space="preserve"> and Martinelli, 2002); Pino Da </w:t>
      </w:r>
      <w:proofErr w:type="spellStart"/>
      <w:r w:rsidRPr="00086AA9">
        <w:rPr>
          <w:lang w:val="en-US"/>
        </w:rPr>
        <w:t>Prati</w:t>
      </w:r>
      <w:proofErr w:type="spellEnd"/>
      <w:r w:rsidRPr="00086AA9">
        <w:rPr>
          <w:lang w:val="en-US"/>
        </w:rPr>
        <w:t xml:space="preserve">, </w:t>
      </w:r>
      <w:r w:rsidRPr="00086AA9">
        <w:rPr>
          <w:i/>
          <w:iCs/>
          <w:lang w:val="en-US"/>
        </w:rPr>
        <w:t xml:space="preserve">Giovanni </w:t>
      </w:r>
      <w:proofErr w:type="spellStart"/>
      <w:r w:rsidRPr="00086AA9">
        <w:rPr>
          <w:i/>
          <w:iCs/>
          <w:lang w:val="en-US"/>
        </w:rPr>
        <w:t>Dominici</w:t>
      </w:r>
      <w:proofErr w:type="spellEnd"/>
      <w:r w:rsidRPr="00086AA9">
        <w:rPr>
          <w:i/>
          <w:iCs/>
          <w:lang w:val="en-US"/>
        </w:rPr>
        <w:t xml:space="preserve"> e </w:t>
      </w:r>
      <w:proofErr w:type="spellStart"/>
      <w:r w:rsidRPr="00086AA9">
        <w:rPr>
          <w:i/>
          <w:iCs/>
          <w:lang w:val="en-US"/>
        </w:rPr>
        <w:t>l’Umanesimo</w:t>
      </w:r>
      <w:proofErr w:type="spellEnd"/>
      <w:r w:rsidRPr="00086AA9">
        <w:rPr>
          <w:lang w:val="en-US"/>
        </w:rPr>
        <w:t xml:space="preserve"> (Naples: </w:t>
      </w:r>
      <w:proofErr w:type="spellStart"/>
      <w:r w:rsidRPr="00086AA9">
        <w:rPr>
          <w:lang w:val="en-US"/>
        </w:rPr>
        <w:t>Istituto</w:t>
      </w:r>
      <w:proofErr w:type="spellEnd"/>
      <w:r w:rsidRPr="00086AA9">
        <w:rPr>
          <w:lang w:val="en-US"/>
        </w:rPr>
        <w:t xml:space="preserve"> </w:t>
      </w:r>
      <w:proofErr w:type="spellStart"/>
      <w:r w:rsidRPr="00086AA9">
        <w:rPr>
          <w:lang w:val="en-US"/>
        </w:rPr>
        <w:t>Editoriale</w:t>
      </w:r>
      <w:proofErr w:type="spellEnd"/>
      <w:r w:rsidRPr="00086AA9">
        <w:rPr>
          <w:lang w:val="en-US"/>
        </w:rPr>
        <w:t xml:space="preserve"> del </w:t>
      </w:r>
      <w:proofErr w:type="spellStart"/>
      <w:r w:rsidRPr="00086AA9">
        <w:rPr>
          <w:lang w:val="en-US"/>
        </w:rPr>
        <w:t>Mezzogiorno</w:t>
      </w:r>
      <w:proofErr w:type="spellEnd"/>
      <w:r w:rsidRPr="00086AA9">
        <w:rPr>
          <w:lang w:val="en-US"/>
        </w:rPr>
        <w:t xml:space="preserve">, 1965); </w:t>
      </w:r>
      <w:proofErr w:type="spellStart"/>
      <w:r w:rsidRPr="00086AA9">
        <w:rPr>
          <w:lang w:val="en-US"/>
        </w:rPr>
        <w:t>Nirit</w:t>
      </w:r>
      <w:proofErr w:type="spellEnd"/>
      <w:r w:rsidRPr="00086AA9">
        <w:rPr>
          <w:lang w:val="en-US"/>
        </w:rPr>
        <w:t xml:space="preserve"> Ben-Aryeh Debby, </w:t>
      </w:r>
      <w:r w:rsidRPr="00086AA9">
        <w:rPr>
          <w:i/>
          <w:iCs/>
          <w:lang w:val="en-US"/>
        </w:rPr>
        <w:t xml:space="preserve">Renaissance Florence in the Rhetoric of Two Popular Preachers: Giovanni </w:t>
      </w:r>
      <w:proofErr w:type="spellStart"/>
      <w:r w:rsidRPr="00086AA9">
        <w:rPr>
          <w:i/>
          <w:iCs/>
          <w:lang w:val="en-US"/>
        </w:rPr>
        <w:t>Dominici</w:t>
      </w:r>
      <w:proofErr w:type="spellEnd"/>
      <w:r w:rsidRPr="00086AA9">
        <w:rPr>
          <w:i/>
          <w:iCs/>
          <w:lang w:val="en-US"/>
        </w:rPr>
        <w:t xml:space="preserve"> (1356-1419) and Bernardino Da Siena (1380-1444)</w:t>
      </w:r>
      <w:r w:rsidRPr="00086AA9">
        <w:rPr>
          <w:lang w:val="en-US"/>
        </w:rPr>
        <w:t xml:space="preserve"> (Turnhout: </w:t>
      </w:r>
      <w:proofErr w:type="spellStart"/>
      <w:r w:rsidRPr="00086AA9">
        <w:rPr>
          <w:lang w:val="en-US"/>
        </w:rPr>
        <w:t>Brepols</w:t>
      </w:r>
      <w:proofErr w:type="spellEnd"/>
      <w:r w:rsidRPr="00086AA9">
        <w:rPr>
          <w:lang w:val="en-US"/>
        </w:rPr>
        <w:t xml:space="preserve">, 2001); </w:t>
      </w:r>
      <w:proofErr w:type="spellStart"/>
      <w:r w:rsidRPr="00086AA9">
        <w:rPr>
          <w:lang w:val="en-US"/>
        </w:rPr>
        <w:t>Nirit</w:t>
      </w:r>
      <w:proofErr w:type="spellEnd"/>
      <w:r w:rsidRPr="00086AA9">
        <w:rPr>
          <w:lang w:val="en-US"/>
        </w:rPr>
        <w:t xml:space="preserve"> Ben-Aryeh Debby, “Political Views in the Preaching of Giovanni </w:t>
      </w:r>
      <w:proofErr w:type="spellStart"/>
      <w:r w:rsidRPr="00086AA9">
        <w:rPr>
          <w:lang w:val="en-US"/>
        </w:rPr>
        <w:t>Dominici</w:t>
      </w:r>
      <w:proofErr w:type="spellEnd"/>
      <w:r w:rsidRPr="00086AA9">
        <w:rPr>
          <w:lang w:val="en-US"/>
        </w:rPr>
        <w:t xml:space="preserve"> in Renaissance Florence, 1400-1406,” </w:t>
      </w:r>
      <w:r w:rsidRPr="00086AA9">
        <w:rPr>
          <w:i/>
          <w:iCs/>
          <w:lang w:val="en-US"/>
        </w:rPr>
        <w:t>Renaissance Quarterly</w:t>
      </w:r>
      <w:r w:rsidRPr="00086AA9">
        <w:rPr>
          <w:lang w:val="en-US"/>
        </w:rPr>
        <w:t xml:space="preserve"> 55, no. 1 (2002): 19–48; Arthur Basil </w:t>
      </w:r>
      <w:proofErr w:type="spellStart"/>
      <w:r w:rsidRPr="00086AA9">
        <w:rPr>
          <w:lang w:val="en-US"/>
        </w:rPr>
        <w:t>Coté</w:t>
      </w:r>
      <w:proofErr w:type="spellEnd"/>
      <w:r w:rsidRPr="00086AA9">
        <w:rPr>
          <w:lang w:val="en-US"/>
        </w:rPr>
        <w:t>, “</w:t>
      </w:r>
      <w:proofErr w:type="spellStart"/>
      <w:r w:rsidRPr="00086AA9">
        <w:rPr>
          <w:lang w:val="en-US"/>
        </w:rPr>
        <w:t>Regola</w:t>
      </w:r>
      <w:proofErr w:type="spellEnd"/>
      <w:r w:rsidRPr="00086AA9">
        <w:rPr>
          <w:lang w:val="en-US"/>
        </w:rPr>
        <w:t xml:space="preserve"> Del </w:t>
      </w:r>
      <w:proofErr w:type="spellStart"/>
      <w:r w:rsidRPr="00086AA9">
        <w:rPr>
          <w:lang w:val="en-US"/>
        </w:rPr>
        <w:t>Governo</w:t>
      </w:r>
      <w:proofErr w:type="spellEnd"/>
      <w:r w:rsidRPr="00086AA9">
        <w:rPr>
          <w:lang w:val="en-US"/>
        </w:rPr>
        <w:t xml:space="preserve"> Di </w:t>
      </w:r>
      <w:proofErr w:type="spellStart"/>
      <w:r w:rsidRPr="00086AA9">
        <w:rPr>
          <w:lang w:val="en-US"/>
        </w:rPr>
        <w:t>Cura</w:t>
      </w:r>
      <w:proofErr w:type="spellEnd"/>
      <w:r w:rsidRPr="00086AA9">
        <w:rPr>
          <w:lang w:val="en-US"/>
        </w:rPr>
        <w:t xml:space="preserve"> </w:t>
      </w:r>
      <w:proofErr w:type="spellStart"/>
      <w:r w:rsidRPr="00086AA9">
        <w:rPr>
          <w:lang w:val="en-US"/>
        </w:rPr>
        <w:t>Familiare</w:t>
      </w:r>
      <w:proofErr w:type="spellEnd"/>
      <w:r w:rsidRPr="00086AA9">
        <w:rPr>
          <w:lang w:val="en-US"/>
        </w:rPr>
        <w:t xml:space="preserve">, </w:t>
      </w:r>
      <w:proofErr w:type="spellStart"/>
      <w:r w:rsidRPr="00086AA9">
        <w:rPr>
          <w:lang w:val="en-US"/>
        </w:rPr>
        <w:t>Parte</w:t>
      </w:r>
      <w:proofErr w:type="spellEnd"/>
      <w:r w:rsidRPr="00086AA9">
        <w:rPr>
          <w:lang w:val="en-US"/>
        </w:rPr>
        <w:t xml:space="preserve"> </w:t>
      </w:r>
      <w:proofErr w:type="spellStart"/>
      <w:r w:rsidRPr="00086AA9">
        <w:rPr>
          <w:lang w:val="en-US"/>
        </w:rPr>
        <w:t>Quarta</w:t>
      </w:r>
      <w:proofErr w:type="spellEnd"/>
      <w:r w:rsidRPr="00086AA9">
        <w:rPr>
          <w:lang w:val="en-US"/>
        </w:rPr>
        <w:t xml:space="preserve">: </w:t>
      </w:r>
      <w:r w:rsidRPr="00086AA9">
        <w:rPr>
          <w:i/>
          <w:iCs/>
          <w:lang w:val="en-US"/>
        </w:rPr>
        <w:t>On the Education of Children</w:t>
      </w:r>
      <w:r w:rsidRPr="00086AA9">
        <w:rPr>
          <w:lang w:val="en-US"/>
        </w:rPr>
        <w:t>” (The Catholic University of America, 1927).</w:t>
      </w:r>
    </w:p>
  </w:footnote>
  <w:footnote w:id="164">
    <w:p w14:paraId="695E81C5" w14:textId="77777777" w:rsidR="00182EED" w:rsidRDefault="00182EED" w:rsidP="001840E8">
      <w:pPr>
        <w:pStyle w:val="FootnoteText"/>
      </w:pPr>
      <w:r w:rsidRPr="00391186">
        <w:rPr>
          <w:rStyle w:val="FootnoteReference"/>
        </w:rPr>
        <w:footnoteRef/>
      </w:r>
      <w:r>
        <w:t xml:space="preserve"> </w:t>
      </w:r>
      <w:r w:rsidRPr="00391186">
        <w:rPr>
          <w:lang w:val="en-US"/>
        </w:rPr>
        <w:t xml:space="preserve">The biography of </w:t>
      </w:r>
      <w:proofErr w:type="spellStart"/>
      <w:r w:rsidRPr="00391186">
        <w:rPr>
          <w:lang w:val="en-US"/>
        </w:rPr>
        <w:t>Bartolomea</w:t>
      </w:r>
      <w:proofErr w:type="spellEnd"/>
      <w:r w:rsidRPr="00391186">
        <w:rPr>
          <w:lang w:val="en-US"/>
        </w:rPr>
        <w:t xml:space="preserve"> </w:t>
      </w:r>
      <w:proofErr w:type="spellStart"/>
      <w:r w:rsidRPr="00391186">
        <w:rPr>
          <w:lang w:val="en-US"/>
        </w:rPr>
        <w:t>degli</w:t>
      </w:r>
      <w:proofErr w:type="spellEnd"/>
      <w:r w:rsidRPr="00391186">
        <w:rPr>
          <w:lang w:val="en-US"/>
        </w:rPr>
        <w:t xml:space="preserve"> Alberti is reported in Donato Salvi, “</w:t>
      </w:r>
      <w:proofErr w:type="spellStart"/>
      <w:r w:rsidRPr="00391186">
        <w:rPr>
          <w:lang w:val="en-US"/>
        </w:rPr>
        <w:t>Prefazione</w:t>
      </w:r>
      <w:proofErr w:type="spellEnd"/>
      <w:r w:rsidRPr="00391186">
        <w:rPr>
          <w:lang w:val="en-US"/>
        </w:rPr>
        <w:t xml:space="preserve">,” in </w:t>
      </w:r>
      <w:proofErr w:type="spellStart"/>
      <w:r w:rsidRPr="00391186">
        <w:rPr>
          <w:i/>
          <w:iCs/>
          <w:lang w:val="en-US"/>
        </w:rPr>
        <w:t>Regola</w:t>
      </w:r>
      <w:proofErr w:type="spellEnd"/>
      <w:r w:rsidRPr="00391186">
        <w:rPr>
          <w:i/>
          <w:iCs/>
          <w:lang w:val="en-US"/>
        </w:rPr>
        <w:t xml:space="preserve"> Del </w:t>
      </w:r>
      <w:proofErr w:type="spellStart"/>
      <w:r w:rsidRPr="00391186">
        <w:rPr>
          <w:i/>
          <w:iCs/>
          <w:lang w:val="en-US"/>
        </w:rPr>
        <w:t>Governo</w:t>
      </w:r>
      <w:proofErr w:type="spellEnd"/>
      <w:r w:rsidRPr="00391186">
        <w:rPr>
          <w:i/>
          <w:iCs/>
          <w:lang w:val="en-US"/>
        </w:rPr>
        <w:t xml:space="preserve"> Di </w:t>
      </w:r>
      <w:proofErr w:type="spellStart"/>
      <w:r w:rsidRPr="00391186">
        <w:rPr>
          <w:i/>
          <w:iCs/>
          <w:lang w:val="en-US"/>
        </w:rPr>
        <w:t>Cura</w:t>
      </w:r>
      <w:proofErr w:type="spellEnd"/>
      <w:r w:rsidRPr="00391186">
        <w:rPr>
          <w:i/>
          <w:iCs/>
          <w:lang w:val="en-US"/>
        </w:rPr>
        <w:t xml:space="preserve"> </w:t>
      </w:r>
      <w:proofErr w:type="spellStart"/>
      <w:r w:rsidRPr="00391186">
        <w:rPr>
          <w:i/>
          <w:iCs/>
          <w:lang w:val="en-US"/>
        </w:rPr>
        <w:t>Familiare</w:t>
      </w:r>
      <w:proofErr w:type="spellEnd"/>
      <w:r w:rsidRPr="00391186">
        <w:rPr>
          <w:lang w:val="en-US"/>
        </w:rPr>
        <w:t xml:space="preserve">, ed. Donato Salvi (Florence: </w:t>
      </w:r>
      <w:proofErr w:type="spellStart"/>
      <w:r w:rsidRPr="00391186">
        <w:rPr>
          <w:lang w:val="en-US"/>
        </w:rPr>
        <w:t>Angiolo</w:t>
      </w:r>
      <w:proofErr w:type="spellEnd"/>
      <w:r w:rsidRPr="00391186">
        <w:rPr>
          <w:lang w:val="en-US"/>
        </w:rPr>
        <w:t xml:space="preserve"> </w:t>
      </w:r>
      <w:proofErr w:type="spellStart"/>
      <w:r w:rsidRPr="00391186">
        <w:rPr>
          <w:lang w:val="en-US"/>
        </w:rPr>
        <w:t>Garinei</w:t>
      </w:r>
      <w:proofErr w:type="spellEnd"/>
      <w:r w:rsidRPr="00391186">
        <w:rPr>
          <w:lang w:val="en-US"/>
        </w:rPr>
        <w:t xml:space="preserve"> </w:t>
      </w:r>
      <w:proofErr w:type="spellStart"/>
      <w:r w:rsidRPr="00391186">
        <w:rPr>
          <w:lang w:val="en-US"/>
        </w:rPr>
        <w:t>Libraio</w:t>
      </w:r>
      <w:proofErr w:type="spellEnd"/>
      <w:r w:rsidRPr="00391186">
        <w:rPr>
          <w:lang w:val="en-US"/>
        </w:rPr>
        <w:t>, 1860), lxxiii–lxxxi.</w:t>
      </w:r>
    </w:p>
  </w:footnote>
  <w:footnote w:id="165">
    <w:p w14:paraId="69A55727" w14:textId="77777777" w:rsidR="00182EED" w:rsidRDefault="00182EED" w:rsidP="001840E8">
      <w:pPr>
        <w:pStyle w:val="FootnoteText"/>
      </w:pPr>
      <w:r w:rsidRPr="00391186">
        <w:rPr>
          <w:rStyle w:val="FootnoteReference"/>
        </w:rPr>
        <w:footnoteRef/>
      </w:r>
      <w:r>
        <w:t xml:space="preserve"> </w:t>
      </w:r>
      <w:r w:rsidRPr="003A39D2">
        <w:rPr>
          <w:lang w:val="en-US"/>
        </w:rPr>
        <w:t>“La prima [</w:t>
      </w:r>
      <w:proofErr w:type="spellStart"/>
      <w:r w:rsidRPr="003A39D2">
        <w:rPr>
          <w:lang w:val="en-US"/>
        </w:rPr>
        <w:t>regoluzza</w:t>
      </w:r>
      <w:proofErr w:type="spellEnd"/>
      <w:r w:rsidRPr="003A39D2">
        <w:rPr>
          <w:lang w:val="en-US"/>
        </w:rPr>
        <w:t xml:space="preserve">] </w:t>
      </w:r>
      <w:proofErr w:type="spellStart"/>
      <w:r w:rsidRPr="003A39D2">
        <w:rPr>
          <w:lang w:val="en-US"/>
        </w:rPr>
        <w:t>si</w:t>
      </w:r>
      <w:proofErr w:type="spellEnd"/>
      <w:r w:rsidRPr="003A39D2">
        <w:rPr>
          <w:lang w:val="en-US"/>
        </w:rPr>
        <w:t xml:space="preserve"> è </w:t>
      </w:r>
      <w:proofErr w:type="spellStart"/>
      <w:r w:rsidRPr="003A39D2">
        <w:rPr>
          <w:lang w:val="en-US"/>
        </w:rPr>
        <w:t>d’avere</w:t>
      </w:r>
      <w:proofErr w:type="spellEnd"/>
      <w:r w:rsidRPr="003A39D2">
        <w:rPr>
          <w:lang w:val="en-US"/>
        </w:rPr>
        <w:t xml:space="preserve"> </w:t>
      </w:r>
      <w:proofErr w:type="spellStart"/>
      <w:r w:rsidRPr="003A39D2">
        <w:rPr>
          <w:lang w:val="en-US"/>
        </w:rPr>
        <w:t>dipinture</w:t>
      </w:r>
      <w:proofErr w:type="spellEnd"/>
      <w:r w:rsidRPr="003A39D2">
        <w:rPr>
          <w:lang w:val="en-US"/>
        </w:rPr>
        <w:t xml:space="preserve"> in casa di </w:t>
      </w:r>
      <w:proofErr w:type="spellStart"/>
      <w:r w:rsidRPr="003A39D2">
        <w:rPr>
          <w:lang w:val="en-US"/>
        </w:rPr>
        <w:t>santi</w:t>
      </w:r>
      <w:proofErr w:type="spellEnd"/>
      <w:r w:rsidRPr="003A39D2">
        <w:rPr>
          <w:lang w:val="en-US"/>
        </w:rPr>
        <w:t xml:space="preserve"> </w:t>
      </w:r>
      <w:proofErr w:type="spellStart"/>
      <w:r w:rsidRPr="003A39D2">
        <w:rPr>
          <w:lang w:val="en-US"/>
        </w:rPr>
        <w:t>fanciulli</w:t>
      </w:r>
      <w:proofErr w:type="spellEnd"/>
      <w:r w:rsidRPr="003A39D2">
        <w:rPr>
          <w:lang w:val="en-US"/>
        </w:rPr>
        <w:t xml:space="preserve"> o </w:t>
      </w:r>
      <w:proofErr w:type="spellStart"/>
      <w:r w:rsidRPr="003A39D2">
        <w:rPr>
          <w:lang w:val="en-US"/>
        </w:rPr>
        <w:t>vergini</w:t>
      </w:r>
      <w:proofErr w:type="spellEnd"/>
      <w:r w:rsidRPr="003A39D2">
        <w:rPr>
          <w:lang w:val="en-US"/>
        </w:rPr>
        <w:t xml:space="preserve"> </w:t>
      </w:r>
      <w:proofErr w:type="spellStart"/>
      <w:r w:rsidRPr="003A39D2">
        <w:rPr>
          <w:lang w:val="en-US"/>
        </w:rPr>
        <w:t>giovanette</w:t>
      </w:r>
      <w:proofErr w:type="spellEnd"/>
      <w:r w:rsidRPr="003A39D2">
        <w:rPr>
          <w:lang w:val="en-US"/>
        </w:rPr>
        <w:t xml:space="preserve">, </w:t>
      </w:r>
      <w:proofErr w:type="spellStart"/>
      <w:r w:rsidRPr="003A39D2">
        <w:rPr>
          <w:lang w:val="en-US"/>
        </w:rPr>
        <w:t>nelle</w:t>
      </w:r>
      <w:proofErr w:type="spellEnd"/>
      <w:r w:rsidRPr="003A39D2">
        <w:rPr>
          <w:lang w:val="en-US"/>
        </w:rPr>
        <w:t xml:space="preserve"> </w:t>
      </w:r>
      <w:proofErr w:type="spellStart"/>
      <w:r w:rsidRPr="003A39D2">
        <w:rPr>
          <w:lang w:val="en-US"/>
        </w:rPr>
        <w:t>quali</w:t>
      </w:r>
      <w:proofErr w:type="spellEnd"/>
      <w:r w:rsidRPr="003A39D2">
        <w:rPr>
          <w:lang w:val="en-US"/>
        </w:rPr>
        <w:t xml:space="preserve"> </w:t>
      </w:r>
      <w:proofErr w:type="spellStart"/>
      <w:r w:rsidRPr="003A39D2">
        <w:rPr>
          <w:lang w:val="en-US"/>
        </w:rPr>
        <w:t>il</w:t>
      </w:r>
      <w:proofErr w:type="spellEnd"/>
      <w:r w:rsidRPr="003A39D2">
        <w:rPr>
          <w:lang w:val="en-US"/>
        </w:rPr>
        <w:t xml:space="preserve"> </w:t>
      </w:r>
      <w:proofErr w:type="spellStart"/>
      <w:r w:rsidRPr="003A39D2">
        <w:rPr>
          <w:lang w:val="en-US"/>
        </w:rPr>
        <w:t>tuo</w:t>
      </w:r>
      <w:proofErr w:type="spellEnd"/>
      <w:r w:rsidRPr="003A39D2">
        <w:rPr>
          <w:lang w:val="en-US"/>
        </w:rPr>
        <w:t xml:space="preserve"> </w:t>
      </w:r>
      <w:proofErr w:type="spellStart"/>
      <w:r w:rsidRPr="003A39D2">
        <w:rPr>
          <w:lang w:val="en-US"/>
        </w:rPr>
        <w:t>figliuolo</w:t>
      </w:r>
      <w:proofErr w:type="spellEnd"/>
      <w:r w:rsidRPr="003A39D2">
        <w:rPr>
          <w:lang w:val="en-US"/>
        </w:rPr>
        <w:t xml:space="preserve">, </w:t>
      </w:r>
      <w:proofErr w:type="spellStart"/>
      <w:r w:rsidRPr="003A39D2">
        <w:rPr>
          <w:lang w:val="en-US"/>
        </w:rPr>
        <w:t>ancor</w:t>
      </w:r>
      <w:proofErr w:type="spellEnd"/>
      <w:r w:rsidRPr="003A39D2">
        <w:rPr>
          <w:lang w:val="en-US"/>
        </w:rPr>
        <w:t xml:space="preserve"> </w:t>
      </w:r>
      <w:proofErr w:type="spellStart"/>
      <w:r w:rsidRPr="003A39D2">
        <w:rPr>
          <w:lang w:val="en-US"/>
        </w:rPr>
        <w:t>nelle</w:t>
      </w:r>
      <w:proofErr w:type="spellEnd"/>
      <w:r w:rsidRPr="003A39D2">
        <w:rPr>
          <w:lang w:val="en-US"/>
        </w:rPr>
        <w:t xml:space="preserve"> </w:t>
      </w:r>
      <w:proofErr w:type="spellStart"/>
      <w:r w:rsidRPr="003A39D2">
        <w:rPr>
          <w:lang w:val="en-US"/>
        </w:rPr>
        <w:t>fascie</w:t>
      </w:r>
      <w:proofErr w:type="spellEnd"/>
      <w:r w:rsidRPr="003A39D2">
        <w:rPr>
          <w:lang w:val="en-US"/>
        </w:rPr>
        <w:t xml:space="preserve">, </w:t>
      </w:r>
      <w:proofErr w:type="spellStart"/>
      <w:r w:rsidRPr="003A39D2">
        <w:rPr>
          <w:lang w:val="en-US"/>
        </w:rPr>
        <w:t>si</w:t>
      </w:r>
      <w:proofErr w:type="spellEnd"/>
      <w:r w:rsidRPr="003A39D2">
        <w:rPr>
          <w:lang w:val="en-US"/>
        </w:rPr>
        <w:t xml:space="preserve"> </w:t>
      </w:r>
      <w:proofErr w:type="spellStart"/>
      <w:r w:rsidRPr="003A39D2">
        <w:rPr>
          <w:lang w:val="en-US"/>
        </w:rPr>
        <w:t>diletti</w:t>
      </w:r>
      <w:proofErr w:type="spellEnd"/>
      <w:r w:rsidRPr="003A39D2">
        <w:rPr>
          <w:lang w:val="en-US"/>
        </w:rPr>
        <w:t xml:space="preserve"> come simile e dal simile </w:t>
      </w:r>
      <w:proofErr w:type="spellStart"/>
      <w:r w:rsidRPr="003A39D2">
        <w:rPr>
          <w:lang w:val="en-US"/>
        </w:rPr>
        <w:t>rapito</w:t>
      </w:r>
      <w:proofErr w:type="spellEnd"/>
      <w:r w:rsidRPr="003A39D2">
        <w:rPr>
          <w:lang w:val="en-US"/>
        </w:rPr>
        <w:t xml:space="preserve">, con </w:t>
      </w:r>
      <w:proofErr w:type="spellStart"/>
      <w:r w:rsidRPr="003A39D2">
        <w:rPr>
          <w:lang w:val="en-US"/>
        </w:rPr>
        <w:t>atti</w:t>
      </w:r>
      <w:proofErr w:type="spellEnd"/>
      <w:r w:rsidRPr="003A39D2">
        <w:rPr>
          <w:lang w:val="en-US"/>
        </w:rPr>
        <w:t xml:space="preserve"> e </w:t>
      </w:r>
      <w:proofErr w:type="spellStart"/>
      <w:r w:rsidRPr="003A39D2">
        <w:rPr>
          <w:lang w:val="en-US"/>
        </w:rPr>
        <w:t>segni</w:t>
      </w:r>
      <w:proofErr w:type="spellEnd"/>
      <w:r w:rsidRPr="003A39D2">
        <w:rPr>
          <w:lang w:val="en-US"/>
        </w:rPr>
        <w:t xml:space="preserve"> </w:t>
      </w:r>
      <w:proofErr w:type="spellStart"/>
      <w:r w:rsidRPr="003A39D2">
        <w:rPr>
          <w:lang w:val="en-US"/>
        </w:rPr>
        <w:t>grati</w:t>
      </w:r>
      <w:proofErr w:type="spellEnd"/>
      <w:r w:rsidRPr="003A39D2">
        <w:rPr>
          <w:lang w:val="en-US"/>
        </w:rPr>
        <w:t xml:space="preserve"> </w:t>
      </w:r>
      <w:proofErr w:type="spellStart"/>
      <w:r w:rsidRPr="003A39D2">
        <w:rPr>
          <w:lang w:val="en-US"/>
        </w:rPr>
        <w:t>all’infanzia</w:t>
      </w:r>
      <w:proofErr w:type="spellEnd"/>
      <w:r w:rsidRPr="003A39D2">
        <w:rPr>
          <w:lang w:val="en-US"/>
        </w:rPr>
        <w:t xml:space="preserve">. E come </w:t>
      </w:r>
      <w:proofErr w:type="spellStart"/>
      <w:r w:rsidRPr="003A39D2">
        <w:rPr>
          <w:lang w:val="en-US"/>
        </w:rPr>
        <w:t>dico</w:t>
      </w:r>
      <w:proofErr w:type="spellEnd"/>
      <w:r w:rsidRPr="003A39D2">
        <w:rPr>
          <w:lang w:val="en-US"/>
        </w:rPr>
        <w:t xml:space="preserve"> di </w:t>
      </w:r>
      <w:proofErr w:type="spellStart"/>
      <w:r w:rsidRPr="003A39D2">
        <w:rPr>
          <w:lang w:val="en-US"/>
        </w:rPr>
        <w:t>pinture</w:t>
      </w:r>
      <w:proofErr w:type="spellEnd"/>
      <w:r w:rsidRPr="003A39D2">
        <w:rPr>
          <w:lang w:val="en-US"/>
        </w:rPr>
        <w:t xml:space="preserve">, </w:t>
      </w:r>
      <w:proofErr w:type="spellStart"/>
      <w:r w:rsidRPr="003A39D2">
        <w:rPr>
          <w:lang w:val="en-US"/>
        </w:rPr>
        <w:t>così</w:t>
      </w:r>
      <w:proofErr w:type="spellEnd"/>
      <w:r w:rsidRPr="003A39D2">
        <w:rPr>
          <w:lang w:val="en-US"/>
        </w:rPr>
        <w:t xml:space="preserve"> </w:t>
      </w:r>
      <w:proofErr w:type="spellStart"/>
      <w:r w:rsidRPr="003A39D2">
        <w:rPr>
          <w:lang w:val="en-US"/>
        </w:rPr>
        <w:t>dico</w:t>
      </w:r>
      <w:proofErr w:type="spellEnd"/>
      <w:r w:rsidRPr="003A39D2">
        <w:rPr>
          <w:lang w:val="en-US"/>
        </w:rPr>
        <w:t xml:space="preserve"> di </w:t>
      </w:r>
      <w:proofErr w:type="spellStart"/>
      <w:r w:rsidRPr="003A39D2">
        <w:rPr>
          <w:lang w:val="en-US"/>
        </w:rPr>
        <w:t>scolture</w:t>
      </w:r>
      <w:proofErr w:type="spellEnd"/>
      <w:r w:rsidRPr="003A39D2">
        <w:rPr>
          <w:lang w:val="en-US"/>
        </w:rPr>
        <w:t xml:space="preserve">”. </w:t>
      </w:r>
      <w:proofErr w:type="spellStart"/>
      <w:r w:rsidRPr="003A39D2">
        <w:rPr>
          <w:lang w:val="en-US"/>
        </w:rPr>
        <w:t>Dominici</w:t>
      </w:r>
      <w:proofErr w:type="spellEnd"/>
      <w:r w:rsidRPr="003A39D2">
        <w:rPr>
          <w:lang w:val="en-US"/>
        </w:rPr>
        <w:t xml:space="preserve">, </w:t>
      </w:r>
      <w:proofErr w:type="spellStart"/>
      <w:r w:rsidRPr="003A39D2">
        <w:rPr>
          <w:i/>
          <w:iCs/>
          <w:lang w:val="en-US"/>
        </w:rPr>
        <w:t>Regola</w:t>
      </w:r>
      <w:proofErr w:type="spellEnd"/>
      <w:r w:rsidRPr="003A39D2">
        <w:rPr>
          <w:i/>
          <w:iCs/>
          <w:lang w:val="en-US"/>
        </w:rPr>
        <w:t xml:space="preserve"> Del </w:t>
      </w:r>
      <w:proofErr w:type="spellStart"/>
      <w:r w:rsidRPr="003A39D2">
        <w:rPr>
          <w:i/>
          <w:iCs/>
          <w:lang w:val="en-US"/>
        </w:rPr>
        <w:t>Governo</w:t>
      </w:r>
      <w:proofErr w:type="spellEnd"/>
      <w:r w:rsidRPr="003A39D2">
        <w:rPr>
          <w:i/>
          <w:iCs/>
          <w:lang w:val="en-US"/>
        </w:rPr>
        <w:t xml:space="preserve"> Di </w:t>
      </w:r>
      <w:proofErr w:type="spellStart"/>
      <w:r w:rsidRPr="003A39D2">
        <w:rPr>
          <w:i/>
          <w:iCs/>
          <w:lang w:val="en-US"/>
        </w:rPr>
        <w:t>Cura</w:t>
      </w:r>
      <w:proofErr w:type="spellEnd"/>
      <w:r w:rsidRPr="003A39D2">
        <w:rPr>
          <w:i/>
          <w:iCs/>
          <w:lang w:val="en-US"/>
        </w:rPr>
        <w:t xml:space="preserve"> </w:t>
      </w:r>
      <w:proofErr w:type="spellStart"/>
      <w:r w:rsidRPr="003A39D2">
        <w:rPr>
          <w:i/>
          <w:iCs/>
          <w:lang w:val="en-US"/>
        </w:rPr>
        <w:t>Familiare</w:t>
      </w:r>
      <w:proofErr w:type="spellEnd"/>
      <w:r w:rsidRPr="003A39D2">
        <w:rPr>
          <w:lang w:val="en-US"/>
        </w:rPr>
        <w:t xml:space="preserve">, 131–32. The translation in the text is mine; another English translation of </w:t>
      </w:r>
      <w:proofErr w:type="spellStart"/>
      <w:r w:rsidRPr="003A39D2">
        <w:rPr>
          <w:lang w:val="en-US"/>
        </w:rPr>
        <w:t>Dominici’s</w:t>
      </w:r>
      <w:proofErr w:type="spellEnd"/>
      <w:r w:rsidRPr="003A39D2">
        <w:rPr>
          <w:lang w:val="en-US"/>
        </w:rPr>
        <w:t xml:space="preserve"> text can be found in </w:t>
      </w:r>
      <w:proofErr w:type="spellStart"/>
      <w:r w:rsidRPr="003A39D2">
        <w:rPr>
          <w:lang w:val="en-US"/>
        </w:rPr>
        <w:t>Coté</w:t>
      </w:r>
      <w:proofErr w:type="spellEnd"/>
      <w:r w:rsidRPr="003A39D2">
        <w:rPr>
          <w:lang w:val="en-US"/>
        </w:rPr>
        <w:t>, “</w:t>
      </w:r>
      <w:proofErr w:type="spellStart"/>
      <w:r w:rsidRPr="003A39D2">
        <w:rPr>
          <w:lang w:val="en-US"/>
        </w:rPr>
        <w:t>Regola</w:t>
      </w:r>
      <w:proofErr w:type="spellEnd"/>
      <w:r w:rsidRPr="003A39D2">
        <w:rPr>
          <w:lang w:val="en-US"/>
        </w:rPr>
        <w:t xml:space="preserve"> Del </w:t>
      </w:r>
      <w:proofErr w:type="spellStart"/>
      <w:r w:rsidRPr="003A39D2">
        <w:rPr>
          <w:lang w:val="en-US"/>
        </w:rPr>
        <w:t>Governo</w:t>
      </w:r>
      <w:proofErr w:type="spellEnd"/>
      <w:r w:rsidRPr="003A39D2">
        <w:rPr>
          <w:lang w:val="en-US"/>
        </w:rPr>
        <w:t xml:space="preserve"> Di </w:t>
      </w:r>
      <w:proofErr w:type="spellStart"/>
      <w:r w:rsidRPr="003A39D2">
        <w:rPr>
          <w:lang w:val="en-US"/>
        </w:rPr>
        <w:t>Cura</w:t>
      </w:r>
      <w:proofErr w:type="spellEnd"/>
      <w:r w:rsidRPr="003A39D2">
        <w:rPr>
          <w:lang w:val="en-US"/>
        </w:rPr>
        <w:t xml:space="preserve"> </w:t>
      </w:r>
      <w:proofErr w:type="spellStart"/>
      <w:r w:rsidRPr="003A39D2">
        <w:rPr>
          <w:lang w:val="en-US"/>
        </w:rPr>
        <w:t>Familiare</w:t>
      </w:r>
      <w:proofErr w:type="spellEnd"/>
      <w:r w:rsidRPr="003A39D2">
        <w:rPr>
          <w:lang w:val="en-US"/>
        </w:rPr>
        <w:t xml:space="preserve">, </w:t>
      </w:r>
      <w:proofErr w:type="spellStart"/>
      <w:r w:rsidRPr="003A39D2">
        <w:rPr>
          <w:lang w:val="en-US"/>
        </w:rPr>
        <w:t>Parte</w:t>
      </w:r>
      <w:proofErr w:type="spellEnd"/>
      <w:r w:rsidRPr="003A39D2">
        <w:rPr>
          <w:lang w:val="en-US"/>
        </w:rPr>
        <w:t xml:space="preserve"> </w:t>
      </w:r>
      <w:proofErr w:type="spellStart"/>
      <w:r w:rsidRPr="003A39D2">
        <w:rPr>
          <w:lang w:val="en-US"/>
        </w:rPr>
        <w:t>Quarta</w:t>
      </w:r>
      <w:proofErr w:type="spellEnd"/>
      <w:r w:rsidRPr="003A39D2">
        <w:rPr>
          <w:lang w:val="en-US"/>
        </w:rPr>
        <w:t xml:space="preserve">: </w:t>
      </w:r>
      <w:r w:rsidRPr="003A39D2">
        <w:rPr>
          <w:i/>
          <w:iCs/>
          <w:lang w:val="en-US"/>
        </w:rPr>
        <w:t>On the Education of Children</w:t>
      </w:r>
      <w:r w:rsidRPr="003A39D2">
        <w:rPr>
          <w:lang w:val="en-US"/>
        </w:rPr>
        <w:t xml:space="preserve">,” 34; also quoted in </w:t>
      </w:r>
      <w:proofErr w:type="spellStart"/>
      <w:r w:rsidRPr="003A39D2">
        <w:rPr>
          <w:lang w:val="en-US"/>
        </w:rPr>
        <w:t>Fortini</w:t>
      </w:r>
      <w:proofErr w:type="spellEnd"/>
      <w:r w:rsidRPr="003A39D2">
        <w:rPr>
          <w:lang w:val="en-US"/>
        </w:rPr>
        <w:t xml:space="preserve"> Brown, “Children and Education,” 141.</w:t>
      </w:r>
    </w:p>
  </w:footnote>
  <w:footnote w:id="166">
    <w:p w14:paraId="070D654A" w14:textId="77777777" w:rsidR="00182EED" w:rsidRDefault="00182EED" w:rsidP="001840E8">
      <w:pPr>
        <w:pStyle w:val="FootnoteText"/>
      </w:pPr>
      <w:r w:rsidRPr="00391186">
        <w:rPr>
          <w:rStyle w:val="FootnoteReference"/>
        </w:rPr>
        <w:footnoteRef/>
      </w:r>
      <w:r>
        <w:t xml:space="preserve"> </w:t>
      </w:r>
      <w:proofErr w:type="spellStart"/>
      <w:r w:rsidRPr="00480722">
        <w:rPr>
          <w:lang w:val="en-US"/>
        </w:rPr>
        <w:t>Dominici</w:t>
      </w:r>
      <w:proofErr w:type="spellEnd"/>
      <w:r w:rsidRPr="00480722">
        <w:rPr>
          <w:lang w:val="en-US"/>
        </w:rPr>
        <w:t xml:space="preserve">, </w:t>
      </w:r>
      <w:proofErr w:type="spellStart"/>
      <w:r w:rsidRPr="00480722">
        <w:rPr>
          <w:i/>
          <w:iCs/>
          <w:lang w:val="en-US"/>
        </w:rPr>
        <w:t>Regola</w:t>
      </w:r>
      <w:proofErr w:type="spellEnd"/>
      <w:r w:rsidRPr="00480722">
        <w:rPr>
          <w:i/>
          <w:iCs/>
          <w:lang w:val="en-US"/>
        </w:rPr>
        <w:t xml:space="preserve"> Del </w:t>
      </w:r>
      <w:proofErr w:type="spellStart"/>
      <w:r w:rsidRPr="00480722">
        <w:rPr>
          <w:i/>
          <w:iCs/>
          <w:lang w:val="en-US"/>
        </w:rPr>
        <w:t>Governo</w:t>
      </w:r>
      <w:proofErr w:type="spellEnd"/>
      <w:r w:rsidRPr="00480722">
        <w:rPr>
          <w:i/>
          <w:iCs/>
          <w:lang w:val="en-US"/>
        </w:rPr>
        <w:t xml:space="preserve"> Di </w:t>
      </w:r>
      <w:proofErr w:type="spellStart"/>
      <w:r w:rsidRPr="00480722">
        <w:rPr>
          <w:i/>
          <w:iCs/>
          <w:lang w:val="en-US"/>
        </w:rPr>
        <w:t>Cura</w:t>
      </w:r>
      <w:proofErr w:type="spellEnd"/>
      <w:r w:rsidRPr="00480722">
        <w:rPr>
          <w:i/>
          <w:iCs/>
          <w:lang w:val="en-US"/>
        </w:rPr>
        <w:t xml:space="preserve"> </w:t>
      </w:r>
      <w:proofErr w:type="spellStart"/>
      <w:r w:rsidRPr="00480722">
        <w:rPr>
          <w:i/>
          <w:iCs/>
          <w:lang w:val="en-US"/>
        </w:rPr>
        <w:t>Familiare</w:t>
      </w:r>
      <w:proofErr w:type="spellEnd"/>
      <w:r w:rsidRPr="00480722">
        <w:rPr>
          <w:lang w:val="en-US"/>
        </w:rPr>
        <w:t>, 131–32.</w:t>
      </w:r>
    </w:p>
  </w:footnote>
  <w:footnote w:id="167">
    <w:p w14:paraId="27F36D80" w14:textId="77777777" w:rsidR="00182EED" w:rsidRPr="00724021" w:rsidRDefault="00182EED" w:rsidP="001840E8">
      <w:pPr>
        <w:pStyle w:val="FootnoteText"/>
        <w:rPr>
          <w:szCs w:val="18"/>
        </w:rPr>
      </w:pPr>
      <w:r w:rsidRPr="00391186">
        <w:rPr>
          <w:rStyle w:val="FootnoteReference"/>
        </w:rPr>
        <w:footnoteRef/>
      </w:r>
      <w:r w:rsidRPr="009F297A">
        <w:rPr>
          <w:szCs w:val="18"/>
        </w:rPr>
        <w:t xml:space="preserve"> On images compared to mirrors, see Chapter 3.1.1 of this thesis.</w:t>
      </w:r>
    </w:p>
  </w:footnote>
  <w:footnote w:id="168">
    <w:p w14:paraId="40BC8205" w14:textId="77777777" w:rsidR="00182EED" w:rsidRDefault="00182EED" w:rsidP="001840E8">
      <w:pPr>
        <w:pStyle w:val="FootnoteText"/>
      </w:pPr>
      <w:r w:rsidRPr="00391186">
        <w:rPr>
          <w:rStyle w:val="FootnoteReference"/>
        </w:rPr>
        <w:footnoteRef/>
      </w:r>
      <w:r>
        <w:t xml:space="preserve"> </w:t>
      </w:r>
      <w:proofErr w:type="spellStart"/>
      <w:r w:rsidRPr="00C54EE7">
        <w:rPr>
          <w:lang w:val="en-US"/>
        </w:rPr>
        <w:t>Dominici</w:t>
      </w:r>
      <w:proofErr w:type="spellEnd"/>
      <w:r w:rsidRPr="00C54EE7">
        <w:rPr>
          <w:lang w:val="en-US"/>
        </w:rPr>
        <w:t xml:space="preserve">, </w:t>
      </w:r>
      <w:proofErr w:type="spellStart"/>
      <w:r w:rsidRPr="00C54EE7">
        <w:rPr>
          <w:i/>
          <w:iCs/>
          <w:lang w:val="en-US"/>
        </w:rPr>
        <w:t>Regola</w:t>
      </w:r>
      <w:proofErr w:type="spellEnd"/>
      <w:r w:rsidRPr="00C54EE7">
        <w:rPr>
          <w:i/>
          <w:iCs/>
          <w:lang w:val="en-US"/>
        </w:rPr>
        <w:t xml:space="preserve"> Del </w:t>
      </w:r>
      <w:proofErr w:type="spellStart"/>
      <w:r w:rsidRPr="00C54EE7">
        <w:rPr>
          <w:i/>
          <w:iCs/>
          <w:lang w:val="en-US"/>
        </w:rPr>
        <w:t>Governo</w:t>
      </w:r>
      <w:proofErr w:type="spellEnd"/>
      <w:r w:rsidRPr="00C54EE7">
        <w:rPr>
          <w:i/>
          <w:iCs/>
          <w:lang w:val="en-US"/>
        </w:rPr>
        <w:t xml:space="preserve"> Di </w:t>
      </w:r>
      <w:proofErr w:type="spellStart"/>
      <w:r w:rsidRPr="00C54EE7">
        <w:rPr>
          <w:i/>
          <w:iCs/>
          <w:lang w:val="en-US"/>
        </w:rPr>
        <w:t>Cura</w:t>
      </w:r>
      <w:proofErr w:type="spellEnd"/>
      <w:r w:rsidRPr="00C54EE7">
        <w:rPr>
          <w:i/>
          <w:iCs/>
          <w:lang w:val="en-US"/>
        </w:rPr>
        <w:t xml:space="preserve"> </w:t>
      </w:r>
      <w:proofErr w:type="spellStart"/>
      <w:r w:rsidRPr="00C54EE7">
        <w:rPr>
          <w:i/>
          <w:iCs/>
          <w:lang w:val="en-US"/>
        </w:rPr>
        <w:t>Familiare</w:t>
      </w:r>
      <w:proofErr w:type="spellEnd"/>
      <w:r w:rsidRPr="00C54EE7">
        <w:rPr>
          <w:lang w:val="en-US"/>
        </w:rPr>
        <w:t>, 132.</w:t>
      </w:r>
    </w:p>
  </w:footnote>
  <w:footnote w:id="169">
    <w:p w14:paraId="1AD4CE57" w14:textId="77777777" w:rsidR="00182EED" w:rsidRDefault="00182EED" w:rsidP="001840E8">
      <w:pPr>
        <w:pStyle w:val="FootnoteText"/>
      </w:pPr>
      <w:r w:rsidRPr="00391186">
        <w:rPr>
          <w:rStyle w:val="FootnoteReference"/>
        </w:rPr>
        <w:footnoteRef/>
      </w:r>
      <w:r>
        <w:t xml:space="preserve"> </w:t>
      </w:r>
      <w:r w:rsidRPr="00391186">
        <w:rPr>
          <w:lang w:val="en-US"/>
        </w:rPr>
        <w:t>Salvi, “</w:t>
      </w:r>
      <w:proofErr w:type="spellStart"/>
      <w:r w:rsidRPr="00391186">
        <w:rPr>
          <w:lang w:val="en-US"/>
        </w:rPr>
        <w:t>Prefazione</w:t>
      </w:r>
      <w:proofErr w:type="spellEnd"/>
      <w:r w:rsidRPr="00391186">
        <w:rPr>
          <w:lang w:val="en-US"/>
        </w:rPr>
        <w:t xml:space="preserve">”; </w:t>
      </w:r>
      <w:proofErr w:type="spellStart"/>
      <w:r w:rsidRPr="00391186">
        <w:rPr>
          <w:lang w:val="en-US"/>
        </w:rPr>
        <w:t>Coté</w:t>
      </w:r>
      <w:proofErr w:type="spellEnd"/>
      <w:r w:rsidRPr="00391186">
        <w:rPr>
          <w:lang w:val="en-US"/>
        </w:rPr>
        <w:t>, “</w:t>
      </w:r>
      <w:proofErr w:type="spellStart"/>
      <w:r w:rsidRPr="00391186">
        <w:rPr>
          <w:lang w:val="en-US"/>
        </w:rPr>
        <w:t>Regola</w:t>
      </w:r>
      <w:proofErr w:type="spellEnd"/>
      <w:r w:rsidRPr="00391186">
        <w:rPr>
          <w:lang w:val="en-US"/>
        </w:rPr>
        <w:t xml:space="preserve"> Del </w:t>
      </w:r>
      <w:proofErr w:type="spellStart"/>
      <w:r w:rsidRPr="00391186">
        <w:rPr>
          <w:lang w:val="en-US"/>
        </w:rPr>
        <w:t>Governo</w:t>
      </w:r>
      <w:proofErr w:type="spellEnd"/>
      <w:r w:rsidRPr="00391186">
        <w:rPr>
          <w:lang w:val="en-US"/>
        </w:rPr>
        <w:t xml:space="preserve"> Di </w:t>
      </w:r>
      <w:proofErr w:type="spellStart"/>
      <w:r w:rsidRPr="00391186">
        <w:rPr>
          <w:lang w:val="en-US"/>
        </w:rPr>
        <w:t>Cura</w:t>
      </w:r>
      <w:proofErr w:type="spellEnd"/>
      <w:r w:rsidRPr="00391186">
        <w:rPr>
          <w:lang w:val="en-US"/>
        </w:rPr>
        <w:t xml:space="preserve"> </w:t>
      </w:r>
      <w:proofErr w:type="spellStart"/>
      <w:r w:rsidRPr="00391186">
        <w:rPr>
          <w:lang w:val="en-US"/>
        </w:rPr>
        <w:t>Familiare</w:t>
      </w:r>
      <w:proofErr w:type="spellEnd"/>
      <w:r w:rsidRPr="00391186">
        <w:rPr>
          <w:lang w:val="en-US"/>
        </w:rPr>
        <w:t xml:space="preserve">, </w:t>
      </w:r>
      <w:proofErr w:type="spellStart"/>
      <w:r w:rsidRPr="00391186">
        <w:rPr>
          <w:lang w:val="en-US"/>
        </w:rPr>
        <w:t>Parte</w:t>
      </w:r>
      <w:proofErr w:type="spellEnd"/>
      <w:r w:rsidRPr="00391186">
        <w:rPr>
          <w:lang w:val="en-US"/>
        </w:rPr>
        <w:t xml:space="preserve"> </w:t>
      </w:r>
      <w:proofErr w:type="spellStart"/>
      <w:r w:rsidRPr="00391186">
        <w:rPr>
          <w:lang w:val="en-US"/>
        </w:rPr>
        <w:t>Quarta</w:t>
      </w:r>
      <w:proofErr w:type="spellEnd"/>
      <w:r w:rsidRPr="00391186">
        <w:rPr>
          <w:lang w:val="en-US"/>
        </w:rPr>
        <w:t xml:space="preserve">: </w:t>
      </w:r>
      <w:r w:rsidRPr="00391186">
        <w:rPr>
          <w:i/>
          <w:iCs/>
          <w:lang w:val="en-US"/>
        </w:rPr>
        <w:t>On the Education of Children</w:t>
      </w:r>
      <w:r w:rsidRPr="00391186">
        <w:rPr>
          <w:lang w:val="en-US"/>
        </w:rPr>
        <w:t>,” 34.</w:t>
      </w:r>
    </w:p>
  </w:footnote>
  <w:footnote w:id="170">
    <w:p w14:paraId="70FC8EE2" w14:textId="1FEB9DAB" w:rsidR="00182EED" w:rsidRDefault="00182EED" w:rsidP="001840E8">
      <w:pPr>
        <w:pStyle w:val="FootnoteText"/>
      </w:pPr>
      <w:r w:rsidRPr="00391186">
        <w:rPr>
          <w:rStyle w:val="FootnoteReference"/>
        </w:rPr>
        <w:footnoteRef/>
      </w:r>
      <w:r>
        <w:t xml:space="preserve"> </w:t>
      </w:r>
      <w:r w:rsidRPr="00B15A10">
        <w:rPr>
          <w:lang w:val="en-US"/>
        </w:rPr>
        <w:t xml:space="preserve">“[Una </w:t>
      </w:r>
      <w:proofErr w:type="spellStart"/>
      <w:r w:rsidRPr="00B15A10">
        <w:rPr>
          <w:lang w:val="en-US"/>
        </w:rPr>
        <w:t>Vergine</w:t>
      </w:r>
      <w:proofErr w:type="spellEnd"/>
      <w:r w:rsidRPr="00B15A10">
        <w:rPr>
          <w:lang w:val="en-US"/>
        </w:rPr>
        <w:t xml:space="preserve">] la quale </w:t>
      </w:r>
      <w:proofErr w:type="spellStart"/>
      <w:r w:rsidRPr="00B15A10">
        <w:rPr>
          <w:lang w:val="en-US"/>
        </w:rPr>
        <w:t>lasciò</w:t>
      </w:r>
      <w:proofErr w:type="spellEnd"/>
      <w:r w:rsidRPr="00B15A10">
        <w:rPr>
          <w:lang w:val="en-US"/>
        </w:rPr>
        <w:t xml:space="preserve"> in casa, </w:t>
      </w:r>
      <w:proofErr w:type="spellStart"/>
      <w:r w:rsidRPr="00B15A10">
        <w:rPr>
          <w:lang w:val="en-US"/>
        </w:rPr>
        <w:t>ritenneva</w:t>
      </w:r>
      <w:proofErr w:type="spellEnd"/>
      <w:r w:rsidRPr="00B15A10">
        <w:rPr>
          <w:lang w:val="en-US"/>
        </w:rPr>
        <w:t xml:space="preserve"> per </w:t>
      </w:r>
      <w:proofErr w:type="spellStart"/>
      <w:r w:rsidRPr="00B15A10">
        <w:rPr>
          <w:lang w:val="en-US"/>
        </w:rPr>
        <w:t>contento</w:t>
      </w:r>
      <w:proofErr w:type="spellEnd"/>
      <w:r w:rsidRPr="00B15A10">
        <w:rPr>
          <w:lang w:val="en-US"/>
        </w:rPr>
        <w:t xml:space="preserve"> di </w:t>
      </w:r>
      <w:proofErr w:type="spellStart"/>
      <w:r w:rsidRPr="00B15A10">
        <w:rPr>
          <w:lang w:val="en-US"/>
        </w:rPr>
        <w:t>fanciugli</w:t>
      </w:r>
      <w:proofErr w:type="spellEnd"/>
      <w:r w:rsidRPr="00B15A10">
        <w:rPr>
          <w:lang w:val="en-US"/>
        </w:rPr>
        <w:t xml:space="preserve">.” </w:t>
      </w:r>
      <w:proofErr w:type="spellStart"/>
      <w:r w:rsidRPr="00B15A10">
        <w:rPr>
          <w:lang w:val="en-US"/>
        </w:rPr>
        <w:t>Klapisch</w:t>
      </w:r>
      <w:proofErr w:type="spellEnd"/>
      <w:r w:rsidRPr="00B15A10">
        <w:rPr>
          <w:lang w:val="en-US"/>
        </w:rPr>
        <w:t xml:space="preserve">-Zuber, </w:t>
      </w:r>
      <w:r w:rsidRPr="00B15A10">
        <w:rPr>
          <w:i/>
          <w:iCs/>
          <w:lang w:val="en-US"/>
        </w:rPr>
        <w:t>Women, Family, and Ritual</w:t>
      </w:r>
      <w:r w:rsidRPr="00B15A10">
        <w:rPr>
          <w:lang w:val="en-US"/>
        </w:rPr>
        <w:t>, 321 n.39; translation from ibid., 321.</w:t>
      </w:r>
    </w:p>
  </w:footnote>
  <w:footnote w:id="171">
    <w:p w14:paraId="2402658C" w14:textId="77777777" w:rsidR="00182EED" w:rsidRDefault="00182EED" w:rsidP="001840E8">
      <w:pPr>
        <w:pStyle w:val="FootnoteText"/>
      </w:pPr>
      <w:r w:rsidRPr="00391186">
        <w:rPr>
          <w:rStyle w:val="FootnoteReference"/>
        </w:rPr>
        <w:footnoteRef/>
      </w:r>
      <w:r>
        <w:t xml:space="preserve"> </w:t>
      </w:r>
      <w:r w:rsidRPr="00C54EE7">
        <w:rPr>
          <w:lang w:val="en-US"/>
        </w:rPr>
        <w:t xml:space="preserve">The original manuscript is dedicated to </w:t>
      </w:r>
      <w:proofErr w:type="spellStart"/>
      <w:r w:rsidRPr="00C54EE7">
        <w:rPr>
          <w:lang w:val="en-US"/>
        </w:rPr>
        <w:t>Dianora</w:t>
      </w:r>
      <w:proofErr w:type="spellEnd"/>
      <w:r w:rsidRPr="00C54EE7">
        <w:rPr>
          <w:lang w:val="en-US"/>
        </w:rPr>
        <w:t xml:space="preserve"> di Francesco Tornabuoni, while another almost identical copy is believed to have been produced for her sister Lucrezia Tornabuoni, see Flanigan, “Art, Memory, and the Cultivation of Virtue,” 175–77.</w:t>
      </w:r>
    </w:p>
  </w:footnote>
  <w:footnote w:id="172">
    <w:p w14:paraId="0AFE5FA3" w14:textId="77777777" w:rsidR="00182EED" w:rsidRDefault="00182EED" w:rsidP="001840E8">
      <w:pPr>
        <w:pStyle w:val="FootnoteText"/>
      </w:pPr>
      <w:r w:rsidRPr="00391186">
        <w:rPr>
          <w:rStyle w:val="FootnoteReference"/>
        </w:rPr>
        <w:footnoteRef/>
      </w:r>
      <w:r>
        <w:t xml:space="preserve"> </w:t>
      </w:r>
      <w:r w:rsidRPr="00B15A10">
        <w:rPr>
          <w:lang w:val="en-US"/>
        </w:rPr>
        <w:t xml:space="preserve">“O </w:t>
      </w:r>
      <w:proofErr w:type="spellStart"/>
      <w:r w:rsidRPr="00B15A10">
        <w:rPr>
          <w:lang w:val="en-US"/>
        </w:rPr>
        <w:t>volete</w:t>
      </w:r>
      <w:proofErr w:type="spellEnd"/>
      <w:r w:rsidRPr="00B15A10">
        <w:rPr>
          <w:lang w:val="en-US"/>
        </w:rPr>
        <w:t xml:space="preserve"> in chiesa o </w:t>
      </w:r>
      <w:proofErr w:type="spellStart"/>
      <w:r w:rsidRPr="00B15A10">
        <w:rPr>
          <w:lang w:val="en-US"/>
        </w:rPr>
        <w:t>volete</w:t>
      </w:r>
      <w:proofErr w:type="spellEnd"/>
      <w:r w:rsidRPr="00B15A10">
        <w:rPr>
          <w:lang w:val="en-US"/>
        </w:rPr>
        <w:t xml:space="preserve"> in camera </w:t>
      </w:r>
      <w:proofErr w:type="spellStart"/>
      <w:r w:rsidRPr="00B15A10">
        <w:rPr>
          <w:lang w:val="en-US"/>
        </w:rPr>
        <w:t>vostra</w:t>
      </w:r>
      <w:proofErr w:type="spellEnd"/>
      <w:r w:rsidRPr="00B15A10">
        <w:rPr>
          <w:lang w:val="en-US"/>
        </w:rPr>
        <w:t xml:space="preserve">, </w:t>
      </w:r>
      <w:proofErr w:type="spellStart"/>
      <w:r w:rsidRPr="00B15A10">
        <w:rPr>
          <w:lang w:val="en-US"/>
        </w:rPr>
        <w:t>inginocchiatevi</w:t>
      </w:r>
      <w:proofErr w:type="spellEnd"/>
      <w:r w:rsidRPr="00B15A10">
        <w:rPr>
          <w:lang w:val="en-US"/>
        </w:rPr>
        <w:t xml:space="preserve"> </w:t>
      </w:r>
      <w:proofErr w:type="spellStart"/>
      <w:r w:rsidRPr="00B15A10">
        <w:rPr>
          <w:lang w:val="en-US"/>
        </w:rPr>
        <w:t>dinanzi</w:t>
      </w:r>
      <w:proofErr w:type="spellEnd"/>
      <w:r w:rsidRPr="00B15A10">
        <w:rPr>
          <w:lang w:val="en-US"/>
        </w:rPr>
        <w:t xml:space="preserve"> ad un </w:t>
      </w:r>
      <w:proofErr w:type="spellStart"/>
      <w:r w:rsidRPr="00B15A10">
        <w:rPr>
          <w:lang w:val="en-US"/>
        </w:rPr>
        <w:t>Crucifizzo</w:t>
      </w:r>
      <w:proofErr w:type="spellEnd"/>
      <w:r w:rsidRPr="00B15A10">
        <w:rPr>
          <w:lang w:val="en-US"/>
        </w:rPr>
        <w:t xml:space="preserve">, e </w:t>
      </w:r>
      <w:proofErr w:type="spellStart"/>
      <w:r w:rsidRPr="00B15A10">
        <w:rPr>
          <w:lang w:val="en-US"/>
        </w:rPr>
        <w:t>cogli</w:t>
      </w:r>
      <w:proofErr w:type="spellEnd"/>
      <w:r w:rsidRPr="00B15A10">
        <w:rPr>
          <w:lang w:val="en-US"/>
        </w:rPr>
        <w:t xml:space="preserve"> </w:t>
      </w:r>
      <w:proofErr w:type="spellStart"/>
      <w:r w:rsidRPr="00B15A10">
        <w:rPr>
          <w:lang w:val="en-US"/>
        </w:rPr>
        <w:t>occhi</w:t>
      </w:r>
      <w:proofErr w:type="spellEnd"/>
      <w:r w:rsidRPr="00B15A10">
        <w:rPr>
          <w:lang w:val="en-US"/>
        </w:rPr>
        <w:t xml:space="preserve"> </w:t>
      </w:r>
      <w:proofErr w:type="spellStart"/>
      <w:r w:rsidRPr="00B15A10">
        <w:rPr>
          <w:lang w:val="en-US"/>
        </w:rPr>
        <w:t>della</w:t>
      </w:r>
      <w:proofErr w:type="spellEnd"/>
      <w:r w:rsidRPr="00B15A10">
        <w:rPr>
          <w:lang w:val="en-US"/>
        </w:rPr>
        <w:t xml:space="preserve"> </w:t>
      </w:r>
      <w:proofErr w:type="spellStart"/>
      <w:r w:rsidRPr="00B15A10">
        <w:rPr>
          <w:lang w:val="en-US"/>
        </w:rPr>
        <w:t>mente</w:t>
      </w:r>
      <w:proofErr w:type="spellEnd"/>
      <w:r w:rsidRPr="00B15A10">
        <w:rPr>
          <w:lang w:val="en-US"/>
        </w:rPr>
        <w:t xml:space="preserve">, </w:t>
      </w:r>
      <w:proofErr w:type="spellStart"/>
      <w:r w:rsidRPr="00B15A10">
        <w:rPr>
          <w:lang w:val="en-US"/>
        </w:rPr>
        <w:t>più</w:t>
      </w:r>
      <w:proofErr w:type="spellEnd"/>
      <w:r w:rsidRPr="00B15A10">
        <w:rPr>
          <w:lang w:val="en-US"/>
        </w:rPr>
        <w:t xml:space="preserve"> </w:t>
      </w:r>
      <w:proofErr w:type="spellStart"/>
      <w:r w:rsidRPr="00B15A10">
        <w:rPr>
          <w:lang w:val="en-US"/>
        </w:rPr>
        <w:t>che</w:t>
      </w:r>
      <w:proofErr w:type="spellEnd"/>
      <w:r w:rsidRPr="00B15A10">
        <w:rPr>
          <w:lang w:val="en-US"/>
        </w:rPr>
        <w:t xml:space="preserve"> con </w:t>
      </w:r>
      <w:proofErr w:type="spellStart"/>
      <w:r w:rsidRPr="00B15A10">
        <w:rPr>
          <w:lang w:val="en-US"/>
        </w:rPr>
        <w:t>quegli</w:t>
      </w:r>
      <w:proofErr w:type="spellEnd"/>
      <w:r w:rsidRPr="00B15A10">
        <w:rPr>
          <w:lang w:val="en-US"/>
        </w:rPr>
        <w:t xml:space="preserve"> del </w:t>
      </w:r>
      <w:proofErr w:type="spellStart"/>
      <w:r w:rsidRPr="00B15A10">
        <w:rPr>
          <w:lang w:val="en-US"/>
        </w:rPr>
        <w:t>corpo</w:t>
      </w:r>
      <w:proofErr w:type="spellEnd"/>
      <w:r w:rsidRPr="00B15A10">
        <w:rPr>
          <w:lang w:val="en-US"/>
        </w:rPr>
        <w:t xml:space="preserve">, considerate la </w:t>
      </w:r>
      <w:proofErr w:type="spellStart"/>
      <w:r w:rsidRPr="00B15A10">
        <w:rPr>
          <w:lang w:val="en-US"/>
        </w:rPr>
        <w:t>faccia</w:t>
      </w:r>
      <w:proofErr w:type="spellEnd"/>
      <w:r w:rsidRPr="00B15A10">
        <w:rPr>
          <w:lang w:val="en-US"/>
        </w:rPr>
        <w:t xml:space="preserve"> </w:t>
      </w:r>
      <w:proofErr w:type="spellStart"/>
      <w:r w:rsidRPr="00B15A10">
        <w:rPr>
          <w:lang w:val="en-US"/>
        </w:rPr>
        <w:t>sua</w:t>
      </w:r>
      <w:proofErr w:type="spellEnd"/>
      <w:r w:rsidRPr="00B15A10">
        <w:rPr>
          <w:lang w:val="en-US"/>
        </w:rPr>
        <w:t xml:space="preserve">.” </w:t>
      </w:r>
      <w:proofErr w:type="spellStart"/>
      <w:r w:rsidRPr="00B15A10">
        <w:rPr>
          <w:lang w:val="en-US"/>
        </w:rPr>
        <w:t>Antoninus</w:t>
      </w:r>
      <w:proofErr w:type="spellEnd"/>
      <w:r w:rsidRPr="00B15A10">
        <w:rPr>
          <w:lang w:val="en-US"/>
        </w:rPr>
        <w:t xml:space="preserve"> (Saint), </w:t>
      </w:r>
      <w:r w:rsidRPr="00B15A10">
        <w:rPr>
          <w:i/>
          <w:iCs/>
          <w:lang w:val="en-US"/>
        </w:rPr>
        <w:t>Opera a ben vivere</w:t>
      </w:r>
      <w:r w:rsidRPr="00B15A10">
        <w:rPr>
          <w:lang w:val="en-US"/>
        </w:rPr>
        <w:t xml:space="preserve">, ed. Francesco Palermo (Florence: Tipi di M. Cellini e C., 1858), 169; English translation from Flanigan, “Art, Memory, and the Cultivation of Virtue” Flanigan reports Chapter 11 </w:t>
      </w:r>
      <w:r w:rsidRPr="00B15A10">
        <w:rPr>
          <w:i/>
          <w:iCs/>
          <w:lang w:val="en-US"/>
        </w:rPr>
        <w:t>Meditation on the Passion of Christ, and upon it fifteen Our Fathers</w:t>
      </w:r>
      <w:r w:rsidRPr="00B15A10">
        <w:rPr>
          <w:lang w:val="en-US"/>
        </w:rPr>
        <w:t xml:space="preserve"> in its entirety in translation, in the Appendix, 194-195.</w:t>
      </w:r>
    </w:p>
  </w:footnote>
  <w:footnote w:id="173">
    <w:p w14:paraId="5BA7B765" w14:textId="77777777" w:rsidR="00182EED" w:rsidRDefault="00182EED" w:rsidP="001840E8">
      <w:pPr>
        <w:pStyle w:val="FootnoteText"/>
      </w:pPr>
      <w:r w:rsidRPr="00391186">
        <w:rPr>
          <w:rStyle w:val="FootnoteReference"/>
        </w:rPr>
        <w:footnoteRef/>
      </w:r>
      <w:r>
        <w:t xml:space="preserve"> </w:t>
      </w:r>
      <w:proofErr w:type="spellStart"/>
      <w:r w:rsidRPr="00C54EE7">
        <w:rPr>
          <w:lang w:val="en-US"/>
        </w:rPr>
        <w:t>Antoninus</w:t>
      </w:r>
      <w:proofErr w:type="spellEnd"/>
      <w:r w:rsidRPr="00C54EE7">
        <w:rPr>
          <w:lang w:val="en-US"/>
        </w:rPr>
        <w:t xml:space="preserve"> (Saint), </w:t>
      </w:r>
      <w:r w:rsidRPr="00C54EE7">
        <w:rPr>
          <w:i/>
          <w:iCs/>
          <w:lang w:val="en-US"/>
        </w:rPr>
        <w:t>Opera a ben vivere</w:t>
      </w:r>
      <w:r w:rsidRPr="00C54EE7">
        <w:rPr>
          <w:lang w:val="en-US"/>
        </w:rPr>
        <w:t xml:space="preserve">, </w:t>
      </w:r>
      <w:proofErr w:type="spellStart"/>
      <w:r w:rsidRPr="00C54EE7">
        <w:rPr>
          <w:lang w:val="en-US"/>
        </w:rPr>
        <w:t>III.xi</w:t>
      </w:r>
      <w:proofErr w:type="spellEnd"/>
      <w:r w:rsidRPr="00C54EE7">
        <w:rPr>
          <w:lang w:val="en-US"/>
        </w:rPr>
        <w:t>, 169-174; see also Flanigan, “Art, Memory, and the Cultivation of Virtue,” 178–79.</w:t>
      </w:r>
    </w:p>
  </w:footnote>
  <w:footnote w:id="174">
    <w:p w14:paraId="4C338CF6" w14:textId="77777777" w:rsidR="00182EED" w:rsidRDefault="00182EED" w:rsidP="001840E8">
      <w:pPr>
        <w:pStyle w:val="FootnoteText"/>
      </w:pPr>
      <w:r w:rsidRPr="00391186">
        <w:rPr>
          <w:rStyle w:val="FootnoteReference"/>
        </w:rPr>
        <w:footnoteRef/>
      </w:r>
      <w:r>
        <w:t xml:space="preserve"> </w:t>
      </w:r>
      <w:r w:rsidRPr="00C54EE7">
        <w:rPr>
          <w:lang w:val="en-US"/>
        </w:rPr>
        <w:t>Flanigan, “Art, Memory, and the Cultivation of Virtue,” 180, n. 36.</w:t>
      </w:r>
    </w:p>
  </w:footnote>
  <w:footnote w:id="175">
    <w:p w14:paraId="70B38917" w14:textId="77777777" w:rsidR="00182EED" w:rsidRDefault="00182EED" w:rsidP="001840E8">
      <w:pPr>
        <w:pStyle w:val="FootnoteText"/>
      </w:pPr>
      <w:r w:rsidRPr="00391186">
        <w:rPr>
          <w:rStyle w:val="FootnoteReference"/>
        </w:rPr>
        <w:footnoteRef/>
      </w:r>
      <w:r>
        <w:t xml:space="preserve"> </w:t>
      </w:r>
      <w:r>
        <w:rPr>
          <w:noProof/>
        </w:rPr>
        <w:t>Ibid., 178.</w:t>
      </w:r>
    </w:p>
  </w:footnote>
  <w:footnote w:id="176">
    <w:p w14:paraId="329F1B63" w14:textId="77777777" w:rsidR="00182EED" w:rsidRDefault="00182EED" w:rsidP="001840E8">
      <w:pPr>
        <w:pStyle w:val="FootnoteText"/>
      </w:pPr>
      <w:r w:rsidRPr="00391186">
        <w:rPr>
          <w:rStyle w:val="FootnoteReference"/>
        </w:rPr>
        <w:footnoteRef/>
      </w:r>
      <w:r>
        <w:t xml:space="preserve"> </w:t>
      </w:r>
      <w:r w:rsidRPr="00C90AEC">
        <w:rPr>
          <w:lang w:val="en-US"/>
        </w:rPr>
        <w:t xml:space="preserve">“Imagines </w:t>
      </w:r>
      <w:proofErr w:type="spellStart"/>
      <w:r w:rsidRPr="00C90AEC">
        <w:rPr>
          <w:lang w:val="en-US"/>
        </w:rPr>
        <w:t>autem</w:t>
      </w:r>
      <w:proofErr w:type="spellEnd"/>
      <w:r w:rsidRPr="00C90AEC">
        <w:rPr>
          <w:lang w:val="en-US"/>
        </w:rPr>
        <w:t xml:space="preserve"> sanctorum </w:t>
      </w:r>
      <w:proofErr w:type="spellStart"/>
      <w:r w:rsidRPr="00C90AEC">
        <w:rPr>
          <w:lang w:val="en-US"/>
        </w:rPr>
        <w:t>fiunt</w:t>
      </w:r>
      <w:proofErr w:type="spellEnd"/>
      <w:r w:rsidRPr="00C90AEC">
        <w:rPr>
          <w:lang w:val="en-US"/>
        </w:rPr>
        <w:t xml:space="preserve"> in ecclesia, </w:t>
      </w:r>
      <w:proofErr w:type="spellStart"/>
      <w:r w:rsidRPr="00C90AEC">
        <w:rPr>
          <w:lang w:val="en-US"/>
        </w:rPr>
        <w:t>non ad</w:t>
      </w:r>
      <w:proofErr w:type="spellEnd"/>
      <w:r w:rsidRPr="00C90AEC">
        <w:rPr>
          <w:lang w:val="en-US"/>
        </w:rPr>
        <w:t xml:space="preserve"> </w:t>
      </w:r>
      <w:proofErr w:type="spellStart"/>
      <w:r w:rsidRPr="00C90AEC">
        <w:rPr>
          <w:lang w:val="en-US"/>
        </w:rPr>
        <w:t>exhibendum</w:t>
      </w:r>
      <w:proofErr w:type="spellEnd"/>
      <w:r w:rsidRPr="00C90AEC">
        <w:rPr>
          <w:lang w:val="en-US"/>
        </w:rPr>
        <w:t xml:space="preserve"> </w:t>
      </w:r>
      <w:proofErr w:type="spellStart"/>
      <w:r w:rsidRPr="00C90AEC">
        <w:rPr>
          <w:lang w:val="en-US"/>
        </w:rPr>
        <w:t>eis</w:t>
      </w:r>
      <w:proofErr w:type="spellEnd"/>
      <w:r w:rsidRPr="00C90AEC">
        <w:rPr>
          <w:lang w:val="en-US"/>
        </w:rPr>
        <w:t xml:space="preserve"> </w:t>
      </w:r>
      <w:proofErr w:type="spellStart"/>
      <w:r w:rsidRPr="00C90AEC">
        <w:rPr>
          <w:lang w:val="en-US"/>
        </w:rPr>
        <w:t>cultum</w:t>
      </w:r>
      <w:proofErr w:type="spellEnd"/>
      <w:r w:rsidRPr="00C90AEC">
        <w:rPr>
          <w:lang w:val="en-US"/>
        </w:rPr>
        <w:t xml:space="preserve"> </w:t>
      </w:r>
      <w:proofErr w:type="spellStart"/>
      <w:r w:rsidRPr="00C90AEC">
        <w:rPr>
          <w:lang w:val="en-US"/>
        </w:rPr>
        <w:t>latriae</w:t>
      </w:r>
      <w:proofErr w:type="spellEnd"/>
      <w:r w:rsidRPr="00C90AEC">
        <w:rPr>
          <w:lang w:val="en-US"/>
        </w:rPr>
        <w:t xml:space="preserve">; sed ad </w:t>
      </w:r>
      <w:proofErr w:type="spellStart"/>
      <w:r w:rsidRPr="00C90AEC">
        <w:rPr>
          <w:lang w:val="en-US"/>
        </w:rPr>
        <w:t>imprimendum</w:t>
      </w:r>
      <w:proofErr w:type="spellEnd"/>
      <w:r w:rsidRPr="00C90AEC">
        <w:rPr>
          <w:lang w:val="en-US"/>
        </w:rPr>
        <w:t xml:space="preserve"> </w:t>
      </w:r>
      <w:proofErr w:type="spellStart"/>
      <w:r w:rsidRPr="00C90AEC">
        <w:rPr>
          <w:lang w:val="en-US"/>
        </w:rPr>
        <w:t>efficacius</w:t>
      </w:r>
      <w:proofErr w:type="spellEnd"/>
      <w:r w:rsidRPr="00C90AEC">
        <w:rPr>
          <w:lang w:val="en-US"/>
        </w:rPr>
        <w:t xml:space="preserve"> </w:t>
      </w:r>
      <w:proofErr w:type="spellStart"/>
      <w:r w:rsidRPr="00C90AEC">
        <w:rPr>
          <w:lang w:val="en-US"/>
        </w:rPr>
        <w:t>excellentiam</w:t>
      </w:r>
      <w:proofErr w:type="spellEnd"/>
      <w:r w:rsidRPr="00C90AEC">
        <w:rPr>
          <w:lang w:val="en-US"/>
        </w:rPr>
        <w:t xml:space="preserve"> </w:t>
      </w:r>
      <w:proofErr w:type="spellStart"/>
      <w:r w:rsidRPr="00C90AEC">
        <w:rPr>
          <w:lang w:val="en-US"/>
        </w:rPr>
        <w:t>eorum</w:t>
      </w:r>
      <w:proofErr w:type="spellEnd"/>
      <w:r w:rsidRPr="00C90AEC">
        <w:rPr>
          <w:lang w:val="en-US"/>
        </w:rPr>
        <w:t xml:space="preserve"> </w:t>
      </w:r>
      <w:proofErr w:type="spellStart"/>
      <w:r w:rsidRPr="00C90AEC">
        <w:rPr>
          <w:lang w:val="en-US"/>
        </w:rPr>
        <w:t>mentibus</w:t>
      </w:r>
      <w:proofErr w:type="spellEnd"/>
      <w:r w:rsidRPr="00C90AEC">
        <w:rPr>
          <w:lang w:val="en-US"/>
        </w:rPr>
        <w:t xml:space="preserve"> </w:t>
      </w:r>
      <w:proofErr w:type="spellStart"/>
      <w:r w:rsidRPr="00C90AEC">
        <w:rPr>
          <w:lang w:val="en-US"/>
        </w:rPr>
        <w:t>hominum</w:t>
      </w:r>
      <w:proofErr w:type="spellEnd"/>
      <w:r w:rsidRPr="00C90AEC">
        <w:rPr>
          <w:lang w:val="en-US"/>
        </w:rPr>
        <w:t xml:space="preserve">.” Sancti </w:t>
      </w:r>
      <w:proofErr w:type="spellStart"/>
      <w:r w:rsidRPr="00C90AEC">
        <w:rPr>
          <w:lang w:val="en-US"/>
        </w:rPr>
        <w:t>Antonini</w:t>
      </w:r>
      <w:proofErr w:type="spellEnd"/>
      <w:r w:rsidRPr="00C90AEC">
        <w:rPr>
          <w:lang w:val="en-US"/>
        </w:rPr>
        <w:t xml:space="preserve"> </w:t>
      </w:r>
      <w:proofErr w:type="spellStart"/>
      <w:r w:rsidRPr="00C90AEC">
        <w:rPr>
          <w:lang w:val="en-US"/>
        </w:rPr>
        <w:t>archiepiscopi</w:t>
      </w:r>
      <w:proofErr w:type="spellEnd"/>
      <w:r w:rsidRPr="00C90AEC">
        <w:rPr>
          <w:lang w:val="en-US"/>
        </w:rPr>
        <w:t xml:space="preserve"> </w:t>
      </w:r>
      <w:proofErr w:type="spellStart"/>
      <w:r w:rsidRPr="00C90AEC">
        <w:rPr>
          <w:lang w:val="en-US"/>
        </w:rPr>
        <w:t>Florentini</w:t>
      </w:r>
      <w:proofErr w:type="spellEnd"/>
      <w:r w:rsidRPr="00C90AEC">
        <w:rPr>
          <w:lang w:val="en-US"/>
        </w:rPr>
        <w:t xml:space="preserve">, </w:t>
      </w:r>
      <w:r w:rsidRPr="00C90AEC">
        <w:rPr>
          <w:i/>
          <w:iCs/>
          <w:lang w:val="en-US"/>
        </w:rPr>
        <w:t xml:space="preserve">Summa Theologica in </w:t>
      </w:r>
      <w:proofErr w:type="spellStart"/>
      <w:r w:rsidRPr="00C90AEC">
        <w:rPr>
          <w:i/>
          <w:iCs/>
          <w:lang w:val="en-US"/>
        </w:rPr>
        <w:t>Quattuor</w:t>
      </w:r>
      <w:proofErr w:type="spellEnd"/>
      <w:r w:rsidRPr="00C90AEC">
        <w:rPr>
          <w:i/>
          <w:iCs/>
          <w:lang w:val="en-US"/>
        </w:rPr>
        <w:t xml:space="preserve"> </w:t>
      </w:r>
      <w:proofErr w:type="spellStart"/>
      <w:r w:rsidRPr="00C90AEC">
        <w:rPr>
          <w:i/>
          <w:iCs/>
          <w:lang w:val="en-US"/>
        </w:rPr>
        <w:t>Partes</w:t>
      </w:r>
      <w:proofErr w:type="spellEnd"/>
      <w:r w:rsidRPr="00C90AEC">
        <w:rPr>
          <w:i/>
          <w:iCs/>
          <w:lang w:val="en-US"/>
        </w:rPr>
        <w:t xml:space="preserve"> Distribute</w:t>
      </w:r>
      <w:r w:rsidRPr="00C90AEC">
        <w:rPr>
          <w:lang w:val="en-US"/>
        </w:rPr>
        <w:t xml:space="preserve"> (</w:t>
      </w:r>
      <w:proofErr w:type="spellStart"/>
      <w:r w:rsidRPr="00C90AEC">
        <w:rPr>
          <w:lang w:val="en-US"/>
        </w:rPr>
        <w:t>Veronae</w:t>
      </w:r>
      <w:proofErr w:type="spellEnd"/>
      <w:r w:rsidRPr="00C90AEC">
        <w:rPr>
          <w:lang w:val="en-US"/>
        </w:rPr>
        <w:t xml:space="preserve">: Ex </w:t>
      </w:r>
      <w:proofErr w:type="spellStart"/>
      <w:r w:rsidRPr="00C90AEC">
        <w:rPr>
          <w:lang w:val="en-US"/>
        </w:rPr>
        <w:t>typographia</w:t>
      </w:r>
      <w:proofErr w:type="spellEnd"/>
      <w:r w:rsidRPr="00C90AEC">
        <w:rPr>
          <w:lang w:val="en-US"/>
        </w:rPr>
        <w:t xml:space="preserve"> </w:t>
      </w:r>
      <w:proofErr w:type="spellStart"/>
      <w:r w:rsidRPr="00C90AEC">
        <w:rPr>
          <w:lang w:val="en-US"/>
        </w:rPr>
        <w:t>seminarii</w:t>
      </w:r>
      <w:proofErr w:type="spellEnd"/>
      <w:r w:rsidRPr="00C90AEC">
        <w:rPr>
          <w:lang w:val="en-US"/>
        </w:rPr>
        <w:t xml:space="preserve">, apud </w:t>
      </w:r>
      <w:proofErr w:type="spellStart"/>
      <w:r w:rsidRPr="00C90AEC">
        <w:rPr>
          <w:lang w:val="en-US"/>
        </w:rPr>
        <w:t>Augustinum</w:t>
      </w:r>
      <w:proofErr w:type="spellEnd"/>
      <w:r w:rsidRPr="00C90AEC">
        <w:rPr>
          <w:lang w:val="en-US"/>
        </w:rPr>
        <w:t xml:space="preserve"> </w:t>
      </w:r>
      <w:proofErr w:type="spellStart"/>
      <w:r w:rsidRPr="00C90AEC">
        <w:rPr>
          <w:lang w:val="en-US"/>
        </w:rPr>
        <w:t>Carattonium</w:t>
      </w:r>
      <w:proofErr w:type="spellEnd"/>
      <w:r w:rsidRPr="00C90AEC">
        <w:rPr>
          <w:lang w:val="en-US"/>
        </w:rPr>
        <w:t xml:space="preserve">, 1740), II.xii.1.2, col. 1136c-d; English translation from Samuel Edgerton, </w:t>
      </w:r>
      <w:r w:rsidRPr="00C90AEC">
        <w:rPr>
          <w:i/>
          <w:iCs/>
          <w:lang w:val="en-US"/>
        </w:rPr>
        <w:t>The Mirror, the Window, and the Telescope: How Renaissance Linear Perspective Changed Our Vision of the Universe</w:t>
      </w:r>
      <w:r w:rsidRPr="00C90AEC">
        <w:rPr>
          <w:lang w:val="en-US"/>
        </w:rPr>
        <w:t xml:space="preserve"> (Ithaca: Cornell University Press, 2009), 182, n. 15; A different English translation can be found in Flanigan, “Art, Memory, and the Cultivation of Virtue,” 187.</w:t>
      </w:r>
    </w:p>
  </w:footnote>
  <w:footnote w:id="177">
    <w:p w14:paraId="1CEA6B53" w14:textId="77777777" w:rsidR="00182EED" w:rsidRDefault="00182EED" w:rsidP="001840E8">
      <w:pPr>
        <w:pStyle w:val="FootnoteText"/>
      </w:pPr>
      <w:r w:rsidRPr="00391186">
        <w:rPr>
          <w:rStyle w:val="FootnoteReference"/>
        </w:rPr>
        <w:footnoteRef/>
      </w:r>
      <w:r>
        <w:t xml:space="preserve"> </w:t>
      </w:r>
      <w:r w:rsidRPr="00C90AEC">
        <w:rPr>
          <w:lang w:val="en-US"/>
        </w:rPr>
        <w:t xml:space="preserve">See also Sancti </w:t>
      </w:r>
      <w:proofErr w:type="spellStart"/>
      <w:r w:rsidRPr="00C90AEC">
        <w:rPr>
          <w:lang w:val="en-US"/>
        </w:rPr>
        <w:t>Antonini</w:t>
      </w:r>
      <w:proofErr w:type="spellEnd"/>
      <w:r w:rsidRPr="00C90AEC">
        <w:rPr>
          <w:lang w:val="en-US"/>
        </w:rPr>
        <w:t xml:space="preserve"> </w:t>
      </w:r>
      <w:proofErr w:type="spellStart"/>
      <w:r w:rsidRPr="00C90AEC">
        <w:rPr>
          <w:lang w:val="en-US"/>
        </w:rPr>
        <w:t>archiepiscopi</w:t>
      </w:r>
      <w:proofErr w:type="spellEnd"/>
      <w:r w:rsidRPr="00C90AEC">
        <w:rPr>
          <w:lang w:val="en-US"/>
        </w:rPr>
        <w:t xml:space="preserve"> </w:t>
      </w:r>
      <w:proofErr w:type="spellStart"/>
      <w:r w:rsidRPr="00C90AEC">
        <w:rPr>
          <w:lang w:val="en-US"/>
        </w:rPr>
        <w:t>Florentini</w:t>
      </w:r>
      <w:proofErr w:type="spellEnd"/>
      <w:r w:rsidRPr="00C90AEC">
        <w:rPr>
          <w:lang w:val="en-US"/>
        </w:rPr>
        <w:t xml:space="preserve">, </w:t>
      </w:r>
      <w:r w:rsidRPr="00C90AEC">
        <w:rPr>
          <w:i/>
          <w:iCs/>
          <w:lang w:val="en-US"/>
        </w:rPr>
        <w:t xml:space="preserve">Summa Theologica in </w:t>
      </w:r>
      <w:proofErr w:type="spellStart"/>
      <w:r w:rsidRPr="00C90AEC">
        <w:rPr>
          <w:i/>
          <w:iCs/>
          <w:lang w:val="en-US"/>
        </w:rPr>
        <w:t>Quattuor</w:t>
      </w:r>
      <w:proofErr w:type="spellEnd"/>
      <w:r w:rsidRPr="00C90AEC">
        <w:rPr>
          <w:i/>
          <w:iCs/>
          <w:lang w:val="en-US"/>
        </w:rPr>
        <w:t xml:space="preserve"> </w:t>
      </w:r>
      <w:proofErr w:type="spellStart"/>
      <w:r w:rsidRPr="00C90AEC">
        <w:rPr>
          <w:i/>
          <w:iCs/>
          <w:lang w:val="en-US"/>
        </w:rPr>
        <w:t>Partes</w:t>
      </w:r>
      <w:proofErr w:type="spellEnd"/>
      <w:r w:rsidRPr="00C90AEC">
        <w:rPr>
          <w:i/>
          <w:iCs/>
          <w:lang w:val="en-US"/>
        </w:rPr>
        <w:t xml:space="preserve"> Distribute</w:t>
      </w:r>
      <w:r w:rsidRPr="00C90AEC">
        <w:rPr>
          <w:lang w:val="en-US"/>
        </w:rPr>
        <w:t>, III.xii.9.</w:t>
      </w:r>
    </w:p>
  </w:footnote>
  <w:footnote w:id="178">
    <w:p w14:paraId="68241821" w14:textId="77777777" w:rsidR="00182EED" w:rsidRDefault="00182EED" w:rsidP="001840E8">
      <w:pPr>
        <w:pStyle w:val="FootnoteText"/>
      </w:pPr>
      <w:r w:rsidRPr="00391186">
        <w:rPr>
          <w:rStyle w:val="FootnoteReference"/>
        </w:rPr>
        <w:footnoteRef/>
      </w:r>
      <w:r>
        <w:t xml:space="preserve"> </w:t>
      </w:r>
      <w:r w:rsidRPr="003A39D2">
        <w:rPr>
          <w:lang w:val="en-US"/>
        </w:rPr>
        <w:t>“Nihil [e]n[</w:t>
      </w:r>
      <w:proofErr w:type="spellStart"/>
      <w:r w:rsidRPr="003A39D2">
        <w:rPr>
          <w:lang w:val="en-US"/>
        </w:rPr>
        <w:t>im</w:t>
      </w:r>
      <w:proofErr w:type="spellEnd"/>
      <w:r w:rsidRPr="003A39D2">
        <w:rPr>
          <w:lang w:val="en-US"/>
        </w:rPr>
        <w:t xml:space="preserve">] </w:t>
      </w:r>
      <w:proofErr w:type="spellStart"/>
      <w:r w:rsidRPr="003A39D2">
        <w:rPr>
          <w:lang w:val="en-US"/>
        </w:rPr>
        <w:t>aeque</w:t>
      </w:r>
      <w:proofErr w:type="spellEnd"/>
      <w:r w:rsidRPr="003A39D2">
        <w:rPr>
          <w:lang w:val="en-US"/>
        </w:rPr>
        <w:t xml:space="preserve"> </w:t>
      </w:r>
      <w:proofErr w:type="spellStart"/>
      <w:r w:rsidRPr="003A39D2">
        <w:rPr>
          <w:lang w:val="en-US"/>
        </w:rPr>
        <w:t>animos</w:t>
      </w:r>
      <w:proofErr w:type="spellEnd"/>
      <w:r w:rsidRPr="003A39D2">
        <w:rPr>
          <w:lang w:val="en-US"/>
        </w:rPr>
        <w:t xml:space="preserve"> </w:t>
      </w:r>
      <w:proofErr w:type="spellStart"/>
      <w:r w:rsidRPr="003A39D2">
        <w:rPr>
          <w:lang w:val="en-US"/>
        </w:rPr>
        <w:t>ad</w:t>
      </w:r>
      <w:proofErr w:type="spellEnd"/>
      <w:r w:rsidRPr="003A39D2">
        <w:rPr>
          <w:lang w:val="en-US"/>
        </w:rPr>
        <w:t xml:space="preserve"> </w:t>
      </w:r>
      <w:proofErr w:type="spellStart"/>
      <w:r w:rsidRPr="003A39D2">
        <w:rPr>
          <w:lang w:val="en-US"/>
        </w:rPr>
        <w:t>diversissimos</w:t>
      </w:r>
      <w:proofErr w:type="spellEnd"/>
      <w:r w:rsidRPr="003A39D2">
        <w:rPr>
          <w:lang w:val="en-US"/>
        </w:rPr>
        <w:t xml:space="preserve"> </w:t>
      </w:r>
      <w:proofErr w:type="spellStart"/>
      <w:r w:rsidRPr="003A39D2">
        <w:rPr>
          <w:lang w:val="en-US"/>
        </w:rPr>
        <w:t>affectus</w:t>
      </w:r>
      <w:proofErr w:type="spellEnd"/>
      <w:r w:rsidRPr="003A39D2">
        <w:rPr>
          <w:lang w:val="en-US"/>
        </w:rPr>
        <w:t xml:space="preserve"> </w:t>
      </w:r>
      <w:proofErr w:type="spellStart"/>
      <w:r w:rsidRPr="003A39D2">
        <w:rPr>
          <w:lang w:val="en-US"/>
        </w:rPr>
        <w:t>brevi</w:t>
      </w:r>
      <w:proofErr w:type="spellEnd"/>
      <w:r w:rsidRPr="003A39D2">
        <w:rPr>
          <w:lang w:val="en-US"/>
        </w:rPr>
        <w:t xml:space="preserve"> </w:t>
      </w:r>
      <w:proofErr w:type="spellStart"/>
      <w:r w:rsidRPr="003A39D2">
        <w:rPr>
          <w:lang w:val="en-US"/>
        </w:rPr>
        <w:t>momento</w:t>
      </w:r>
      <w:proofErr w:type="spellEnd"/>
      <w:r w:rsidRPr="003A39D2">
        <w:rPr>
          <w:lang w:val="en-US"/>
        </w:rPr>
        <w:t xml:space="preserve"> </w:t>
      </w:r>
      <w:proofErr w:type="spellStart"/>
      <w:r w:rsidRPr="003A39D2">
        <w:rPr>
          <w:lang w:val="en-US"/>
        </w:rPr>
        <w:t>traducere</w:t>
      </w:r>
      <w:proofErr w:type="spellEnd"/>
      <w:r w:rsidRPr="003A39D2">
        <w:rPr>
          <w:lang w:val="en-US"/>
        </w:rPr>
        <w:t xml:space="preserve">.” </w:t>
      </w:r>
      <w:proofErr w:type="spellStart"/>
      <w:r w:rsidRPr="003A39D2">
        <w:rPr>
          <w:lang w:val="en-US"/>
        </w:rPr>
        <w:t>Franchinus</w:t>
      </w:r>
      <w:proofErr w:type="spellEnd"/>
      <w:r w:rsidRPr="003A39D2">
        <w:rPr>
          <w:lang w:val="en-US"/>
        </w:rPr>
        <w:t xml:space="preserve"> </w:t>
      </w:r>
      <w:proofErr w:type="spellStart"/>
      <w:r w:rsidRPr="003A39D2">
        <w:rPr>
          <w:lang w:val="en-US"/>
        </w:rPr>
        <w:t>Gaffurius</w:t>
      </w:r>
      <w:proofErr w:type="spellEnd"/>
      <w:r w:rsidRPr="003A39D2">
        <w:rPr>
          <w:lang w:val="en-US"/>
        </w:rPr>
        <w:t xml:space="preserve">, </w:t>
      </w:r>
      <w:proofErr w:type="spellStart"/>
      <w:r w:rsidRPr="003A39D2">
        <w:rPr>
          <w:i/>
          <w:iCs/>
          <w:lang w:val="en-US"/>
        </w:rPr>
        <w:t>Practica</w:t>
      </w:r>
      <w:proofErr w:type="spellEnd"/>
      <w:r w:rsidRPr="003A39D2">
        <w:rPr>
          <w:i/>
          <w:iCs/>
          <w:lang w:val="en-US"/>
        </w:rPr>
        <w:t xml:space="preserve"> </w:t>
      </w:r>
      <w:proofErr w:type="spellStart"/>
      <w:r w:rsidRPr="003A39D2">
        <w:rPr>
          <w:i/>
          <w:iCs/>
          <w:lang w:val="en-US"/>
        </w:rPr>
        <w:t>musicae</w:t>
      </w:r>
      <w:proofErr w:type="spellEnd"/>
      <w:r w:rsidRPr="003A39D2">
        <w:rPr>
          <w:lang w:val="en-US"/>
        </w:rPr>
        <w:t xml:space="preserve"> (Milan: Guillaume Le </w:t>
      </w:r>
      <w:proofErr w:type="spellStart"/>
      <w:r w:rsidRPr="003A39D2">
        <w:rPr>
          <w:lang w:val="en-US"/>
        </w:rPr>
        <w:t>Signerre</w:t>
      </w:r>
      <w:proofErr w:type="spellEnd"/>
      <w:r w:rsidRPr="003A39D2">
        <w:rPr>
          <w:lang w:val="en-US"/>
        </w:rPr>
        <w:t xml:space="preserve">, per Giovanni Pietro da </w:t>
      </w:r>
      <w:proofErr w:type="spellStart"/>
      <w:r w:rsidRPr="003A39D2">
        <w:rPr>
          <w:lang w:val="en-US"/>
        </w:rPr>
        <w:t>Lomazzo</w:t>
      </w:r>
      <w:proofErr w:type="spellEnd"/>
      <w:r w:rsidRPr="003A39D2">
        <w:rPr>
          <w:lang w:val="en-US"/>
        </w:rPr>
        <w:t xml:space="preserve">, 30 IX, 1496; Madison, Milwaukee and London: The University of Wisconsin Press, 1969), f. v3; English translation from </w:t>
      </w:r>
      <w:proofErr w:type="spellStart"/>
      <w:r w:rsidRPr="003A39D2">
        <w:rPr>
          <w:lang w:val="en-US"/>
        </w:rPr>
        <w:t>Franchinus</w:t>
      </w:r>
      <w:proofErr w:type="spellEnd"/>
      <w:r w:rsidRPr="003A39D2">
        <w:rPr>
          <w:lang w:val="en-US"/>
        </w:rPr>
        <w:t xml:space="preserve"> </w:t>
      </w:r>
      <w:proofErr w:type="spellStart"/>
      <w:r w:rsidRPr="003A39D2">
        <w:rPr>
          <w:lang w:val="en-US"/>
        </w:rPr>
        <w:t>Gaffurius</w:t>
      </w:r>
      <w:proofErr w:type="spellEnd"/>
      <w:r w:rsidRPr="003A39D2">
        <w:rPr>
          <w:lang w:val="en-US"/>
        </w:rPr>
        <w:t xml:space="preserve">, </w:t>
      </w:r>
      <w:r w:rsidRPr="003A39D2">
        <w:rPr>
          <w:i/>
          <w:iCs/>
          <w:lang w:val="en-US"/>
        </w:rPr>
        <w:t xml:space="preserve">The </w:t>
      </w:r>
      <w:proofErr w:type="spellStart"/>
      <w:r w:rsidRPr="003A39D2">
        <w:rPr>
          <w:i/>
          <w:iCs/>
          <w:lang w:val="en-US"/>
        </w:rPr>
        <w:t>Practica</w:t>
      </w:r>
      <w:proofErr w:type="spellEnd"/>
      <w:r w:rsidRPr="003A39D2">
        <w:rPr>
          <w:i/>
          <w:iCs/>
          <w:lang w:val="en-US"/>
        </w:rPr>
        <w:t xml:space="preserve"> </w:t>
      </w:r>
      <w:proofErr w:type="spellStart"/>
      <w:r w:rsidRPr="003A39D2">
        <w:rPr>
          <w:i/>
          <w:iCs/>
          <w:lang w:val="en-US"/>
        </w:rPr>
        <w:t>Musicae</w:t>
      </w:r>
      <w:proofErr w:type="spellEnd"/>
      <w:r w:rsidRPr="003A39D2">
        <w:rPr>
          <w:i/>
          <w:iCs/>
          <w:lang w:val="en-US"/>
        </w:rPr>
        <w:t xml:space="preserve"> of </w:t>
      </w:r>
      <w:proofErr w:type="spellStart"/>
      <w:r w:rsidRPr="003A39D2">
        <w:rPr>
          <w:i/>
          <w:iCs/>
          <w:lang w:val="en-US"/>
        </w:rPr>
        <w:t>Franchinus</w:t>
      </w:r>
      <w:proofErr w:type="spellEnd"/>
      <w:r w:rsidRPr="003A39D2">
        <w:rPr>
          <w:i/>
          <w:iCs/>
          <w:lang w:val="en-US"/>
        </w:rPr>
        <w:t xml:space="preserve"> </w:t>
      </w:r>
      <w:proofErr w:type="spellStart"/>
      <w:r w:rsidRPr="003A39D2">
        <w:rPr>
          <w:i/>
          <w:iCs/>
          <w:lang w:val="en-US"/>
        </w:rPr>
        <w:t>Gafurius</w:t>
      </w:r>
      <w:proofErr w:type="spellEnd"/>
      <w:r w:rsidRPr="003A39D2">
        <w:rPr>
          <w:lang w:val="en-US"/>
        </w:rPr>
        <w:t>, ed. and trans. Irwin Young (Madison, Milwaukee and London: The University of Wisconsin Press, 1969), 4.</w:t>
      </w:r>
    </w:p>
  </w:footnote>
  <w:footnote w:id="179">
    <w:p w14:paraId="4BBEA70B" w14:textId="77777777" w:rsidR="00182EED" w:rsidRDefault="00182EED" w:rsidP="001840E8">
      <w:pPr>
        <w:pStyle w:val="FootnoteText"/>
      </w:pPr>
      <w:r w:rsidRPr="00391186">
        <w:rPr>
          <w:rStyle w:val="FootnoteReference"/>
        </w:rPr>
        <w:footnoteRef/>
      </w:r>
      <w:r>
        <w:t xml:space="preserve"> </w:t>
      </w:r>
      <w:proofErr w:type="spellStart"/>
      <w:r w:rsidRPr="00C90AEC">
        <w:rPr>
          <w:lang w:val="en-US"/>
        </w:rPr>
        <w:t>Gaffurius</w:t>
      </w:r>
      <w:proofErr w:type="spellEnd"/>
      <w:r w:rsidRPr="00C90AEC">
        <w:rPr>
          <w:lang w:val="en-US"/>
        </w:rPr>
        <w:t xml:space="preserve">, </w:t>
      </w:r>
      <w:proofErr w:type="spellStart"/>
      <w:r w:rsidRPr="00C90AEC">
        <w:rPr>
          <w:i/>
          <w:iCs/>
          <w:lang w:val="en-US"/>
        </w:rPr>
        <w:t>Practica</w:t>
      </w:r>
      <w:proofErr w:type="spellEnd"/>
      <w:r w:rsidRPr="00C90AEC">
        <w:rPr>
          <w:i/>
          <w:iCs/>
          <w:lang w:val="en-US"/>
        </w:rPr>
        <w:t xml:space="preserve"> </w:t>
      </w:r>
      <w:proofErr w:type="spellStart"/>
      <w:r w:rsidRPr="00C90AEC">
        <w:rPr>
          <w:i/>
          <w:iCs/>
          <w:lang w:val="en-US"/>
        </w:rPr>
        <w:t>musicae</w:t>
      </w:r>
      <w:proofErr w:type="spellEnd"/>
      <w:r w:rsidRPr="00C90AEC">
        <w:rPr>
          <w:lang w:val="en-US"/>
        </w:rPr>
        <w:t>, xv, xviii, xxiv.</w:t>
      </w:r>
    </w:p>
  </w:footnote>
  <w:footnote w:id="180">
    <w:p w14:paraId="6C1B30E7" w14:textId="77777777" w:rsidR="00182EED" w:rsidRDefault="00182EED" w:rsidP="001840E8">
      <w:pPr>
        <w:pStyle w:val="FootnoteText"/>
      </w:pPr>
      <w:r w:rsidRPr="00391186">
        <w:rPr>
          <w:rStyle w:val="FootnoteReference"/>
        </w:rPr>
        <w:footnoteRef/>
      </w:r>
      <w:r>
        <w:t xml:space="preserve"> </w:t>
      </w:r>
      <w:r w:rsidRPr="00C90AEC">
        <w:rPr>
          <w:lang w:val="en-US"/>
        </w:rPr>
        <w:t>Ibid., xvii–xviii.</w:t>
      </w:r>
    </w:p>
  </w:footnote>
  <w:footnote w:id="181">
    <w:p w14:paraId="6A2FFAF0" w14:textId="77777777" w:rsidR="00182EED" w:rsidRDefault="00182EED" w:rsidP="001840E8">
      <w:pPr>
        <w:pStyle w:val="FootnoteText"/>
      </w:pPr>
      <w:r w:rsidRPr="00391186">
        <w:rPr>
          <w:rStyle w:val="FootnoteReference"/>
        </w:rPr>
        <w:footnoteRef/>
      </w:r>
      <w:r>
        <w:t xml:space="preserve"> </w:t>
      </w:r>
      <w:r w:rsidRPr="00C90AEC">
        <w:rPr>
          <w:lang w:val="en-US"/>
        </w:rPr>
        <w:t>“</w:t>
      </w:r>
      <w:proofErr w:type="spellStart"/>
      <w:r w:rsidRPr="00C90AEC">
        <w:rPr>
          <w:lang w:val="en-US"/>
        </w:rPr>
        <w:t>Velut</w:t>
      </w:r>
      <w:proofErr w:type="spellEnd"/>
      <w:r w:rsidRPr="00C90AEC">
        <w:rPr>
          <w:lang w:val="en-US"/>
        </w:rPr>
        <w:t xml:space="preserve"> </w:t>
      </w:r>
      <w:proofErr w:type="spellStart"/>
      <w:r w:rsidRPr="00C90AEC">
        <w:rPr>
          <w:lang w:val="en-US"/>
        </w:rPr>
        <w:t>morum</w:t>
      </w:r>
      <w:proofErr w:type="spellEnd"/>
      <w:r w:rsidRPr="00C90AEC">
        <w:rPr>
          <w:lang w:val="en-US"/>
        </w:rPr>
        <w:t xml:space="preserve"> </w:t>
      </w:r>
      <w:proofErr w:type="spellStart"/>
      <w:r w:rsidRPr="00C90AEC">
        <w:rPr>
          <w:lang w:val="en-US"/>
        </w:rPr>
        <w:t>parentem</w:t>
      </w:r>
      <w:proofErr w:type="spellEnd"/>
      <w:r w:rsidRPr="00C90AEC">
        <w:rPr>
          <w:lang w:val="en-US"/>
        </w:rPr>
        <w:t xml:space="preserve"> </w:t>
      </w:r>
      <w:proofErr w:type="spellStart"/>
      <w:r w:rsidRPr="00C90AEC">
        <w:rPr>
          <w:lang w:val="en-US"/>
        </w:rPr>
        <w:t>altricemq</w:t>
      </w:r>
      <w:proofErr w:type="spellEnd"/>
      <w:r w:rsidRPr="00C90AEC">
        <w:rPr>
          <w:lang w:val="en-US"/>
        </w:rPr>
        <w:t>[</w:t>
      </w:r>
      <w:proofErr w:type="spellStart"/>
      <w:r w:rsidRPr="00C90AEC">
        <w:rPr>
          <w:lang w:val="en-US"/>
        </w:rPr>
        <w:t>ue</w:t>
      </w:r>
      <w:proofErr w:type="spellEnd"/>
      <w:r w:rsidRPr="00C90AEC">
        <w:rPr>
          <w:lang w:val="en-US"/>
        </w:rPr>
        <w:t xml:space="preserve">] </w:t>
      </w:r>
      <w:proofErr w:type="spellStart"/>
      <w:r w:rsidRPr="00C90AEC">
        <w:rPr>
          <w:lang w:val="en-US"/>
        </w:rPr>
        <w:t>summo</w:t>
      </w:r>
      <w:proofErr w:type="spellEnd"/>
      <w:r w:rsidRPr="00C90AEC">
        <w:rPr>
          <w:lang w:val="en-US"/>
        </w:rPr>
        <w:t xml:space="preserve"> studio </w:t>
      </w:r>
      <w:proofErr w:type="spellStart"/>
      <w:r w:rsidRPr="00C90AEC">
        <w:rPr>
          <w:lang w:val="en-US"/>
        </w:rPr>
        <w:t>excoluerunt</w:t>
      </w:r>
      <w:proofErr w:type="spellEnd"/>
      <w:r w:rsidRPr="00C90AEC">
        <w:rPr>
          <w:lang w:val="en-US"/>
        </w:rPr>
        <w:t xml:space="preserve">”. Ibid., f. 3v; English translation from </w:t>
      </w:r>
      <w:proofErr w:type="spellStart"/>
      <w:r w:rsidRPr="00C90AEC">
        <w:rPr>
          <w:lang w:val="en-US"/>
        </w:rPr>
        <w:t>Gaffurius</w:t>
      </w:r>
      <w:proofErr w:type="spellEnd"/>
      <w:r w:rsidRPr="00C90AEC">
        <w:rPr>
          <w:lang w:val="en-US"/>
        </w:rPr>
        <w:t xml:space="preserve">, </w:t>
      </w:r>
      <w:r w:rsidRPr="00C90AEC">
        <w:rPr>
          <w:i/>
          <w:iCs/>
          <w:lang w:val="en-US"/>
        </w:rPr>
        <w:t xml:space="preserve">The </w:t>
      </w:r>
      <w:proofErr w:type="spellStart"/>
      <w:r w:rsidRPr="00C90AEC">
        <w:rPr>
          <w:i/>
          <w:iCs/>
          <w:lang w:val="en-US"/>
        </w:rPr>
        <w:t>Practica</w:t>
      </w:r>
      <w:proofErr w:type="spellEnd"/>
      <w:r w:rsidRPr="00C90AEC">
        <w:rPr>
          <w:i/>
          <w:iCs/>
          <w:lang w:val="en-US"/>
        </w:rPr>
        <w:t xml:space="preserve"> </w:t>
      </w:r>
      <w:proofErr w:type="spellStart"/>
      <w:r w:rsidRPr="00C90AEC">
        <w:rPr>
          <w:i/>
          <w:iCs/>
          <w:lang w:val="en-US"/>
        </w:rPr>
        <w:t>Musicae</w:t>
      </w:r>
      <w:proofErr w:type="spellEnd"/>
      <w:r w:rsidRPr="00C90AEC">
        <w:rPr>
          <w:i/>
          <w:iCs/>
          <w:lang w:val="en-US"/>
        </w:rPr>
        <w:t xml:space="preserve"> of </w:t>
      </w:r>
      <w:proofErr w:type="spellStart"/>
      <w:r w:rsidRPr="00C90AEC">
        <w:rPr>
          <w:i/>
          <w:iCs/>
          <w:lang w:val="en-US"/>
        </w:rPr>
        <w:t>Franchinus</w:t>
      </w:r>
      <w:proofErr w:type="spellEnd"/>
      <w:r w:rsidRPr="00C90AEC">
        <w:rPr>
          <w:i/>
          <w:iCs/>
          <w:lang w:val="en-US"/>
        </w:rPr>
        <w:t xml:space="preserve"> </w:t>
      </w:r>
      <w:proofErr w:type="spellStart"/>
      <w:r w:rsidRPr="00C90AEC">
        <w:rPr>
          <w:i/>
          <w:iCs/>
          <w:lang w:val="en-US"/>
        </w:rPr>
        <w:t>Gafurius</w:t>
      </w:r>
      <w:proofErr w:type="spellEnd"/>
      <w:r w:rsidRPr="00C90AEC">
        <w:rPr>
          <w:lang w:val="en-US"/>
        </w:rPr>
        <w:t>, 3.</w:t>
      </w:r>
    </w:p>
  </w:footnote>
  <w:footnote w:id="182">
    <w:p w14:paraId="4DBAAE1E" w14:textId="77777777" w:rsidR="00182EED" w:rsidRDefault="00182EED" w:rsidP="001840E8">
      <w:pPr>
        <w:pStyle w:val="FootnoteText"/>
      </w:pPr>
      <w:r w:rsidRPr="00391186">
        <w:rPr>
          <w:rStyle w:val="FootnoteReference"/>
        </w:rPr>
        <w:footnoteRef/>
      </w:r>
      <w:r>
        <w:t xml:space="preserve"> </w:t>
      </w:r>
      <w:proofErr w:type="spellStart"/>
      <w:r w:rsidRPr="00C90AEC">
        <w:rPr>
          <w:lang w:val="en-US"/>
        </w:rPr>
        <w:t>Gaffurius</w:t>
      </w:r>
      <w:proofErr w:type="spellEnd"/>
      <w:r w:rsidRPr="00C90AEC">
        <w:rPr>
          <w:lang w:val="en-US"/>
        </w:rPr>
        <w:t xml:space="preserve">, </w:t>
      </w:r>
      <w:proofErr w:type="spellStart"/>
      <w:r w:rsidRPr="00C90AEC">
        <w:rPr>
          <w:i/>
          <w:iCs/>
          <w:lang w:val="en-US"/>
        </w:rPr>
        <w:t>Practica</w:t>
      </w:r>
      <w:proofErr w:type="spellEnd"/>
      <w:r w:rsidRPr="00C90AEC">
        <w:rPr>
          <w:i/>
          <w:iCs/>
          <w:lang w:val="en-US"/>
        </w:rPr>
        <w:t xml:space="preserve"> </w:t>
      </w:r>
      <w:proofErr w:type="spellStart"/>
      <w:r w:rsidRPr="00C90AEC">
        <w:rPr>
          <w:i/>
          <w:iCs/>
          <w:lang w:val="en-US"/>
        </w:rPr>
        <w:t>musicae</w:t>
      </w:r>
      <w:proofErr w:type="spellEnd"/>
      <w:r w:rsidRPr="00C90AEC">
        <w:rPr>
          <w:lang w:val="en-US"/>
        </w:rPr>
        <w:t xml:space="preserve">, f. 3v; English translation from </w:t>
      </w:r>
      <w:proofErr w:type="spellStart"/>
      <w:r w:rsidRPr="00C90AEC">
        <w:rPr>
          <w:lang w:val="en-US"/>
        </w:rPr>
        <w:t>Gaffurius</w:t>
      </w:r>
      <w:proofErr w:type="spellEnd"/>
      <w:r w:rsidRPr="00C90AEC">
        <w:rPr>
          <w:lang w:val="en-US"/>
        </w:rPr>
        <w:t xml:space="preserve">, </w:t>
      </w:r>
      <w:r w:rsidRPr="00C90AEC">
        <w:rPr>
          <w:i/>
          <w:iCs/>
          <w:lang w:val="en-US"/>
        </w:rPr>
        <w:t xml:space="preserve">The </w:t>
      </w:r>
      <w:proofErr w:type="spellStart"/>
      <w:r w:rsidRPr="00C90AEC">
        <w:rPr>
          <w:i/>
          <w:iCs/>
          <w:lang w:val="en-US"/>
        </w:rPr>
        <w:t>Practica</w:t>
      </w:r>
      <w:proofErr w:type="spellEnd"/>
      <w:r w:rsidRPr="00C90AEC">
        <w:rPr>
          <w:i/>
          <w:iCs/>
          <w:lang w:val="en-US"/>
        </w:rPr>
        <w:t xml:space="preserve"> </w:t>
      </w:r>
      <w:proofErr w:type="spellStart"/>
      <w:r w:rsidRPr="00C90AEC">
        <w:rPr>
          <w:i/>
          <w:iCs/>
          <w:lang w:val="en-US"/>
        </w:rPr>
        <w:t>Musicae</w:t>
      </w:r>
      <w:proofErr w:type="spellEnd"/>
      <w:r w:rsidRPr="00C90AEC">
        <w:rPr>
          <w:i/>
          <w:iCs/>
          <w:lang w:val="en-US"/>
        </w:rPr>
        <w:t xml:space="preserve"> of </w:t>
      </w:r>
      <w:proofErr w:type="spellStart"/>
      <w:r w:rsidRPr="00C90AEC">
        <w:rPr>
          <w:i/>
          <w:iCs/>
          <w:lang w:val="en-US"/>
        </w:rPr>
        <w:t>Franchinus</w:t>
      </w:r>
      <w:proofErr w:type="spellEnd"/>
      <w:r w:rsidRPr="00C90AEC">
        <w:rPr>
          <w:i/>
          <w:iCs/>
          <w:lang w:val="en-US"/>
        </w:rPr>
        <w:t xml:space="preserve"> </w:t>
      </w:r>
      <w:proofErr w:type="spellStart"/>
      <w:r w:rsidRPr="00C90AEC">
        <w:rPr>
          <w:i/>
          <w:iCs/>
          <w:lang w:val="en-US"/>
        </w:rPr>
        <w:t>Gafurius</w:t>
      </w:r>
      <w:proofErr w:type="spellEnd"/>
      <w:r w:rsidRPr="00C90AEC">
        <w:rPr>
          <w:lang w:val="en-US"/>
        </w:rPr>
        <w:t>, 5.</w:t>
      </w:r>
    </w:p>
  </w:footnote>
  <w:footnote w:id="183">
    <w:p w14:paraId="0DB68214" w14:textId="77777777" w:rsidR="00182EED" w:rsidRDefault="00182EED" w:rsidP="001840E8">
      <w:pPr>
        <w:pStyle w:val="FootnoteText"/>
      </w:pPr>
      <w:r w:rsidRPr="00391186">
        <w:rPr>
          <w:rStyle w:val="FootnoteReference"/>
        </w:rPr>
        <w:footnoteRef/>
      </w:r>
      <w:r>
        <w:t xml:space="preserve"> </w:t>
      </w:r>
      <w:proofErr w:type="spellStart"/>
      <w:r w:rsidRPr="00C90AEC">
        <w:rPr>
          <w:lang w:val="en-US"/>
        </w:rPr>
        <w:t>Gaffurius</w:t>
      </w:r>
      <w:proofErr w:type="spellEnd"/>
      <w:r w:rsidRPr="00C90AEC">
        <w:rPr>
          <w:lang w:val="en-US"/>
        </w:rPr>
        <w:t xml:space="preserve">, </w:t>
      </w:r>
      <w:proofErr w:type="spellStart"/>
      <w:r w:rsidRPr="00C90AEC">
        <w:rPr>
          <w:i/>
          <w:iCs/>
          <w:lang w:val="en-US"/>
        </w:rPr>
        <w:t>Practica</w:t>
      </w:r>
      <w:proofErr w:type="spellEnd"/>
      <w:r w:rsidRPr="00C90AEC">
        <w:rPr>
          <w:i/>
          <w:iCs/>
          <w:lang w:val="en-US"/>
        </w:rPr>
        <w:t xml:space="preserve"> </w:t>
      </w:r>
      <w:proofErr w:type="spellStart"/>
      <w:r w:rsidRPr="00C90AEC">
        <w:rPr>
          <w:i/>
          <w:iCs/>
          <w:lang w:val="en-US"/>
        </w:rPr>
        <w:t>musicae</w:t>
      </w:r>
      <w:proofErr w:type="spellEnd"/>
      <w:r w:rsidRPr="00C90AEC">
        <w:rPr>
          <w:lang w:val="en-US"/>
        </w:rPr>
        <w:t xml:space="preserve">, f. 4r; English translation from </w:t>
      </w:r>
      <w:proofErr w:type="spellStart"/>
      <w:r w:rsidRPr="00C90AEC">
        <w:rPr>
          <w:lang w:val="en-US"/>
        </w:rPr>
        <w:t>Gaffurius</w:t>
      </w:r>
      <w:proofErr w:type="spellEnd"/>
      <w:r w:rsidRPr="00C90AEC">
        <w:rPr>
          <w:lang w:val="en-US"/>
        </w:rPr>
        <w:t xml:space="preserve">, </w:t>
      </w:r>
      <w:r w:rsidRPr="00C90AEC">
        <w:rPr>
          <w:i/>
          <w:iCs/>
          <w:lang w:val="en-US"/>
        </w:rPr>
        <w:t xml:space="preserve">The </w:t>
      </w:r>
      <w:proofErr w:type="spellStart"/>
      <w:r w:rsidRPr="00C90AEC">
        <w:rPr>
          <w:i/>
          <w:iCs/>
          <w:lang w:val="en-US"/>
        </w:rPr>
        <w:t>Practica</w:t>
      </w:r>
      <w:proofErr w:type="spellEnd"/>
      <w:r w:rsidRPr="00C90AEC">
        <w:rPr>
          <w:i/>
          <w:iCs/>
          <w:lang w:val="en-US"/>
        </w:rPr>
        <w:t xml:space="preserve"> </w:t>
      </w:r>
      <w:proofErr w:type="spellStart"/>
      <w:r w:rsidRPr="00C90AEC">
        <w:rPr>
          <w:i/>
          <w:iCs/>
          <w:lang w:val="en-US"/>
        </w:rPr>
        <w:t>Musicae</w:t>
      </w:r>
      <w:proofErr w:type="spellEnd"/>
      <w:r w:rsidRPr="00C90AEC">
        <w:rPr>
          <w:i/>
          <w:iCs/>
          <w:lang w:val="en-US"/>
        </w:rPr>
        <w:t xml:space="preserve"> of </w:t>
      </w:r>
      <w:proofErr w:type="spellStart"/>
      <w:r w:rsidRPr="00C90AEC">
        <w:rPr>
          <w:i/>
          <w:iCs/>
          <w:lang w:val="en-US"/>
        </w:rPr>
        <w:t>Franchinus</w:t>
      </w:r>
      <w:proofErr w:type="spellEnd"/>
      <w:r w:rsidRPr="00C90AEC">
        <w:rPr>
          <w:i/>
          <w:iCs/>
          <w:lang w:val="en-US"/>
        </w:rPr>
        <w:t xml:space="preserve"> </w:t>
      </w:r>
      <w:proofErr w:type="spellStart"/>
      <w:r w:rsidRPr="00C90AEC">
        <w:rPr>
          <w:i/>
          <w:iCs/>
          <w:lang w:val="en-US"/>
        </w:rPr>
        <w:t>Gafurius</w:t>
      </w:r>
      <w:proofErr w:type="spellEnd"/>
      <w:r w:rsidRPr="00C90AEC">
        <w:rPr>
          <w:lang w:val="en-US"/>
        </w:rPr>
        <w:t>, 5.</w:t>
      </w:r>
    </w:p>
  </w:footnote>
  <w:footnote w:id="184">
    <w:p w14:paraId="2DA8F031" w14:textId="77777777" w:rsidR="00182EED" w:rsidRDefault="00182EED" w:rsidP="001840E8">
      <w:pPr>
        <w:pStyle w:val="FootnoteText"/>
      </w:pPr>
      <w:r w:rsidRPr="00391186">
        <w:rPr>
          <w:rStyle w:val="FootnoteReference"/>
        </w:rPr>
        <w:footnoteRef/>
      </w:r>
      <w:r>
        <w:t xml:space="preserve"> </w:t>
      </w:r>
      <w:r w:rsidRPr="00B15A10">
        <w:rPr>
          <w:lang w:val="en-US"/>
        </w:rPr>
        <w:t xml:space="preserve">Claude V. </w:t>
      </w:r>
      <w:proofErr w:type="spellStart"/>
      <w:r w:rsidRPr="00B15A10">
        <w:rPr>
          <w:lang w:val="en-US"/>
        </w:rPr>
        <w:t>Palisca</w:t>
      </w:r>
      <w:proofErr w:type="spellEnd"/>
      <w:r w:rsidRPr="00B15A10">
        <w:rPr>
          <w:lang w:val="en-US"/>
        </w:rPr>
        <w:t xml:space="preserve">, “Introduction,” in </w:t>
      </w:r>
      <w:r w:rsidRPr="00B15A10">
        <w:rPr>
          <w:i/>
          <w:iCs/>
          <w:lang w:val="en-US"/>
        </w:rPr>
        <w:t>Fundamentals of Music</w:t>
      </w:r>
      <w:r w:rsidRPr="00B15A10">
        <w:rPr>
          <w:lang w:val="en-US"/>
        </w:rPr>
        <w:t xml:space="preserve">, ed. Claude V. </w:t>
      </w:r>
      <w:proofErr w:type="spellStart"/>
      <w:r w:rsidRPr="00B15A10">
        <w:rPr>
          <w:lang w:val="en-US"/>
        </w:rPr>
        <w:t>Palisca</w:t>
      </w:r>
      <w:proofErr w:type="spellEnd"/>
      <w:r w:rsidRPr="00B15A10">
        <w:rPr>
          <w:lang w:val="en-US"/>
        </w:rPr>
        <w:t>, trans. Calvin M. Bower (New Haven and London: Yale University Press, 1989), xiii.</w:t>
      </w:r>
    </w:p>
  </w:footnote>
  <w:footnote w:id="185">
    <w:p w14:paraId="451340BF" w14:textId="77777777" w:rsidR="00182EED" w:rsidRDefault="00182EED" w:rsidP="001840E8">
      <w:pPr>
        <w:pStyle w:val="FootnoteText"/>
      </w:pPr>
      <w:r w:rsidRPr="00391186">
        <w:rPr>
          <w:rStyle w:val="FootnoteReference"/>
        </w:rPr>
        <w:footnoteRef/>
      </w:r>
      <w:r>
        <w:t xml:space="preserve"> </w:t>
      </w:r>
      <w:r w:rsidRPr="00B15A10">
        <w:rPr>
          <w:lang w:val="en-US"/>
        </w:rPr>
        <w:t xml:space="preserve">Ibid.; Hyun-Ah Kim, </w:t>
      </w:r>
      <w:r w:rsidRPr="00B15A10">
        <w:rPr>
          <w:i/>
          <w:iCs/>
          <w:lang w:val="en-US"/>
        </w:rPr>
        <w:t xml:space="preserve">The Renaissance Ethics of Music: Singing, Contemplation and </w:t>
      </w:r>
      <w:proofErr w:type="spellStart"/>
      <w:r w:rsidRPr="00B15A10">
        <w:rPr>
          <w:i/>
          <w:iCs/>
          <w:lang w:val="en-US"/>
        </w:rPr>
        <w:t>Musica</w:t>
      </w:r>
      <w:proofErr w:type="spellEnd"/>
      <w:r w:rsidRPr="00B15A10">
        <w:rPr>
          <w:i/>
          <w:iCs/>
          <w:lang w:val="en-US"/>
        </w:rPr>
        <w:t xml:space="preserve"> Humana</w:t>
      </w:r>
      <w:r w:rsidRPr="00B15A10">
        <w:rPr>
          <w:lang w:val="en-US"/>
        </w:rPr>
        <w:t xml:space="preserve"> (London: Pickering &amp; </w:t>
      </w:r>
      <w:proofErr w:type="spellStart"/>
      <w:r w:rsidRPr="00B15A10">
        <w:rPr>
          <w:lang w:val="en-US"/>
        </w:rPr>
        <w:t>Chatto</w:t>
      </w:r>
      <w:proofErr w:type="spellEnd"/>
      <w:r w:rsidRPr="00B15A10">
        <w:rPr>
          <w:lang w:val="en-US"/>
        </w:rPr>
        <w:t>, 2015), 2.</w:t>
      </w:r>
    </w:p>
  </w:footnote>
  <w:footnote w:id="186">
    <w:p w14:paraId="0EA7BB07" w14:textId="77777777" w:rsidR="00182EED" w:rsidRDefault="00182EED" w:rsidP="001840E8">
      <w:pPr>
        <w:pStyle w:val="FootnoteText"/>
      </w:pPr>
      <w:r w:rsidRPr="00391186">
        <w:rPr>
          <w:rStyle w:val="FootnoteReference"/>
        </w:rPr>
        <w:footnoteRef/>
      </w:r>
      <w:r>
        <w:t xml:space="preserve"> </w:t>
      </w:r>
      <w:r w:rsidRPr="00391186">
        <w:rPr>
          <w:lang w:val="en-US"/>
        </w:rPr>
        <w:t>“</w:t>
      </w:r>
      <w:proofErr w:type="spellStart"/>
      <w:r w:rsidRPr="00391186">
        <w:rPr>
          <w:lang w:val="en-US"/>
        </w:rPr>
        <w:t>Ita</w:t>
      </w:r>
      <w:proofErr w:type="spellEnd"/>
      <w:r w:rsidRPr="00391186">
        <w:rPr>
          <w:lang w:val="en-US"/>
        </w:rPr>
        <w:t xml:space="preserve"> nobis </w:t>
      </w:r>
      <w:proofErr w:type="spellStart"/>
      <w:r w:rsidRPr="00391186">
        <w:rPr>
          <w:lang w:val="en-US"/>
        </w:rPr>
        <w:t>musicam</w:t>
      </w:r>
      <w:proofErr w:type="spellEnd"/>
      <w:r w:rsidRPr="00391186">
        <w:rPr>
          <w:lang w:val="en-US"/>
        </w:rPr>
        <w:t xml:space="preserve"> </w:t>
      </w:r>
      <w:proofErr w:type="spellStart"/>
      <w:r w:rsidRPr="00391186">
        <w:rPr>
          <w:lang w:val="en-US"/>
        </w:rPr>
        <w:t>naturaliter</w:t>
      </w:r>
      <w:proofErr w:type="spellEnd"/>
      <w:r w:rsidRPr="00391186">
        <w:rPr>
          <w:lang w:val="en-US"/>
        </w:rPr>
        <w:t xml:space="preserve"> </w:t>
      </w:r>
      <w:proofErr w:type="spellStart"/>
      <w:r w:rsidRPr="00391186">
        <w:rPr>
          <w:lang w:val="en-US"/>
        </w:rPr>
        <w:t>esse</w:t>
      </w:r>
      <w:proofErr w:type="spellEnd"/>
      <w:r w:rsidRPr="00391186">
        <w:rPr>
          <w:lang w:val="en-US"/>
        </w:rPr>
        <w:t xml:space="preserve"> </w:t>
      </w:r>
      <w:proofErr w:type="spellStart"/>
      <w:r w:rsidRPr="00391186">
        <w:rPr>
          <w:lang w:val="en-US"/>
        </w:rPr>
        <w:t>coniunctam</w:t>
      </w:r>
      <w:proofErr w:type="spellEnd"/>
      <w:r w:rsidRPr="00391186">
        <w:rPr>
          <w:lang w:val="en-US"/>
        </w:rPr>
        <w:t xml:space="preserve">, </w:t>
      </w:r>
      <w:proofErr w:type="spellStart"/>
      <w:r w:rsidRPr="00391186">
        <w:rPr>
          <w:lang w:val="en-US"/>
        </w:rPr>
        <w:t>ut</w:t>
      </w:r>
      <w:proofErr w:type="spellEnd"/>
      <w:r w:rsidRPr="00391186">
        <w:rPr>
          <w:lang w:val="en-US"/>
        </w:rPr>
        <w:t xml:space="preserve"> </w:t>
      </w:r>
      <w:proofErr w:type="spellStart"/>
      <w:r w:rsidRPr="00391186">
        <w:rPr>
          <w:lang w:val="en-US"/>
        </w:rPr>
        <w:t>ea</w:t>
      </w:r>
      <w:proofErr w:type="spellEnd"/>
      <w:r w:rsidRPr="00391186">
        <w:rPr>
          <w:lang w:val="en-US"/>
        </w:rPr>
        <w:t xml:space="preserve"> ne </w:t>
      </w:r>
      <w:proofErr w:type="spellStart"/>
      <w:r w:rsidRPr="00391186">
        <w:rPr>
          <w:lang w:val="en-US"/>
        </w:rPr>
        <w:t>si</w:t>
      </w:r>
      <w:proofErr w:type="spellEnd"/>
      <w:r w:rsidRPr="00391186">
        <w:rPr>
          <w:lang w:val="en-US"/>
        </w:rPr>
        <w:t xml:space="preserve"> </w:t>
      </w:r>
      <w:proofErr w:type="spellStart"/>
      <w:r w:rsidRPr="00391186">
        <w:rPr>
          <w:lang w:val="en-US"/>
        </w:rPr>
        <w:t>velimus</w:t>
      </w:r>
      <w:proofErr w:type="spellEnd"/>
      <w:r w:rsidRPr="00391186">
        <w:rPr>
          <w:lang w:val="en-US"/>
        </w:rPr>
        <w:t xml:space="preserve"> </w:t>
      </w:r>
      <w:proofErr w:type="spellStart"/>
      <w:r w:rsidRPr="00391186">
        <w:rPr>
          <w:lang w:val="en-US"/>
        </w:rPr>
        <w:t>quidem</w:t>
      </w:r>
      <w:proofErr w:type="spellEnd"/>
      <w:r w:rsidRPr="00391186">
        <w:rPr>
          <w:lang w:val="en-US"/>
        </w:rPr>
        <w:t xml:space="preserve"> </w:t>
      </w:r>
      <w:proofErr w:type="spellStart"/>
      <w:r w:rsidRPr="00391186">
        <w:rPr>
          <w:lang w:val="en-US"/>
        </w:rPr>
        <w:t>carere</w:t>
      </w:r>
      <w:proofErr w:type="spellEnd"/>
      <w:r w:rsidRPr="00391186">
        <w:rPr>
          <w:lang w:val="en-US"/>
        </w:rPr>
        <w:t xml:space="preserve"> </w:t>
      </w:r>
      <w:proofErr w:type="spellStart"/>
      <w:r w:rsidRPr="00391186">
        <w:rPr>
          <w:lang w:val="en-US"/>
        </w:rPr>
        <w:t>possimus</w:t>
      </w:r>
      <w:proofErr w:type="spellEnd"/>
      <w:r w:rsidRPr="00391186">
        <w:rPr>
          <w:lang w:val="en-US"/>
        </w:rPr>
        <w:t xml:space="preserve">.” </w:t>
      </w:r>
      <w:proofErr w:type="spellStart"/>
      <w:r w:rsidRPr="00391186">
        <w:rPr>
          <w:lang w:val="en-US"/>
        </w:rPr>
        <w:t>Anicius</w:t>
      </w:r>
      <w:proofErr w:type="spellEnd"/>
      <w:r w:rsidRPr="00391186">
        <w:rPr>
          <w:lang w:val="en-US"/>
        </w:rPr>
        <w:t xml:space="preserve"> Manlius Severinus Boethius, </w:t>
      </w:r>
      <w:r w:rsidRPr="00391186">
        <w:rPr>
          <w:i/>
          <w:iCs/>
          <w:lang w:val="en-US"/>
        </w:rPr>
        <w:t xml:space="preserve">De </w:t>
      </w:r>
      <w:proofErr w:type="spellStart"/>
      <w:r w:rsidRPr="00391186">
        <w:rPr>
          <w:i/>
          <w:iCs/>
          <w:lang w:val="en-US"/>
        </w:rPr>
        <w:t>institutione</w:t>
      </w:r>
      <w:proofErr w:type="spellEnd"/>
      <w:r w:rsidRPr="00391186">
        <w:rPr>
          <w:i/>
          <w:iCs/>
          <w:lang w:val="en-US"/>
        </w:rPr>
        <w:t xml:space="preserve"> </w:t>
      </w:r>
      <w:proofErr w:type="spellStart"/>
      <w:r w:rsidRPr="00391186">
        <w:rPr>
          <w:i/>
          <w:iCs/>
          <w:lang w:val="en-US"/>
        </w:rPr>
        <w:t>arithmetica</w:t>
      </w:r>
      <w:proofErr w:type="spellEnd"/>
      <w:r w:rsidRPr="00391186">
        <w:rPr>
          <w:i/>
          <w:iCs/>
          <w:lang w:val="en-US"/>
        </w:rPr>
        <w:t xml:space="preserve"> libri duo; De </w:t>
      </w:r>
      <w:proofErr w:type="spellStart"/>
      <w:r w:rsidRPr="00391186">
        <w:rPr>
          <w:i/>
          <w:iCs/>
          <w:lang w:val="en-US"/>
        </w:rPr>
        <w:t>institutione</w:t>
      </w:r>
      <w:proofErr w:type="spellEnd"/>
      <w:r w:rsidRPr="00391186">
        <w:rPr>
          <w:i/>
          <w:iCs/>
          <w:lang w:val="en-US"/>
        </w:rPr>
        <w:t xml:space="preserve"> </w:t>
      </w:r>
      <w:proofErr w:type="spellStart"/>
      <w:r w:rsidRPr="00391186">
        <w:rPr>
          <w:i/>
          <w:iCs/>
          <w:lang w:val="en-US"/>
        </w:rPr>
        <w:t>musica</w:t>
      </w:r>
      <w:proofErr w:type="spellEnd"/>
      <w:r w:rsidRPr="00391186">
        <w:rPr>
          <w:i/>
          <w:iCs/>
          <w:lang w:val="en-US"/>
        </w:rPr>
        <w:t xml:space="preserve"> libri </w:t>
      </w:r>
      <w:proofErr w:type="spellStart"/>
      <w:r w:rsidRPr="00391186">
        <w:rPr>
          <w:i/>
          <w:iCs/>
          <w:lang w:val="en-US"/>
        </w:rPr>
        <w:t>quinque</w:t>
      </w:r>
      <w:proofErr w:type="spellEnd"/>
      <w:r w:rsidRPr="00391186">
        <w:rPr>
          <w:lang w:val="en-US"/>
        </w:rPr>
        <w:t xml:space="preserve">, ed. Gottfried </w:t>
      </w:r>
      <w:proofErr w:type="spellStart"/>
      <w:r w:rsidRPr="00391186">
        <w:rPr>
          <w:lang w:val="en-US"/>
        </w:rPr>
        <w:t>Friedlein</w:t>
      </w:r>
      <w:proofErr w:type="spellEnd"/>
      <w:r w:rsidRPr="00391186">
        <w:rPr>
          <w:lang w:val="en-US"/>
        </w:rPr>
        <w:t xml:space="preserve"> (</w:t>
      </w:r>
      <w:proofErr w:type="spellStart"/>
      <w:r w:rsidRPr="00391186">
        <w:rPr>
          <w:lang w:val="en-US"/>
        </w:rPr>
        <w:t>Lipsiae</w:t>
      </w:r>
      <w:proofErr w:type="spellEnd"/>
      <w:r w:rsidRPr="00391186">
        <w:rPr>
          <w:lang w:val="en-US"/>
        </w:rPr>
        <w:t xml:space="preserve">: B.G. Teubner, 1867), 187; English translation from </w:t>
      </w:r>
      <w:proofErr w:type="spellStart"/>
      <w:r w:rsidRPr="00391186">
        <w:rPr>
          <w:lang w:val="en-US"/>
        </w:rPr>
        <w:t>Anicius</w:t>
      </w:r>
      <w:proofErr w:type="spellEnd"/>
      <w:r w:rsidRPr="00391186">
        <w:rPr>
          <w:lang w:val="en-US"/>
        </w:rPr>
        <w:t xml:space="preserve"> Manlius Severinus Boethius, </w:t>
      </w:r>
      <w:r w:rsidRPr="00391186">
        <w:rPr>
          <w:i/>
          <w:iCs/>
          <w:lang w:val="en-US"/>
        </w:rPr>
        <w:t>Fundamentals of Music</w:t>
      </w:r>
      <w:r w:rsidRPr="00391186">
        <w:rPr>
          <w:lang w:val="en-US"/>
        </w:rPr>
        <w:t xml:space="preserve">, ed. Claude V. </w:t>
      </w:r>
      <w:proofErr w:type="spellStart"/>
      <w:r w:rsidRPr="00391186">
        <w:rPr>
          <w:lang w:val="en-US"/>
        </w:rPr>
        <w:t>Palisca</w:t>
      </w:r>
      <w:proofErr w:type="spellEnd"/>
      <w:r w:rsidRPr="00391186">
        <w:rPr>
          <w:lang w:val="en-US"/>
        </w:rPr>
        <w:t xml:space="preserve">, trans. Calvin M. Bower (New Haven and London: Yale University Press, 1989), 8; See also Calvin M. Bower, “Introduction,” in </w:t>
      </w:r>
      <w:r w:rsidRPr="00391186">
        <w:rPr>
          <w:i/>
          <w:iCs/>
          <w:lang w:val="en-US"/>
        </w:rPr>
        <w:t>Fundamentals of Music</w:t>
      </w:r>
      <w:r w:rsidRPr="00391186">
        <w:rPr>
          <w:lang w:val="en-US"/>
        </w:rPr>
        <w:t xml:space="preserve">, ed. Claude V. </w:t>
      </w:r>
      <w:proofErr w:type="spellStart"/>
      <w:r w:rsidRPr="00391186">
        <w:rPr>
          <w:lang w:val="en-US"/>
        </w:rPr>
        <w:t>Palisca</w:t>
      </w:r>
      <w:proofErr w:type="spellEnd"/>
      <w:r w:rsidRPr="00391186">
        <w:rPr>
          <w:lang w:val="en-US"/>
        </w:rPr>
        <w:t>, trans. Calvin M. Bower (New Haven and London: Yale University Press, 1989), xx.</w:t>
      </w:r>
    </w:p>
  </w:footnote>
  <w:footnote w:id="187">
    <w:p w14:paraId="53BEB4A3" w14:textId="77777777" w:rsidR="00182EED" w:rsidRDefault="00182EED" w:rsidP="001840E8">
      <w:pPr>
        <w:pStyle w:val="FootnoteText"/>
      </w:pPr>
      <w:r w:rsidRPr="00391186">
        <w:rPr>
          <w:rStyle w:val="FootnoteReference"/>
        </w:rPr>
        <w:footnoteRef/>
      </w:r>
      <w:r>
        <w:t xml:space="preserve"> </w:t>
      </w:r>
      <w:r w:rsidRPr="007F5694">
        <w:rPr>
          <w:lang w:val="en-US"/>
        </w:rPr>
        <w:t xml:space="preserve">“Nihil </w:t>
      </w:r>
      <w:proofErr w:type="spellStart"/>
      <w:r w:rsidRPr="007F5694">
        <w:rPr>
          <w:lang w:val="en-US"/>
        </w:rPr>
        <w:t>est</w:t>
      </w:r>
      <w:proofErr w:type="spellEnd"/>
      <w:r w:rsidRPr="007F5694">
        <w:rPr>
          <w:lang w:val="en-US"/>
        </w:rPr>
        <w:t xml:space="preserve"> </w:t>
      </w:r>
      <w:proofErr w:type="spellStart"/>
      <w:r w:rsidRPr="007F5694">
        <w:rPr>
          <w:lang w:val="en-US"/>
        </w:rPr>
        <w:t>enim</w:t>
      </w:r>
      <w:proofErr w:type="spellEnd"/>
      <w:r w:rsidRPr="007F5694">
        <w:rPr>
          <w:lang w:val="en-US"/>
        </w:rPr>
        <w:t xml:space="preserve"> tam proprium </w:t>
      </w:r>
      <w:proofErr w:type="spellStart"/>
      <w:r w:rsidRPr="007F5694">
        <w:rPr>
          <w:lang w:val="en-US"/>
        </w:rPr>
        <w:t>humanitatis</w:t>
      </w:r>
      <w:proofErr w:type="spellEnd"/>
      <w:r w:rsidRPr="007F5694">
        <w:rPr>
          <w:lang w:val="en-US"/>
        </w:rPr>
        <w:t xml:space="preserve">, </w:t>
      </w:r>
      <w:proofErr w:type="spellStart"/>
      <w:r w:rsidRPr="007F5694">
        <w:rPr>
          <w:lang w:val="en-US"/>
        </w:rPr>
        <w:t>quam</w:t>
      </w:r>
      <w:proofErr w:type="spellEnd"/>
      <w:r w:rsidRPr="007F5694">
        <w:rPr>
          <w:lang w:val="en-US"/>
        </w:rPr>
        <w:t xml:space="preserve"> </w:t>
      </w:r>
      <w:proofErr w:type="spellStart"/>
      <w:r w:rsidRPr="007F5694">
        <w:rPr>
          <w:lang w:val="en-US"/>
        </w:rPr>
        <w:t>remitti</w:t>
      </w:r>
      <w:proofErr w:type="spellEnd"/>
      <w:r w:rsidRPr="007F5694">
        <w:rPr>
          <w:lang w:val="en-US"/>
        </w:rPr>
        <w:t xml:space="preserve"> </w:t>
      </w:r>
      <w:proofErr w:type="spellStart"/>
      <w:r w:rsidRPr="007F5694">
        <w:rPr>
          <w:lang w:val="en-US"/>
        </w:rPr>
        <w:t>dulcibus</w:t>
      </w:r>
      <w:proofErr w:type="spellEnd"/>
      <w:r w:rsidRPr="007F5694">
        <w:rPr>
          <w:lang w:val="en-US"/>
        </w:rPr>
        <w:t xml:space="preserve"> </w:t>
      </w:r>
      <w:proofErr w:type="spellStart"/>
      <w:r w:rsidRPr="007F5694">
        <w:rPr>
          <w:lang w:val="en-US"/>
        </w:rPr>
        <w:t>modis</w:t>
      </w:r>
      <w:proofErr w:type="spellEnd"/>
      <w:r w:rsidRPr="007F5694">
        <w:rPr>
          <w:lang w:val="en-US"/>
        </w:rPr>
        <w:t xml:space="preserve">, </w:t>
      </w:r>
      <w:proofErr w:type="spellStart"/>
      <w:r w:rsidRPr="007F5694">
        <w:rPr>
          <w:lang w:val="en-US"/>
        </w:rPr>
        <w:t>adstringi</w:t>
      </w:r>
      <w:proofErr w:type="spellEnd"/>
      <w:r w:rsidRPr="007F5694">
        <w:rPr>
          <w:lang w:val="en-US"/>
        </w:rPr>
        <w:t xml:space="preserve"> </w:t>
      </w:r>
      <w:proofErr w:type="spellStart"/>
      <w:r w:rsidRPr="007F5694">
        <w:rPr>
          <w:lang w:val="en-US"/>
        </w:rPr>
        <w:t>contrariis</w:t>
      </w:r>
      <w:proofErr w:type="spellEnd"/>
      <w:r w:rsidRPr="007F5694">
        <w:rPr>
          <w:lang w:val="en-US"/>
        </w:rPr>
        <w:t xml:space="preserve">.” Boethius, </w:t>
      </w:r>
      <w:r w:rsidRPr="007F5694">
        <w:rPr>
          <w:i/>
          <w:iCs/>
          <w:lang w:val="en-US"/>
        </w:rPr>
        <w:t xml:space="preserve">De </w:t>
      </w:r>
      <w:proofErr w:type="spellStart"/>
      <w:r w:rsidRPr="007F5694">
        <w:rPr>
          <w:i/>
          <w:iCs/>
          <w:lang w:val="en-US"/>
        </w:rPr>
        <w:t>institutione</w:t>
      </w:r>
      <w:proofErr w:type="spellEnd"/>
      <w:r w:rsidRPr="007F5694">
        <w:rPr>
          <w:lang w:val="en-US"/>
        </w:rPr>
        <w:t xml:space="preserve">, 179; English translation from Boethius, </w:t>
      </w:r>
      <w:r w:rsidRPr="007F5694">
        <w:rPr>
          <w:i/>
          <w:iCs/>
          <w:lang w:val="en-US"/>
        </w:rPr>
        <w:t>Fundamentals of Music</w:t>
      </w:r>
      <w:r w:rsidRPr="007F5694">
        <w:rPr>
          <w:lang w:val="en-US"/>
        </w:rPr>
        <w:t>, 2.</w:t>
      </w:r>
    </w:p>
  </w:footnote>
  <w:footnote w:id="188">
    <w:p w14:paraId="5624BACA" w14:textId="77777777" w:rsidR="00182EED" w:rsidRDefault="00182EED" w:rsidP="001840E8">
      <w:pPr>
        <w:pStyle w:val="FootnoteText"/>
      </w:pPr>
      <w:r w:rsidRPr="00391186">
        <w:rPr>
          <w:rStyle w:val="FootnoteReference"/>
        </w:rPr>
        <w:footnoteRef/>
      </w:r>
      <w:r>
        <w:t xml:space="preserve"> </w:t>
      </w:r>
      <w:r w:rsidRPr="007F5694">
        <w:rPr>
          <w:lang w:val="en-US"/>
        </w:rPr>
        <w:t xml:space="preserve">Boethius, </w:t>
      </w:r>
      <w:r w:rsidRPr="007F5694">
        <w:rPr>
          <w:i/>
          <w:iCs/>
          <w:lang w:val="en-US"/>
        </w:rPr>
        <w:t xml:space="preserve">De </w:t>
      </w:r>
      <w:proofErr w:type="spellStart"/>
      <w:r w:rsidRPr="007F5694">
        <w:rPr>
          <w:i/>
          <w:iCs/>
          <w:lang w:val="en-US"/>
        </w:rPr>
        <w:t>institutione</w:t>
      </w:r>
      <w:proofErr w:type="spellEnd"/>
      <w:r w:rsidRPr="007F5694">
        <w:rPr>
          <w:lang w:val="en-US"/>
        </w:rPr>
        <w:t xml:space="preserve">, 180; Boethius, </w:t>
      </w:r>
      <w:r w:rsidRPr="007F5694">
        <w:rPr>
          <w:i/>
          <w:iCs/>
          <w:lang w:val="en-US"/>
        </w:rPr>
        <w:t>Fundamentals of Music</w:t>
      </w:r>
      <w:r w:rsidRPr="007F5694">
        <w:rPr>
          <w:lang w:val="en-US"/>
        </w:rPr>
        <w:t>, 2.</w:t>
      </w:r>
    </w:p>
  </w:footnote>
  <w:footnote w:id="189">
    <w:p w14:paraId="5A1EAE99" w14:textId="77777777" w:rsidR="00182EED" w:rsidRDefault="00182EED" w:rsidP="001840E8">
      <w:pPr>
        <w:pStyle w:val="FootnoteText"/>
      </w:pPr>
      <w:r w:rsidRPr="00391186">
        <w:rPr>
          <w:rStyle w:val="FootnoteReference"/>
        </w:rPr>
        <w:footnoteRef/>
      </w:r>
      <w:r>
        <w:t xml:space="preserve"> </w:t>
      </w:r>
      <w:r w:rsidRPr="007F5694">
        <w:rPr>
          <w:lang w:val="en-US"/>
        </w:rPr>
        <w:t xml:space="preserve">Boethius, </w:t>
      </w:r>
      <w:r w:rsidRPr="007F5694">
        <w:rPr>
          <w:i/>
          <w:iCs/>
          <w:lang w:val="en-US"/>
        </w:rPr>
        <w:t xml:space="preserve">De </w:t>
      </w:r>
      <w:proofErr w:type="spellStart"/>
      <w:r w:rsidRPr="007F5694">
        <w:rPr>
          <w:i/>
          <w:iCs/>
          <w:lang w:val="en-US"/>
        </w:rPr>
        <w:t>institutione</w:t>
      </w:r>
      <w:proofErr w:type="spellEnd"/>
      <w:r w:rsidRPr="007F5694">
        <w:rPr>
          <w:lang w:val="en-US"/>
        </w:rPr>
        <w:t xml:space="preserve">, 182–87; Boethius, </w:t>
      </w:r>
      <w:r w:rsidRPr="007F5694">
        <w:rPr>
          <w:i/>
          <w:iCs/>
          <w:lang w:val="en-US"/>
        </w:rPr>
        <w:t>Fundamentals of Music</w:t>
      </w:r>
      <w:r w:rsidRPr="007F5694">
        <w:rPr>
          <w:lang w:val="en-US"/>
        </w:rPr>
        <w:t>, 4–8.</w:t>
      </w:r>
    </w:p>
  </w:footnote>
  <w:footnote w:id="190">
    <w:p w14:paraId="661D0DE7" w14:textId="77777777" w:rsidR="00182EED" w:rsidRDefault="00182EED" w:rsidP="001840E8">
      <w:pPr>
        <w:pStyle w:val="FootnoteText"/>
      </w:pPr>
      <w:r w:rsidRPr="00391186">
        <w:rPr>
          <w:rStyle w:val="FootnoteReference"/>
        </w:rPr>
        <w:footnoteRef/>
      </w:r>
      <w:r>
        <w:t xml:space="preserve"> </w:t>
      </w:r>
      <w:r w:rsidRPr="007F5694">
        <w:rPr>
          <w:lang w:val="en-US"/>
        </w:rPr>
        <w:t xml:space="preserve">Boethius, </w:t>
      </w:r>
      <w:r w:rsidRPr="007F5694">
        <w:rPr>
          <w:i/>
          <w:iCs/>
          <w:lang w:val="en-US"/>
        </w:rPr>
        <w:t xml:space="preserve">De </w:t>
      </w:r>
      <w:proofErr w:type="spellStart"/>
      <w:r w:rsidRPr="007F5694">
        <w:rPr>
          <w:i/>
          <w:iCs/>
          <w:lang w:val="en-US"/>
        </w:rPr>
        <w:t>institutione</w:t>
      </w:r>
      <w:proofErr w:type="spellEnd"/>
      <w:r w:rsidRPr="007F5694">
        <w:rPr>
          <w:lang w:val="en-US"/>
        </w:rPr>
        <w:t xml:space="preserve">, 187; Boethius, </w:t>
      </w:r>
      <w:r w:rsidRPr="007F5694">
        <w:rPr>
          <w:i/>
          <w:iCs/>
          <w:lang w:val="en-US"/>
        </w:rPr>
        <w:t>Fundamentals of Music</w:t>
      </w:r>
      <w:r w:rsidRPr="007F5694">
        <w:rPr>
          <w:lang w:val="en-US"/>
        </w:rPr>
        <w:t>, 9.</w:t>
      </w:r>
    </w:p>
  </w:footnote>
  <w:footnote w:id="191">
    <w:p w14:paraId="03AB4D75" w14:textId="77777777" w:rsidR="00182EED" w:rsidRDefault="00182EED" w:rsidP="001840E8">
      <w:pPr>
        <w:pStyle w:val="FootnoteText"/>
      </w:pPr>
      <w:r w:rsidRPr="00391186">
        <w:rPr>
          <w:rStyle w:val="FootnoteReference"/>
        </w:rPr>
        <w:footnoteRef/>
      </w:r>
      <w:r>
        <w:t xml:space="preserve"> </w:t>
      </w:r>
      <w:r w:rsidRPr="007F5694">
        <w:rPr>
          <w:lang w:val="en-US"/>
        </w:rPr>
        <w:t xml:space="preserve">Boethius, </w:t>
      </w:r>
      <w:r w:rsidRPr="007F5694">
        <w:rPr>
          <w:i/>
          <w:iCs/>
          <w:lang w:val="en-US"/>
        </w:rPr>
        <w:t xml:space="preserve">De </w:t>
      </w:r>
      <w:proofErr w:type="spellStart"/>
      <w:r w:rsidRPr="007F5694">
        <w:rPr>
          <w:i/>
          <w:iCs/>
          <w:lang w:val="en-US"/>
        </w:rPr>
        <w:t>institutione</w:t>
      </w:r>
      <w:proofErr w:type="spellEnd"/>
      <w:r w:rsidRPr="007F5694">
        <w:rPr>
          <w:lang w:val="en-US"/>
        </w:rPr>
        <w:t xml:space="preserve">, 187–89; Boethius, </w:t>
      </w:r>
      <w:r w:rsidRPr="007F5694">
        <w:rPr>
          <w:i/>
          <w:iCs/>
          <w:lang w:val="en-US"/>
        </w:rPr>
        <w:t>Fundamentals of Music</w:t>
      </w:r>
      <w:r w:rsidRPr="007F5694">
        <w:rPr>
          <w:lang w:val="en-US"/>
        </w:rPr>
        <w:t>, 9–10.</w:t>
      </w:r>
    </w:p>
  </w:footnote>
  <w:footnote w:id="192">
    <w:p w14:paraId="5DC7429D" w14:textId="77777777" w:rsidR="00182EED" w:rsidRDefault="00182EED" w:rsidP="001840E8">
      <w:pPr>
        <w:pStyle w:val="FootnoteText"/>
      </w:pPr>
      <w:r w:rsidRPr="00391186">
        <w:rPr>
          <w:rStyle w:val="FootnoteReference"/>
        </w:rPr>
        <w:footnoteRef/>
      </w:r>
      <w:r>
        <w:t xml:space="preserve"> </w:t>
      </w:r>
      <w:r w:rsidRPr="00B15A10">
        <w:rPr>
          <w:lang w:val="en-US"/>
        </w:rPr>
        <w:t>“</w:t>
      </w:r>
      <w:proofErr w:type="spellStart"/>
      <w:r w:rsidRPr="00B15A10">
        <w:rPr>
          <w:lang w:val="en-US"/>
        </w:rPr>
        <w:t>Incorpoream</w:t>
      </w:r>
      <w:proofErr w:type="spellEnd"/>
      <w:r w:rsidRPr="00B15A10">
        <w:rPr>
          <w:lang w:val="en-US"/>
        </w:rPr>
        <w:t xml:space="preserve"> rationis </w:t>
      </w:r>
      <w:proofErr w:type="spellStart"/>
      <w:r w:rsidRPr="00B15A10">
        <w:rPr>
          <w:lang w:val="en-US"/>
        </w:rPr>
        <w:t>vivacitatem</w:t>
      </w:r>
      <w:proofErr w:type="spellEnd"/>
      <w:r w:rsidRPr="00B15A10">
        <w:rPr>
          <w:lang w:val="en-US"/>
        </w:rPr>
        <w:t xml:space="preserve"> </w:t>
      </w:r>
      <w:proofErr w:type="spellStart"/>
      <w:r w:rsidRPr="00B15A10">
        <w:rPr>
          <w:lang w:val="en-US"/>
        </w:rPr>
        <w:t>corpori</w:t>
      </w:r>
      <w:proofErr w:type="spellEnd"/>
      <w:r w:rsidRPr="00B15A10">
        <w:rPr>
          <w:lang w:val="en-US"/>
        </w:rPr>
        <w:t xml:space="preserve"> </w:t>
      </w:r>
      <w:proofErr w:type="spellStart"/>
      <w:r w:rsidRPr="00B15A10">
        <w:rPr>
          <w:lang w:val="en-US"/>
        </w:rPr>
        <w:t>misceat</w:t>
      </w:r>
      <w:proofErr w:type="spellEnd"/>
      <w:r w:rsidRPr="00B15A10">
        <w:rPr>
          <w:lang w:val="en-US"/>
        </w:rPr>
        <w:t xml:space="preserve">.” Boethius, </w:t>
      </w:r>
      <w:r w:rsidRPr="00B15A10">
        <w:rPr>
          <w:i/>
          <w:iCs/>
          <w:lang w:val="en-US"/>
        </w:rPr>
        <w:t xml:space="preserve">De </w:t>
      </w:r>
      <w:proofErr w:type="spellStart"/>
      <w:r w:rsidRPr="00B15A10">
        <w:rPr>
          <w:i/>
          <w:iCs/>
          <w:lang w:val="en-US"/>
        </w:rPr>
        <w:t>institutione</w:t>
      </w:r>
      <w:proofErr w:type="spellEnd"/>
      <w:r w:rsidRPr="00B15A10">
        <w:rPr>
          <w:lang w:val="en-US"/>
        </w:rPr>
        <w:t xml:space="preserve">, 188; English translation from Boethius, </w:t>
      </w:r>
      <w:r w:rsidRPr="00B15A10">
        <w:rPr>
          <w:i/>
          <w:iCs/>
          <w:lang w:val="en-US"/>
        </w:rPr>
        <w:t>Fundamentals of Music</w:t>
      </w:r>
      <w:r w:rsidRPr="00B15A10">
        <w:rPr>
          <w:lang w:val="en-US"/>
        </w:rPr>
        <w:t>, 10.</w:t>
      </w:r>
    </w:p>
  </w:footnote>
  <w:footnote w:id="193">
    <w:p w14:paraId="40537B52" w14:textId="77777777" w:rsidR="00182EED" w:rsidRDefault="00182EED" w:rsidP="001840E8">
      <w:pPr>
        <w:pStyle w:val="FootnoteText"/>
      </w:pPr>
      <w:r w:rsidRPr="00391186">
        <w:rPr>
          <w:rStyle w:val="FootnoteReference"/>
        </w:rPr>
        <w:footnoteRef/>
      </w:r>
      <w:r>
        <w:t xml:space="preserve"> </w:t>
      </w:r>
      <w:r w:rsidRPr="00B15A10">
        <w:rPr>
          <w:lang w:val="en-US"/>
        </w:rPr>
        <w:t xml:space="preserve">Kim, </w:t>
      </w:r>
      <w:r w:rsidRPr="00B15A10">
        <w:rPr>
          <w:i/>
          <w:iCs/>
          <w:lang w:val="en-US"/>
        </w:rPr>
        <w:t>The Renaissance Ethics of Music</w:t>
      </w:r>
      <w:r w:rsidRPr="00B15A10">
        <w:rPr>
          <w:lang w:val="en-US"/>
        </w:rPr>
        <w:t>, 18.</w:t>
      </w:r>
    </w:p>
  </w:footnote>
  <w:footnote w:id="194">
    <w:p w14:paraId="5DAEBD0C" w14:textId="77777777" w:rsidR="00182EED" w:rsidRDefault="00182EED" w:rsidP="001840E8">
      <w:pPr>
        <w:pStyle w:val="FootnoteText"/>
      </w:pPr>
      <w:r w:rsidRPr="00391186">
        <w:rPr>
          <w:rStyle w:val="FootnoteReference"/>
        </w:rPr>
        <w:footnoteRef/>
      </w:r>
      <w:r>
        <w:t xml:space="preserve"> </w:t>
      </w:r>
      <w:r w:rsidRPr="007F5694">
        <w:rPr>
          <w:lang w:val="en-US"/>
        </w:rPr>
        <w:t>Ibid., 18–20.</w:t>
      </w:r>
    </w:p>
  </w:footnote>
  <w:footnote w:id="195">
    <w:p w14:paraId="13976169" w14:textId="77777777" w:rsidR="00182EED" w:rsidRDefault="00182EED" w:rsidP="001840E8">
      <w:pPr>
        <w:pStyle w:val="FootnoteText"/>
      </w:pPr>
      <w:r w:rsidRPr="00391186">
        <w:rPr>
          <w:rStyle w:val="FootnoteReference"/>
        </w:rPr>
        <w:footnoteRef/>
      </w:r>
      <w:r>
        <w:t xml:space="preserve"> </w:t>
      </w:r>
      <w:r w:rsidRPr="007F5694">
        <w:rPr>
          <w:lang w:val="en-US"/>
        </w:rPr>
        <w:t xml:space="preserve">For an overview of </w:t>
      </w:r>
      <w:proofErr w:type="spellStart"/>
      <w:r w:rsidRPr="007F5694">
        <w:rPr>
          <w:lang w:val="en-US"/>
        </w:rPr>
        <w:t>Marsilio</w:t>
      </w:r>
      <w:proofErr w:type="spellEnd"/>
      <w:r w:rsidRPr="007F5694">
        <w:rPr>
          <w:lang w:val="en-US"/>
        </w:rPr>
        <w:t xml:space="preserve"> Ficino’s interest in music </w:t>
      </w:r>
      <w:proofErr w:type="spellStart"/>
      <w:r w:rsidRPr="007F5694">
        <w:rPr>
          <w:lang w:val="en-US"/>
        </w:rPr>
        <w:t>Jacomien</w:t>
      </w:r>
      <w:proofErr w:type="spellEnd"/>
      <w:r w:rsidRPr="007F5694">
        <w:rPr>
          <w:lang w:val="en-US"/>
        </w:rPr>
        <w:t xml:space="preserve"> </w:t>
      </w:r>
      <w:proofErr w:type="spellStart"/>
      <w:r w:rsidRPr="007F5694">
        <w:rPr>
          <w:lang w:val="en-US"/>
        </w:rPr>
        <w:t>Prins</w:t>
      </w:r>
      <w:proofErr w:type="spellEnd"/>
      <w:r w:rsidRPr="007F5694">
        <w:rPr>
          <w:lang w:val="en-US"/>
        </w:rPr>
        <w:t xml:space="preserve">, </w:t>
      </w:r>
      <w:r w:rsidRPr="007F5694">
        <w:rPr>
          <w:i/>
          <w:iCs/>
          <w:lang w:val="en-US"/>
        </w:rPr>
        <w:t xml:space="preserve">Echoes of an Invisible World: </w:t>
      </w:r>
      <w:proofErr w:type="spellStart"/>
      <w:r w:rsidRPr="007F5694">
        <w:rPr>
          <w:i/>
          <w:iCs/>
          <w:lang w:val="en-US"/>
        </w:rPr>
        <w:t>Marsilio</w:t>
      </w:r>
      <w:proofErr w:type="spellEnd"/>
      <w:r w:rsidRPr="007F5694">
        <w:rPr>
          <w:i/>
          <w:iCs/>
          <w:lang w:val="en-US"/>
        </w:rPr>
        <w:t xml:space="preserve"> Ficino and Francesco Patrizi on Cosmic Order and Music Theory</w:t>
      </w:r>
      <w:r w:rsidRPr="007F5694">
        <w:rPr>
          <w:lang w:val="en-US"/>
        </w:rPr>
        <w:t xml:space="preserve"> (Leiden and Boston: Brill, 2015), esp. 25-118; On Ficino’s musical activity see Daniel Pickering Walker, </w:t>
      </w:r>
      <w:r w:rsidRPr="007F5694">
        <w:rPr>
          <w:i/>
          <w:iCs/>
          <w:lang w:val="en-US"/>
        </w:rPr>
        <w:t>Spiritual and Demonic Magic: From Ficino to Campanella</w:t>
      </w:r>
      <w:r w:rsidRPr="007F5694">
        <w:rPr>
          <w:lang w:val="en-US"/>
        </w:rPr>
        <w:t xml:space="preserve"> (University Park, PA: Pennsylvania State University Press, 2000), 19.</w:t>
      </w:r>
    </w:p>
  </w:footnote>
  <w:footnote w:id="196">
    <w:p w14:paraId="3180A9C6" w14:textId="77777777" w:rsidR="00182EED" w:rsidRDefault="00182EED" w:rsidP="001840E8">
      <w:pPr>
        <w:pStyle w:val="FootnoteText"/>
      </w:pPr>
      <w:r w:rsidRPr="00391186">
        <w:rPr>
          <w:rStyle w:val="FootnoteReference"/>
        </w:rPr>
        <w:footnoteRef/>
      </w:r>
      <w:r>
        <w:t xml:space="preserve"> </w:t>
      </w:r>
      <w:proofErr w:type="spellStart"/>
      <w:r w:rsidRPr="007F5694">
        <w:rPr>
          <w:lang w:val="en-US"/>
        </w:rPr>
        <w:t>Marsilio</w:t>
      </w:r>
      <w:proofErr w:type="spellEnd"/>
      <w:r w:rsidRPr="007F5694">
        <w:rPr>
          <w:lang w:val="en-US"/>
        </w:rPr>
        <w:t xml:space="preserve"> Ficino, </w:t>
      </w:r>
      <w:r w:rsidRPr="007F5694">
        <w:rPr>
          <w:i/>
          <w:iCs/>
          <w:lang w:val="en-US"/>
        </w:rPr>
        <w:t>Three Books on Life</w:t>
      </w:r>
      <w:r w:rsidRPr="007F5694">
        <w:rPr>
          <w:lang w:val="en-US"/>
        </w:rPr>
        <w:t xml:space="preserve">, ed. Carol V. </w:t>
      </w:r>
      <w:proofErr w:type="spellStart"/>
      <w:r w:rsidRPr="007F5694">
        <w:rPr>
          <w:lang w:val="en-US"/>
        </w:rPr>
        <w:t>Kaske</w:t>
      </w:r>
      <w:proofErr w:type="spellEnd"/>
      <w:r w:rsidRPr="007F5694">
        <w:rPr>
          <w:lang w:val="en-US"/>
        </w:rPr>
        <w:t xml:space="preserve"> and John R. Clark (Tempe, AZ: Medieval &amp; Renaissance Texts &amp; Studies in conjunction with the Renaissance Society of America, 1998), 3.21, 356–59.</w:t>
      </w:r>
    </w:p>
  </w:footnote>
  <w:footnote w:id="197">
    <w:p w14:paraId="2FFDE659" w14:textId="77777777" w:rsidR="00182EED" w:rsidRDefault="00182EED" w:rsidP="001840E8">
      <w:pPr>
        <w:pStyle w:val="FootnoteText"/>
      </w:pPr>
      <w:r w:rsidRPr="00391186">
        <w:rPr>
          <w:rStyle w:val="FootnoteReference"/>
        </w:rPr>
        <w:footnoteRef/>
      </w:r>
      <w:r>
        <w:t xml:space="preserve"> </w:t>
      </w:r>
      <w:r w:rsidRPr="007F5694">
        <w:rPr>
          <w:lang w:val="en-US"/>
        </w:rPr>
        <w:t>“</w:t>
      </w:r>
      <w:proofErr w:type="spellStart"/>
      <w:r w:rsidRPr="007F5694">
        <w:rPr>
          <w:lang w:val="en-US"/>
        </w:rPr>
        <w:t>Hinc</w:t>
      </w:r>
      <w:proofErr w:type="spellEnd"/>
      <w:r w:rsidRPr="007F5694">
        <w:rPr>
          <w:lang w:val="en-US"/>
        </w:rPr>
        <w:t xml:space="preserve"> </w:t>
      </w:r>
      <w:proofErr w:type="spellStart"/>
      <w:r w:rsidRPr="007F5694">
        <w:rPr>
          <w:lang w:val="en-US"/>
        </w:rPr>
        <w:t>quidem</w:t>
      </w:r>
      <w:proofErr w:type="spellEnd"/>
      <w:r w:rsidRPr="007F5694">
        <w:rPr>
          <w:lang w:val="en-US"/>
        </w:rPr>
        <w:t xml:space="preserve"> </w:t>
      </w:r>
      <w:proofErr w:type="spellStart"/>
      <w:r w:rsidRPr="007F5694">
        <w:rPr>
          <w:lang w:val="en-US"/>
        </w:rPr>
        <w:t>spiritum</w:t>
      </w:r>
      <w:proofErr w:type="spellEnd"/>
      <w:r w:rsidRPr="007F5694">
        <w:rPr>
          <w:lang w:val="en-US"/>
        </w:rPr>
        <w:t xml:space="preserve"> nostrum ad </w:t>
      </w:r>
      <w:proofErr w:type="spellStart"/>
      <w:r w:rsidRPr="007F5694">
        <w:rPr>
          <w:lang w:val="en-US"/>
        </w:rPr>
        <w:t>coelestem</w:t>
      </w:r>
      <w:proofErr w:type="spellEnd"/>
      <w:r w:rsidRPr="007F5694">
        <w:rPr>
          <w:lang w:val="en-US"/>
        </w:rPr>
        <w:t xml:space="preserve"> </w:t>
      </w:r>
      <w:proofErr w:type="spellStart"/>
      <w:r w:rsidRPr="007F5694">
        <w:rPr>
          <w:lang w:val="en-US"/>
        </w:rPr>
        <w:t>influxum</w:t>
      </w:r>
      <w:proofErr w:type="spellEnd"/>
      <w:r w:rsidRPr="007F5694">
        <w:rPr>
          <w:lang w:val="en-US"/>
        </w:rPr>
        <w:t xml:space="preserve">, </w:t>
      </w:r>
      <w:proofErr w:type="spellStart"/>
      <w:r w:rsidRPr="007F5694">
        <w:rPr>
          <w:lang w:val="en-US"/>
        </w:rPr>
        <w:t>inde</w:t>
      </w:r>
      <w:proofErr w:type="spellEnd"/>
      <w:r w:rsidRPr="007F5694">
        <w:rPr>
          <w:lang w:val="en-US"/>
        </w:rPr>
        <w:t xml:space="preserve"> </w:t>
      </w:r>
      <w:proofErr w:type="spellStart"/>
      <w:r w:rsidRPr="007F5694">
        <w:rPr>
          <w:lang w:val="en-US"/>
        </w:rPr>
        <w:t>vero</w:t>
      </w:r>
      <w:proofErr w:type="spellEnd"/>
      <w:r w:rsidRPr="007F5694">
        <w:rPr>
          <w:lang w:val="en-US"/>
        </w:rPr>
        <w:t xml:space="preserve"> </w:t>
      </w:r>
      <w:proofErr w:type="spellStart"/>
      <w:r w:rsidRPr="007F5694">
        <w:rPr>
          <w:lang w:val="en-US"/>
        </w:rPr>
        <w:t>influxum</w:t>
      </w:r>
      <w:proofErr w:type="spellEnd"/>
      <w:r w:rsidRPr="007F5694">
        <w:rPr>
          <w:lang w:val="en-US"/>
        </w:rPr>
        <w:t xml:space="preserve"> </w:t>
      </w:r>
      <w:proofErr w:type="spellStart"/>
      <w:r w:rsidRPr="007F5694">
        <w:rPr>
          <w:lang w:val="en-US"/>
        </w:rPr>
        <w:t>ad</w:t>
      </w:r>
      <w:proofErr w:type="spellEnd"/>
      <w:r w:rsidRPr="007F5694">
        <w:rPr>
          <w:lang w:val="en-US"/>
        </w:rPr>
        <w:t xml:space="preserve"> </w:t>
      </w:r>
      <w:proofErr w:type="spellStart"/>
      <w:r w:rsidRPr="007F5694">
        <w:rPr>
          <w:lang w:val="en-US"/>
        </w:rPr>
        <w:t>spiritum</w:t>
      </w:r>
      <w:proofErr w:type="spellEnd"/>
      <w:r w:rsidRPr="007F5694">
        <w:rPr>
          <w:lang w:val="en-US"/>
        </w:rPr>
        <w:t xml:space="preserve"> </w:t>
      </w:r>
      <w:proofErr w:type="spellStart"/>
      <w:r w:rsidRPr="007F5694">
        <w:rPr>
          <w:lang w:val="en-US"/>
        </w:rPr>
        <w:t>mirifice</w:t>
      </w:r>
      <w:proofErr w:type="spellEnd"/>
      <w:r w:rsidRPr="007F5694">
        <w:rPr>
          <w:lang w:val="en-US"/>
        </w:rPr>
        <w:t xml:space="preserve"> </w:t>
      </w:r>
      <w:proofErr w:type="spellStart"/>
      <w:r w:rsidRPr="007F5694">
        <w:rPr>
          <w:lang w:val="en-US"/>
        </w:rPr>
        <w:t>provocat</w:t>
      </w:r>
      <w:proofErr w:type="spellEnd"/>
      <w:r w:rsidRPr="007F5694">
        <w:rPr>
          <w:lang w:val="en-US"/>
        </w:rPr>
        <w:t>.” Ibid., 3.21, 358–59.</w:t>
      </w:r>
    </w:p>
  </w:footnote>
  <w:footnote w:id="198">
    <w:p w14:paraId="3A7AC0DE" w14:textId="77777777" w:rsidR="00182EED" w:rsidRDefault="00182EED" w:rsidP="001840E8">
      <w:pPr>
        <w:pStyle w:val="FootnoteText"/>
      </w:pPr>
      <w:r w:rsidRPr="00391186">
        <w:rPr>
          <w:rStyle w:val="FootnoteReference"/>
        </w:rPr>
        <w:footnoteRef/>
      </w:r>
      <w:r>
        <w:t xml:space="preserve"> </w:t>
      </w:r>
      <w:r>
        <w:rPr>
          <w:noProof/>
        </w:rPr>
        <w:t>Ibid., 3.21, 355, 363.</w:t>
      </w:r>
    </w:p>
  </w:footnote>
  <w:footnote w:id="199">
    <w:p w14:paraId="1245EB01" w14:textId="77777777" w:rsidR="00182EED" w:rsidRDefault="00182EED" w:rsidP="001840E8">
      <w:pPr>
        <w:pStyle w:val="FootnoteText"/>
      </w:pPr>
      <w:r w:rsidRPr="00391186">
        <w:rPr>
          <w:rStyle w:val="FootnoteReference"/>
        </w:rPr>
        <w:footnoteRef/>
      </w:r>
      <w:r>
        <w:t xml:space="preserve"> </w:t>
      </w:r>
      <w:r w:rsidRPr="00B15A10">
        <w:rPr>
          <w:lang w:val="en-US"/>
        </w:rPr>
        <w:t>“</w:t>
      </w:r>
      <w:proofErr w:type="spellStart"/>
      <w:r w:rsidRPr="00B15A10">
        <w:rPr>
          <w:lang w:val="en-US"/>
        </w:rPr>
        <w:t>Musicae</w:t>
      </w:r>
      <w:proofErr w:type="spellEnd"/>
      <w:r w:rsidRPr="00B15A10">
        <w:rPr>
          <w:lang w:val="en-US"/>
        </w:rPr>
        <w:t xml:space="preserve"> </w:t>
      </w:r>
      <w:proofErr w:type="spellStart"/>
      <w:r w:rsidRPr="00B15A10">
        <w:rPr>
          <w:lang w:val="en-US"/>
        </w:rPr>
        <w:t>illius</w:t>
      </w:r>
      <w:proofErr w:type="spellEnd"/>
      <w:r w:rsidRPr="00B15A10">
        <w:rPr>
          <w:lang w:val="en-US"/>
        </w:rPr>
        <w:t xml:space="preserve"> </w:t>
      </w:r>
      <w:proofErr w:type="spellStart"/>
      <w:r w:rsidRPr="00B15A10">
        <w:rPr>
          <w:lang w:val="en-US"/>
        </w:rPr>
        <w:t>incomparabilis</w:t>
      </w:r>
      <w:proofErr w:type="spellEnd"/>
      <w:r w:rsidRPr="00B15A10">
        <w:rPr>
          <w:lang w:val="en-US"/>
        </w:rPr>
        <w:t xml:space="preserve"> </w:t>
      </w:r>
      <w:proofErr w:type="spellStart"/>
      <w:r w:rsidRPr="00B15A10">
        <w:rPr>
          <w:lang w:val="en-US"/>
        </w:rPr>
        <w:t>accipit</w:t>
      </w:r>
      <w:proofErr w:type="spellEnd"/>
      <w:r w:rsidRPr="00B15A10">
        <w:rPr>
          <w:lang w:val="en-US"/>
        </w:rPr>
        <w:t xml:space="preserve">. </w:t>
      </w:r>
      <w:proofErr w:type="spellStart"/>
      <w:r w:rsidRPr="00B15A10">
        <w:rPr>
          <w:lang w:val="en-US"/>
        </w:rPr>
        <w:t>Quibus</w:t>
      </w:r>
      <w:proofErr w:type="spellEnd"/>
      <w:r w:rsidRPr="00B15A10">
        <w:rPr>
          <w:lang w:val="en-US"/>
        </w:rPr>
        <w:t xml:space="preserve"> in </w:t>
      </w:r>
      <w:proofErr w:type="spellStart"/>
      <w:r w:rsidRPr="00B15A10">
        <w:rPr>
          <w:lang w:val="en-US"/>
        </w:rPr>
        <w:t>eius</w:t>
      </w:r>
      <w:proofErr w:type="spellEnd"/>
      <w:r w:rsidRPr="00B15A10">
        <w:rPr>
          <w:lang w:val="en-US"/>
        </w:rPr>
        <w:t xml:space="preserve"> qua </w:t>
      </w:r>
      <w:proofErr w:type="spellStart"/>
      <w:r w:rsidRPr="00B15A10">
        <w:rPr>
          <w:lang w:val="en-US"/>
        </w:rPr>
        <w:t>antea</w:t>
      </w:r>
      <w:proofErr w:type="spellEnd"/>
      <w:r w:rsidRPr="00B15A10">
        <w:rPr>
          <w:lang w:val="en-US"/>
        </w:rPr>
        <w:t xml:space="preserve"> </w:t>
      </w:r>
      <w:proofErr w:type="spellStart"/>
      <w:r w:rsidRPr="00B15A10">
        <w:rPr>
          <w:lang w:val="en-US"/>
        </w:rPr>
        <w:t>fruebatur</w:t>
      </w:r>
      <w:proofErr w:type="spellEnd"/>
      <w:r w:rsidRPr="00B15A10">
        <w:rPr>
          <w:lang w:val="en-US"/>
        </w:rPr>
        <w:t xml:space="preserve"> </w:t>
      </w:r>
      <w:proofErr w:type="spellStart"/>
      <w:r w:rsidRPr="00B15A10">
        <w:rPr>
          <w:lang w:val="en-US"/>
        </w:rPr>
        <w:t>harmoniae</w:t>
      </w:r>
      <w:proofErr w:type="spellEnd"/>
      <w:r w:rsidRPr="00B15A10">
        <w:rPr>
          <w:lang w:val="en-US"/>
        </w:rPr>
        <w:t xml:space="preserve">, </w:t>
      </w:r>
      <w:proofErr w:type="spellStart"/>
      <w:r w:rsidRPr="00B15A10">
        <w:rPr>
          <w:lang w:val="en-US"/>
        </w:rPr>
        <w:t>intimam</w:t>
      </w:r>
      <w:proofErr w:type="spellEnd"/>
      <w:r w:rsidRPr="00B15A10">
        <w:rPr>
          <w:lang w:val="en-US"/>
        </w:rPr>
        <w:t xml:space="preserve"> </w:t>
      </w:r>
      <w:proofErr w:type="spellStart"/>
      <w:r w:rsidRPr="00B15A10">
        <w:rPr>
          <w:lang w:val="en-US"/>
        </w:rPr>
        <w:t>quandam</w:t>
      </w:r>
      <w:proofErr w:type="spellEnd"/>
      <w:r w:rsidRPr="00B15A10">
        <w:rPr>
          <w:lang w:val="en-US"/>
        </w:rPr>
        <w:t xml:space="preserve">, ac </w:t>
      </w:r>
      <w:proofErr w:type="spellStart"/>
      <w:r w:rsidRPr="00B15A10">
        <w:rPr>
          <w:lang w:val="en-US"/>
        </w:rPr>
        <w:t>tacitam</w:t>
      </w:r>
      <w:proofErr w:type="spellEnd"/>
      <w:r w:rsidRPr="00B15A10">
        <w:rPr>
          <w:lang w:val="en-US"/>
        </w:rPr>
        <w:t xml:space="preserve"> </w:t>
      </w:r>
      <w:proofErr w:type="spellStart"/>
      <w:r w:rsidRPr="00B15A10">
        <w:rPr>
          <w:lang w:val="en-US"/>
        </w:rPr>
        <w:t>recordationem</w:t>
      </w:r>
      <w:proofErr w:type="spellEnd"/>
      <w:r w:rsidRPr="00B15A10">
        <w:rPr>
          <w:lang w:val="en-US"/>
        </w:rPr>
        <w:t xml:space="preserve"> </w:t>
      </w:r>
      <w:proofErr w:type="spellStart"/>
      <w:r w:rsidRPr="00B15A10">
        <w:rPr>
          <w:lang w:val="en-US"/>
        </w:rPr>
        <w:t>reducitur</w:t>
      </w:r>
      <w:proofErr w:type="spellEnd"/>
      <w:r w:rsidRPr="00B15A10">
        <w:rPr>
          <w:lang w:val="en-US"/>
        </w:rPr>
        <w:t xml:space="preserve">, </w:t>
      </w:r>
      <w:proofErr w:type="spellStart"/>
      <w:r w:rsidRPr="00B15A10">
        <w:rPr>
          <w:lang w:val="en-US"/>
        </w:rPr>
        <w:t>totusque</w:t>
      </w:r>
      <w:proofErr w:type="spellEnd"/>
      <w:r w:rsidRPr="00B15A10">
        <w:rPr>
          <w:lang w:val="en-US"/>
        </w:rPr>
        <w:t xml:space="preserve"> </w:t>
      </w:r>
      <w:proofErr w:type="spellStart"/>
      <w:r w:rsidRPr="00B15A10">
        <w:rPr>
          <w:lang w:val="en-US"/>
        </w:rPr>
        <w:t>desiderio</w:t>
      </w:r>
      <w:proofErr w:type="spellEnd"/>
      <w:r w:rsidRPr="00B15A10">
        <w:rPr>
          <w:lang w:val="en-US"/>
        </w:rPr>
        <w:t xml:space="preserve"> </w:t>
      </w:r>
      <w:proofErr w:type="spellStart"/>
      <w:r w:rsidRPr="00B15A10">
        <w:rPr>
          <w:lang w:val="en-US"/>
        </w:rPr>
        <w:t>feruet</w:t>
      </w:r>
      <w:proofErr w:type="spellEnd"/>
      <w:r w:rsidRPr="00B15A10">
        <w:rPr>
          <w:lang w:val="en-US"/>
        </w:rPr>
        <w:t xml:space="preserve">, </w:t>
      </w:r>
      <w:proofErr w:type="spellStart"/>
      <w:r w:rsidRPr="00B15A10">
        <w:rPr>
          <w:lang w:val="en-US"/>
        </w:rPr>
        <w:t>cupitque</w:t>
      </w:r>
      <w:proofErr w:type="spellEnd"/>
      <w:r w:rsidRPr="00B15A10">
        <w:rPr>
          <w:lang w:val="en-US"/>
        </w:rPr>
        <w:t xml:space="preserve"> </w:t>
      </w:r>
      <w:proofErr w:type="spellStart"/>
      <w:r w:rsidRPr="00B15A10">
        <w:rPr>
          <w:lang w:val="en-US"/>
        </w:rPr>
        <w:t>ut</w:t>
      </w:r>
      <w:proofErr w:type="spellEnd"/>
      <w:r w:rsidRPr="00B15A10">
        <w:rPr>
          <w:lang w:val="en-US"/>
        </w:rPr>
        <w:t xml:space="preserve"> </w:t>
      </w:r>
      <w:proofErr w:type="spellStart"/>
      <w:r w:rsidRPr="00B15A10">
        <w:rPr>
          <w:lang w:val="en-US"/>
        </w:rPr>
        <w:t>uera</w:t>
      </w:r>
      <w:proofErr w:type="spellEnd"/>
      <w:r w:rsidRPr="00B15A10">
        <w:rPr>
          <w:lang w:val="en-US"/>
        </w:rPr>
        <w:t xml:space="preserve"> </w:t>
      </w:r>
      <w:proofErr w:type="spellStart"/>
      <w:r w:rsidRPr="00B15A10">
        <w:rPr>
          <w:lang w:val="en-US"/>
        </w:rPr>
        <w:t>musica</w:t>
      </w:r>
      <w:proofErr w:type="spellEnd"/>
      <w:r w:rsidRPr="00B15A10">
        <w:rPr>
          <w:lang w:val="en-US"/>
        </w:rPr>
        <w:t xml:space="preserve"> </w:t>
      </w:r>
      <w:proofErr w:type="spellStart"/>
      <w:r w:rsidRPr="00B15A10">
        <w:rPr>
          <w:lang w:val="en-US"/>
        </w:rPr>
        <w:t>rursus</w:t>
      </w:r>
      <w:proofErr w:type="spellEnd"/>
      <w:r w:rsidRPr="00B15A10">
        <w:rPr>
          <w:lang w:val="en-US"/>
        </w:rPr>
        <w:t xml:space="preserve"> </w:t>
      </w:r>
      <w:proofErr w:type="spellStart"/>
      <w:r w:rsidRPr="00B15A10">
        <w:rPr>
          <w:lang w:val="en-US"/>
        </w:rPr>
        <w:t>fruatur</w:t>
      </w:r>
      <w:proofErr w:type="spellEnd"/>
      <w:r w:rsidRPr="00B15A10">
        <w:rPr>
          <w:lang w:val="en-US"/>
        </w:rPr>
        <w:t xml:space="preserve">, ac </w:t>
      </w:r>
      <w:proofErr w:type="spellStart"/>
      <w:r w:rsidRPr="00B15A10">
        <w:rPr>
          <w:lang w:val="en-US"/>
        </w:rPr>
        <w:t>sedes</w:t>
      </w:r>
      <w:proofErr w:type="spellEnd"/>
      <w:r w:rsidRPr="00B15A10">
        <w:rPr>
          <w:lang w:val="en-US"/>
        </w:rPr>
        <w:t xml:space="preserve"> </w:t>
      </w:r>
      <w:proofErr w:type="spellStart"/>
      <w:r w:rsidRPr="00B15A10">
        <w:rPr>
          <w:lang w:val="en-US"/>
        </w:rPr>
        <w:t>proprias</w:t>
      </w:r>
      <w:proofErr w:type="spellEnd"/>
      <w:r w:rsidRPr="00B15A10">
        <w:rPr>
          <w:lang w:val="en-US"/>
        </w:rPr>
        <w:t xml:space="preserve"> </w:t>
      </w:r>
      <w:proofErr w:type="spellStart"/>
      <w:r w:rsidRPr="00B15A10">
        <w:rPr>
          <w:lang w:val="en-US"/>
        </w:rPr>
        <w:t>reuolare</w:t>
      </w:r>
      <w:proofErr w:type="spellEnd"/>
      <w:r w:rsidRPr="00B15A10">
        <w:rPr>
          <w:lang w:val="en-US"/>
        </w:rPr>
        <w:t xml:space="preserve">.” </w:t>
      </w:r>
      <w:proofErr w:type="spellStart"/>
      <w:r w:rsidRPr="00B15A10">
        <w:rPr>
          <w:lang w:val="en-US"/>
        </w:rPr>
        <w:t>Marsilio</w:t>
      </w:r>
      <w:proofErr w:type="spellEnd"/>
      <w:r w:rsidRPr="00B15A10">
        <w:rPr>
          <w:lang w:val="en-US"/>
        </w:rPr>
        <w:t xml:space="preserve"> Ficino, </w:t>
      </w:r>
      <w:proofErr w:type="spellStart"/>
      <w:r w:rsidRPr="00B15A10">
        <w:rPr>
          <w:i/>
          <w:iCs/>
          <w:lang w:val="en-US"/>
        </w:rPr>
        <w:t>Epistolae</w:t>
      </w:r>
      <w:proofErr w:type="spellEnd"/>
      <w:r w:rsidRPr="00B15A10">
        <w:rPr>
          <w:i/>
          <w:iCs/>
          <w:lang w:val="en-US"/>
        </w:rPr>
        <w:t xml:space="preserve"> </w:t>
      </w:r>
      <w:proofErr w:type="spellStart"/>
      <w:r w:rsidRPr="00B15A10">
        <w:rPr>
          <w:i/>
          <w:iCs/>
          <w:lang w:val="en-US"/>
        </w:rPr>
        <w:t>Marsilii</w:t>
      </w:r>
      <w:proofErr w:type="spellEnd"/>
      <w:r w:rsidRPr="00B15A10">
        <w:rPr>
          <w:i/>
          <w:iCs/>
          <w:lang w:val="en-US"/>
        </w:rPr>
        <w:t xml:space="preserve"> </w:t>
      </w:r>
      <w:proofErr w:type="spellStart"/>
      <w:r w:rsidRPr="00B15A10">
        <w:rPr>
          <w:i/>
          <w:iCs/>
          <w:lang w:val="en-US"/>
        </w:rPr>
        <w:t>Ficini</w:t>
      </w:r>
      <w:proofErr w:type="spellEnd"/>
      <w:r w:rsidRPr="00B15A10">
        <w:rPr>
          <w:i/>
          <w:iCs/>
          <w:lang w:val="en-US"/>
        </w:rPr>
        <w:t xml:space="preserve"> </w:t>
      </w:r>
      <w:proofErr w:type="spellStart"/>
      <w:r w:rsidRPr="00B15A10">
        <w:rPr>
          <w:i/>
          <w:iCs/>
          <w:lang w:val="en-US"/>
        </w:rPr>
        <w:t>Florentini</w:t>
      </w:r>
      <w:proofErr w:type="spellEnd"/>
      <w:r w:rsidRPr="00B15A10">
        <w:rPr>
          <w:lang w:val="en-US"/>
        </w:rPr>
        <w:t xml:space="preserve"> (Nuremberg: Per </w:t>
      </w:r>
      <w:proofErr w:type="spellStart"/>
      <w:r w:rsidRPr="00B15A10">
        <w:rPr>
          <w:lang w:val="en-US"/>
        </w:rPr>
        <w:t>Antonium</w:t>
      </w:r>
      <w:proofErr w:type="spellEnd"/>
      <w:r w:rsidRPr="00B15A10">
        <w:rPr>
          <w:lang w:val="en-US"/>
        </w:rPr>
        <w:t xml:space="preserve"> </w:t>
      </w:r>
      <w:proofErr w:type="spellStart"/>
      <w:r w:rsidRPr="00B15A10">
        <w:rPr>
          <w:lang w:val="en-US"/>
        </w:rPr>
        <w:t>Koberger</w:t>
      </w:r>
      <w:proofErr w:type="spellEnd"/>
      <w:r w:rsidRPr="00B15A10">
        <w:rPr>
          <w:lang w:val="en-US"/>
        </w:rPr>
        <w:t xml:space="preserve"> </w:t>
      </w:r>
      <w:proofErr w:type="spellStart"/>
      <w:r w:rsidRPr="00B15A10">
        <w:rPr>
          <w:lang w:val="en-US"/>
        </w:rPr>
        <w:t>ímpraesse</w:t>
      </w:r>
      <w:proofErr w:type="spellEnd"/>
      <w:r w:rsidRPr="00B15A10">
        <w:rPr>
          <w:lang w:val="en-US"/>
        </w:rPr>
        <w:t xml:space="preserve">, 1497), liber primus, f. </w:t>
      </w:r>
      <w:proofErr w:type="spellStart"/>
      <w:r w:rsidRPr="00B15A10">
        <w:rPr>
          <w:lang w:val="en-US"/>
        </w:rPr>
        <w:t>vr</w:t>
      </w:r>
      <w:proofErr w:type="spellEnd"/>
      <w:r w:rsidRPr="00B15A10">
        <w:rPr>
          <w:lang w:val="en-US"/>
        </w:rPr>
        <w:t xml:space="preserve">; English translation from </w:t>
      </w:r>
      <w:proofErr w:type="spellStart"/>
      <w:r w:rsidRPr="00B15A10">
        <w:rPr>
          <w:lang w:val="en-US"/>
        </w:rPr>
        <w:t>Marsilio</w:t>
      </w:r>
      <w:proofErr w:type="spellEnd"/>
      <w:r w:rsidRPr="00B15A10">
        <w:rPr>
          <w:lang w:val="en-US"/>
        </w:rPr>
        <w:t xml:space="preserve"> Ficino, </w:t>
      </w:r>
      <w:r w:rsidRPr="00B15A10">
        <w:rPr>
          <w:i/>
          <w:iCs/>
          <w:lang w:val="en-US"/>
        </w:rPr>
        <w:t xml:space="preserve">The Letters of </w:t>
      </w:r>
      <w:proofErr w:type="spellStart"/>
      <w:r w:rsidRPr="00B15A10">
        <w:rPr>
          <w:i/>
          <w:iCs/>
          <w:lang w:val="en-US"/>
        </w:rPr>
        <w:t>Marsilio</w:t>
      </w:r>
      <w:proofErr w:type="spellEnd"/>
      <w:r w:rsidRPr="00B15A10">
        <w:rPr>
          <w:i/>
          <w:iCs/>
          <w:lang w:val="en-US"/>
        </w:rPr>
        <w:t xml:space="preserve"> Ficino</w:t>
      </w:r>
      <w:r w:rsidRPr="00B15A10">
        <w:rPr>
          <w:lang w:val="en-US"/>
        </w:rPr>
        <w:t xml:space="preserve">, trans. from the Latin by members of the Language Department of the School of Economic Science, London, vol. 1 (London: Shepheard-Walwyn, 1975), letter n.7, 45; Ficino arranged his letters in twelve volumes and circulated them in manuscript copies from 1470s and in printed copies from 1495. See Paul Oskar </w:t>
      </w:r>
      <w:proofErr w:type="spellStart"/>
      <w:r w:rsidRPr="00B15A10">
        <w:rPr>
          <w:lang w:val="en-US"/>
        </w:rPr>
        <w:t>Kristeller</w:t>
      </w:r>
      <w:proofErr w:type="spellEnd"/>
      <w:r w:rsidRPr="00B15A10">
        <w:rPr>
          <w:lang w:val="en-US"/>
        </w:rPr>
        <w:t xml:space="preserve">, “Preface,” in </w:t>
      </w:r>
      <w:proofErr w:type="spellStart"/>
      <w:r w:rsidRPr="00B15A10">
        <w:rPr>
          <w:i/>
          <w:iCs/>
          <w:lang w:val="en-US"/>
        </w:rPr>
        <w:t>Marsilio</w:t>
      </w:r>
      <w:proofErr w:type="spellEnd"/>
      <w:r w:rsidRPr="00B15A10">
        <w:rPr>
          <w:i/>
          <w:iCs/>
          <w:lang w:val="en-US"/>
        </w:rPr>
        <w:t xml:space="preserve"> Ficino, The Letters of </w:t>
      </w:r>
      <w:proofErr w:type="spellStart"/>
      <w:r w:rsidRPr="00B15A10">
        <w:rPr>
          <w:i/>
          <w:iCs/>
          <w:lang w:val="en-US"/>
        </w:rPr>
        <w:t>Marsilio</w:t>
      </w:r>
      <w:proofErr w:type="spellEnd"/>
      <w:r w:rsidRPr="00B15A10">
        <w:rPr>
          <w:i/>
          <w:iCs/>
          <w:lang w:val="en-US"/>
        </w:rPr>
        <w:t xml:space="preserve"> Ficino</w:t>
      </w:r>
      <w:r w:rsidRPr="00B15A10">
        <w:rPr>
          <w:lang w:val="en-US"/>
        </w:rPr>
        <w:t xml:space="preserve"> (London: Shepheard-Walwyn, 1975), vols. 1, 17–18.</w:t>
      </w:r>
    </w:p>
  </w:footnote>
  <w:footnote w:id="200">
    <w:p w14:paraId="1F553D7D" w14:textId="77777777" w:rsidR="00182EED" w:rsidRDefault="00182EED" w:rsidP="001840E8">
      <w:pPr>
        <w:pStyle w:val="FootnoteText"/>
      </w:pPr>
      <w:r w:rsidRPr="00391186">
        <w:rPr>
          <w:rStyle w:val="FootnoteReference"/>
        </w:rPr>
        <w:footnoteRef/>
      </w:r>
      <w:r>
        <w:t xml:space="preserve"> </w:t>
      </w:r>
      <w:r w:rsidRPr="004251DE">
        <w:rPr>
          <w:lang w:val="en-US"/>
        </w:rPr>
        <w:t xml:space="preserve">“Nam cum cantus </w:t>
      </w:r>
      <w:proofErr w:type="spellStart"/>
      <w:r w:rsidRPr="004251DE">
        <w:rPr>
          <w:lang w:val="en-US"/>
        </w:rPr>
        <w:t>sonusque</w:t>
      </w:r>
      <w:proofErr w:type="spellEnd"/>
      <w:r w:rsidRPr="004251DE">
        <w:rPr>
          <w:lang w:val="en-US"/>
        </w:rPr>
        <w:t xml:space="preserve"> ex </w:t>
      </w:r>
      <w:proofErr w:type="spellStart"/>
      <w:r w:rsidRPr="004251DE">
        <w:rPr>
          <w:lang w:val="en-US"/>
        </w:rPr>
        <w:t>cogitatione</w:t>
      </w:r>
      <w:proofErr w:type="spellEnd"/>
      <w:r w:rsidRPr="004251DE">
        <w:rPr>
          <w:lang w:val="en-US"/>
        </w:rPr>
        <w:t xml:space="preserve"> mentis &amp; </w:t>
      </w:r>
      <w:proofErr w:type="spellStart"/>
      <w:r w:rsidRPr="004251DE">
        <w:rPr>
          <w:lang w:val="en-US"/>
        </w:rPr>
        <w:t>impetu</w:t>
      </w:r>
      <w:proofErr w:type="spellEnd"/>
      <w:r w:rsidRPr="004251DE">
        <w:rPr>
          <w:lang w:val="en-US"/>
        </w:rPr>
        <w:t xml:space="preserve"> </w:t>
      </w:r>
      <w:proofErr w:type="spellStart"/>
      <w:r w:rsidRPr="004251DE">
        <w:rPr>
          <w:lang w:val="en-US"/>
        </w:rPr>
        <w:t>phantasiae</w:t>
      </w:r>
      <w:proofErr w:type="spellEnd"/>
      <w:r w:rsidRPr="004251DE">
        <w:rPr>
          <w:lang w:val="en-US"/>
        </w:rPr>
        <w:t xml:space="preserve"> </w:t>
      </w:r>
      <w:proofErr w:type="spellStart"/>
      <w:r w:rsidRPr="004251DE">
        <w:rPr>
          <w:lang w:val="en-US"/>
        </w:rPr>
        <w:t>cordisque</w:t>
      </w:r>
      <w:proofErr w:type="spellEnd"/>
      <w:r w:rsidRPr="004251DE">
        <w:rPr>
          <w:lang w:val="en-US"/>
        </w:rPr>
        <w:t xml:space="preserve"> </w:t>
      </w:r>
      <w:proofErr w:type="spellStart"/>
      <w:r w:rsidRPr="004251DE">
        <w:rPr>
          <w:lang w:val="en-US"/>
        </w:rPr>
        <w:t>affectu</w:t>
      </w:r>
      <w:proofErr w:type="spellEnd"/>
      <w:r w:rsidRPr="004251DE">
        <w:rPr>
          <w:lang w:val="en-US"/>
        </w:rPr>
        <w:t xml:space="preserve"> </w:t>
      </w:r>
      <w:proofErr w:type="spellStart"/>
      <w:r w:rsidRPr="004251DE">
        <w:rPr>
          <w:lang w:val="en-US"/>
        </w:rPr>
        <w:t>proficiscatur</w:t>
      </w:r>
      <w:proofErr w:type="spellEnd"/>
      <w:r w:rsidRPr="004251DE">
        <w:rPr>
          <w:lang w:val="en-US"/>
        </w:rPr>
        <w:t xml:space="preserve"> </w:t>
      </w:r>
      <w:proofErr w:type="spellStart"/>
      <w:r w:rsidRPr="004251DE">
        <w:rPr>
          <w:lang w:val="en-US"/>
        </w:rPr>
        <w:t>atque</w:t>
      </w:r>
      <w:proofErr w:type="spellEnd"/>
      <w:r w:rsidRPr="004251DE">
        <w:rPr>
          <w:lang w:val="en-US"/>
        </w:rPr>
        <w:t xml:space="preserve"> una cum </w:t>
      </w:r>
      <w:proofErr w:type="spellStart"/>
      <w:r w:rsidRPr="004251DE">
        <w:rPr>
          <w:lang w:val="en-US"/>
        </w:rPr>
        <w:t>aere</w:t>
      </w:r>
      <w:proofErr w:type="spellEnd"/>
      <w:r w:rsidRPr="004251DE">
        <w:rPr>
          <w:lang w:val="en-US"/>
        </w:rPr>
        <w:t xml:space="preserve"> </w:t>
      </w:r>
      <w:proofErr w:type="spellStart"/>
      <w:r w:rsidRPr="004251DE">
        <w:rPr>
          <w:lang w:val="en-US"/>
        </w:rPr>
        <w:t>fracto</w:t>
      </w:r>
      <w:proofErr w:type="spellEnd"/>
      <w:r w:rsidRPr="004251DE">
        <w:rPr>
          <w:lang w:val="en-US"/>
        </w:rPr>
        <w:t xml:space="preserve"> &amp; </w:t>
      </w:r>
      <w:proofErr w:type="spellStart"/>
      <w:r w:rsidRPr="004251DE">
        <w:rPr>
          <w:lang w:val="en-US"/>
        </w:rPr>
        <w:t>temperato</w:t>
      </w:r>
      <w:proofErr w:type="spellEnd"/>
      <w:r w:rsidRPr="004251DE">
        <w:rPr>
          <w:lang w:val="en-US"/>
        </w:rPr>
        <w:t xml:space="preserve">, </w:t>
      </w:r>
      <w:proofErr w:type="spellStart"/>
      <w:r w:rsidRPr="004251DE">
        <w:rPr>
          <w:lang w:val="en-US"/>
        </w:rPr>
        <w:t>aereum</w:t>
      </w:r>
      <w:proofErr w:type="spellEnd"/>
      <w:r w:rsidRPr="004251DE">
        <w:rPr>
          <w:lang w:val="en-US"/>
        </w:rPr>
        <w:t xml:space="preserve"> </w:t>
      </w:r>
      <w:proofErr w:type="spellStart"/>
      <w:r w:rsidRPr="004251DE">
        <w:rPr>
          <w:lang w:val="en-US"/>
        </w:rPr>
        <w:t>audientis</w:t>
      </w:r>
      <w:proofErr w:type="spellEnd"/>
      <w:r w:rsidRPr="004251DE">
        <w:rPr>
          <w:lang w:val="en-US"/>
        </w:rPr>
        <w:t xml:space="preserve"> </w:t>
      </w:r>
      <w:proofErr w:type="spellStart"/>
      <w:r w:rsidRPr="004251DE">
        <w:rPr>
          <w:lang w:val="en-US"/>
        </w:rPr>
        <w:t>spiritum</w:t>
      </w:r>
      <w:proofErr w:type="spellEnd"/>
      <w:r w:rsidRPr="004251DE">
        <w:rPr>
          <w:lang w:val="en-US"/>
        </w:rPr>
        <w:t xml:space="preserve"> </w:t>
      </w:r>
      <w:proofErr w:type="spellStart"/>
      <w:r w:rsidRPr="004251DE">
        <w:rPr>
          <w:lang w:val="en-US"/>
        </w:rPr>
        <w:t>pulset</w:t>
      </w:r>
      <w:proofErr w:type="spellEnd"/>
      <w:r w:rsidRPr="004251DE">
        <w:rPr>
          <w:lang w:val="en-US"/>
        </w:rPr>
        <w:t xml:space="preserve"> qui </w:t>
      </w:r>
      <w:proofErr w:type="spellStart"/>
      <w:r w:rsidRPr="004251DE">
        <w:rPr>
          <w:lang w:val="en-US"/>
        </w:rPr>
        <w:t>animae</w:t>
      </w:r>
      <w:proofErr w:type="spellEnd"/>
      <w:r w:rsidRPr="004251DE">
        <w:rPr>
          <w:lang w:val="en-US"/>
        </w:rPr>
        <w:t xml:space="preserve"> </w:t>
      </w:r>
      <w:proofErr w:type="spellStart"/>
      <w:r w:rsidRPr="004251DE">
        <w:rPr>
          <w:lang w:val="en-US"/>
        </w:rPr>
        <w:t>corporisque</w:t>
      </w:r>
      <w:proofErr w:type="spellEnd"/>
      <w:r w:rsidRPr="004251DE">
        <w:rPr>
          <w:lang w:val="en-US"/>
        </w:rPr>
        <w:t xml:space="preserve"> </w:t>
      </w:r>
      <w:proofErr w:type="spellStart"/>
      <w:r w:rsidRPr="004251DE">
        <w:rPr>
          <w:lang w:val="en-US"/>
        </w:rPr>
        <w:t>nodus</w:t>
      </w:r>
      <w:proofErr w:type="spellEnd"/>
      <w:r w:rsidRPr="004251DE">
        <w:rPr>
          <w:lang w:val="en-US"/>
        </w:rPr>
        <w:t xml:space="preserve"> </w:t>
      </w:r>
      <w:proofErr w:type="spellStart"/>
      <w:r w:rsidRPr="004251DE">
        <w:rPr>
          <w:lang w:val="en-US"/>
        </w:rPr>
        <w:t>est</w:t>
      </w:r>
      <w:proofErr w:type="spellEnd"/>
      <w:r w:rsidRPr="004251DE">
        <w:rPr>
          <w:lang w:val="en-US"/>
        </w:rPr>
        <w:t xml:space="preserve"> facile </w:t>
      </w:r>
      <w:proofErr w:type="spellStart"/>
      <w:r w:rsidRPr="004251DE">
        <w:rPr>
          <w:lang w:val="en-US"/>
        </w:rPr>
        <w:t>phantasiam</w:t>
      </w:r>
      <w:proofErr w:type="spellEnd"/>
      <w:r w:rsidRPr="004251DE">
        <w:rPr>
          <w:lang w:val="en-US"/>
        </w:rPr>
        <w:t xml:space="preserve"> </w:t>
      </w:r>
      <w:proofErr w:type="spellStart"/>
      <w:r w:rsidRPr="004251DE">
        <w:rPr>
          <w:lang w:val="en-US"/>
        </w:rPr>
        <w:t>movet</w:t>
      </w:r>
      <w:proofErr w:type="spellEnd"/>
      <w:r w:rsidRPr="004251DE">
        <w:rPr>
          <w:lang w:val="en-US"/>
        </w:rPr>
        <w:t xml:space="preserve">, </w:t>
      </w:r>
      <w:proofErr w:type="spellStart"/>
      <w:r w:rsidRPr="004251DE">
        <w:rPr>
          <w:lang w:val="en-US"/>
        </w:rPr>
        <w:t>afficitque</w:t>
      </w:r>
      <w:proofErr w:type="spellEnd"/>
      <w:r w:rsidRPr="004251DE">
        <w:rPr>
          <w:lang w:val="en-US"/>
        </w:rPr>
        <w:t xml:space="preserve"> </w:t>
      </w:r>
      <w:proofErr w:type="spellStart"/>
      <w:r w:rsidRPr="004251DE">
        <w:rPr>
          <w:lang w:val="en-US"/>
        </w:rPr>
        <w:t>cor</w:t>
      </w:r>
      <w:proofErr w:type="spellEnd"/>
      <w:r w:rsidRPr="004251DE">
        <w:rPr>
          <w:lang w:val="en-US"/>
        </w:rPr>
        <w:t xml:space="preserve"> &amp; intima mentis penetralia </w:t>
      </w:r>
      <w:proofErr w:type="spellStart"/>
      <w:r w:rsidRPr="004251DE">
        <w:rPr>
          <w:lang w:val="en-US"/>
        </w:rPr>
        <w:t>penetrat</w:t>
      </w:r>
      <w:proofErr w:type="spellEnd"/>
      <w:r w:rsidRPr="004251DE">
        <w:rPr>
          <w:lang w:val="en-US"/>
        </w:rPr>
        <w:t xml:space="preserve">. Corporis quoque </w:t>
      </w:r>
      <w:proofErr w:type="spellStart"/>
      <w:r w:rsidRPr="004251DE">
        <w:rPr>
          <w:lang w:val="en-US"/>
        </w:rPr>
        <w:t>humores</w:t>
      </w:r>
      <w:proofErr w:type="spellEnd"/>
      <w:r w:rsidRPr="004251DE">
        <w:rPr>
          <w:lang w:val="en-US"/>
        </w:rPr>
        <w:t xml:space="preserve"> &amp; membra </w:t>
      </w:r>
      <w:proofErr w:type="spellStart"/>
      <w:r w:rsidRPr="004251DE">
        <w:rPr>
          <w:lang w:val="en-US"/>
        </w:rPr>
        <w:t>sistit</w:t>
      </w:r>
      <w:proofErr w:type="spellEnd"/>
      <w:r w:rsidRPr="004251DE">
        <w:rPr>
          <w:lang w:val="en-US"/>
        </w:rPr>
        <w:t xml:space="preserve"> &amp; </w:t>
      </w:r>
      <w:proofErr w:type="spellStart"/>
      <w:r w:rsidRPr="004251DE">
        <w:rPr>
          <w:lang w:val="en-US"/>
        </w:rPr>
        <w:t>movet</w:t>
      </w:r>
      <w:proofErr w:type="spellEnd"/>
      <w:r w:rsidRPr="004251DE">
        <w:rPr>
          <w:lang w:val="en-US"/>
        </w:rPr>
        <w:t xml:space="preserve">.” Ficino, </w:t>
      </w:r>
      <w:proofErr w:type="spellStart"/>
      <w:r w:rsidRPr="004251DE">
        <w:rPr>
          <w:i/>
          <w:iCs/>
          <w:lang w:val="en-US"/>
        </w:rPr>
        <w:t>Epistolae</w:t>
      </w:r>
      <w:proofErr w:type="spellEnd"/>
      <w:r w:rsidRPr="004251DE">
        <w:rPr>
          <w:i/>
          <w:iCs/>
          <w:lang w:val="en-US"/>
        </w:rPr>
        <w:t xml:space="preserve"> </w:t>
      </w:r>
      <w:proofErr w:type="spellStart"/>
      <w:r w:rsidRPr="004251DE">
        <w:rPr>
          <w:i/>
          <w:iCs/>
          <w:lang w:val="en-US"/>
        </w:rPr>
        <w:t>Marsilii</w:t>
      </w:r>
      <w:proofErr w:type="spellEnd"/>
      <w:r w:rsidRPr="004251DE">
        <w:rPr>
          <w:i/>
          <w:iCs/>
          <w:lang w:val="en-US"/>
        </w:rPr>
        <w:t xml:space="preserve"> </w:t>
      </w:r>
      <w:proofErr w:type="spellStart"/>
      <w:r w:rsidRPr="004251DE">
        <w:rPr>
          <w:i/>
          <w:iCs/>
          <w:lang w:val="en-US"/>
        </w:rPr>
        <w:t>Ficini</w:t>
      </w:r>
      <w:proofErr w:type="spellEnd"/>
      <w:r w:rsidRPr="004251DE">
        <w:rPr>
          <w:i/>
          <w:iCs/>
          <w:lang w:val="en-US"/>
        </w:rPr>
        <w:t xml:space="preserve"> </w:t>
      </w:r>
      <w:proofErr w:type="spellStart"/>
      <w:r w:rsidRPr="004251DE">
        <w:rPr>
          <w:i/>
          <w:iCs/>
          <w:lang w:val="en-US"/>
        </w:rPr>
        <w:t>Florentini</w:t>
      </w:r>
      <w:proofErr w:type="spellEnd"/>
      <w:r w:rsidRPr="004251DE">
        <w:rPr>
          <w:lang w:val="en-US"/>
        </w:rPr>
        <w:t xml:space="preserve">, liber primus, f. xxxv; English translation from Ficino, </w:t>
      </w:r>
      <w:r w:rsidRPr="004251DE">
        <w:rPr>
          <w:i/>
          <w:iCs/>
          <w:lang w:val="en-US"/>
        </w:rPr>
        <w:t xml:space="preserve">The Letters of </w:t>
      </w:r>
      <w:proofErr w:type="spellStart"/>
      <w:r w:rsidRPr="004251DE">
        <w:rPr>
          <w:i/>
          <w:iCs/>
          <w:lang w:val="en-US"/>
        </w:rPr>
        <w:t>Marsilio</w:t>
      </w:r>
      <w:proofErr w:type="spellEnd"/>
      <w:r w:rsidRPr="004251DE">
        <w:rPr>
          <w:i/>
          <w:iCs/>
          <w:lang w:val="en-US"/>
        </w:rPr>
        <w:t xml:space="preserve"> Ficino</w:t>
      </w:r>
      <w:r w:rsidRPr="004251DE">
        <w:rPr>
          <w:lang w:val="en-US"/>
        </w:rPr>
        <w:t xml:space="preserve">, 1:letter n. 92, 142; see also Angela Voss, “Magic, Astrology and Music: The Background to </w:t>
      </w:r>
      <w:proofErr w:type="spellStart"/>
      <w:r w:rsidRPr="004251DE">
        <w:rPr>
          <w:lang w:val="en-US"/>
        </w:rPr>
        <w:t>Marsilio</w:t>
      </w:r>
      <w:proofErr w:type="spellEnd"/>
      <w:r w:rsidRPr="004251DE">
        <w:rPr>
          <w:lang w:val="en-US"/>
        </w:rPr>
        <w:t xml:space="preserve"> Ficino’s Astrological Music Therapy and His Role as a Renaissance Magus” (City University London, 1992), 257 (original Latin, 332. n.14)</w:t>
      </w:r>
      <w:r>
        <w:rPr>
          <w:lang w:val="en-US"/>
        </w:rPr>
        <w:t>.</w:t>
      </w:r>
      <w:r w:rsidRPr="004251DE">
        <w:rPr>
          <w:lang w:val="en-US"/>
        </w:rPr>
        <w:t xml:space="preserve"> A different translation can be found in Walker, </w:t>
      </w:r>
      <w:r w:rsidRPr="004251DE">
        <w:rPr>
          <w:i/>
          <w:iCs/>
          <w:lang w:val="en-US"/>
        </w:rPr>
        <w:t>Spiritual and Demonic Magic: From Ficino to Campanella</w:t>
      </w:r>
      <w:r w:rsidRPr="004251DE">
        <w:rPr>
          <w:lang w:val="en-US"/>
        </w:rPr>
        <w:t>, 6.</w:t>
      </w:r>
    </w:p>
  </w:footnote>
  <w:footnote w:id="201">
    <w:p w14:paraId="242499C3" w14:textId="77777777" w:rsidR="00182EED" w:rsidRDefault="00182EED" w:rsidP="001840E8">
      <w:pPr>
        <w:pStyle w:val="FootnoteText"/>
      </w:pPr>
      <w:r w:rsidRPr="00391186">
        <w:rPr>
          <w:rStyle w:val="FootnoteReference"/>
        </w:rPr>
        <w:footnoteRef/>
      </w:r>
      <w:r>
        <w:t xml:space="preserve"> </w:t>
      </w:r>
      <w:r w:rsidRPr="004251DE">
        <w:rPr>
          <w:lang w:val="en-US"/>
        </w:rPr>
        <w:t xml:space="preserve">James Hankins, </w:t>
      </w:r>
      <w:r w:rsidRPr="004251DE">
        <w:rPr>
          <w:i/>
          <w:iCs/>
          <w:lang w:val="en-US"/>
        </w:rPr>
        <w:t>Plato in the Italian Renaissance</w:t>
      </w:r>
      <w:r w:rsidRPr="004251DE">
        <w:rPr>
          <w:lang w:val="en-US"/>
        </w:rPr>
        <w:t xml:space="preserve"> (Leiden: Brill, 1989), 300–301.</w:t>
      </w:r>
    </w:p>
  </w:footnote>
  <w:footnote w:id="202">
    <w:p w14:paraId="2B2B8DE8" w14:textId="77777777" w:rsidR="00182EED" w:rsidRDefault="00182EED" w:rsidP="001840E8">
      <w:pPr>
        <w:pStyle w:val="FootnoteText"/>
      </w:pPr>
      <w:r w:rsidRPr="00391186">
        <w:rPr>
          <w:rStyle w:val="FootnoteReference"/>
        </w:rPr>
        <w:footnoteRef/>
      </w:r>
      <w:r>
        <w:t xml:space="preserve"> </w:t>
      </w:r>
      <w:r w:rsidRPr="004251DE">
        <w:rPr>
          <w:lang w:val="en-US"/>
        </w:rPr>
        <w:t xml:space="preserve">Plato, </w:t>
      </w:r>
      <w:r w:rsidRPr="004251DE">
        <w:rPr>
          <w:i/>
          <w:iCs/>
          <w:lang w:val="en-US"/>
        </w:rPr>
        <w:t>The Republic</w:t>
      </w:r>
      <w:r w:rsidRPr="004251DE">
        <w:rPr>
          <w:lang w:val="en-US"/>
        </w:rPr>
        <w:t>, III, 80.</w:t>
      </w:r>
    </w:p>
  </w:footnote>
  <w:footnote w:id="203">
    <w:p w14:paraId="40EFBC5F" w14:textId="77777777" w:rsidR="00182EED" w:rsidRDefault="00182EED" w:rsidP="001840E8">
      <w:pPr>
        <w:pStyle w:val="FootnoteText"/>
      </w:pPr>
      <w:r w:rsidRPr="00391186">
        <w:rPr>
          <w:rStyle w:val="FootnoteReference"/>
        </w:rPr>
        <w:footnoteRef/>
      </w:r>
      <w:r>
        <w:t xml:space="preserve"> </w:t>
      </w:r>
      <w:r w:rsidRPr="004251DE">
        <w:rPr>
          <w:lang w:val="en-US"/>
        </w:rPr>
        <w:t xml:space="preserve">Plato, </w:t>
      </w:r>
      <w:r w:rsidRPr="004251DE">
        <w:rPr>
          <w:i/>
          <w:iCs/>
          <w:lang w:val="en-US"/>
        </w:rPr>
        <w:t>The Laws</w:t>
      </w:r>
      <w:r w:rsidRPr="004251DE">
        <w:rPr>
          <w:lang w:val="en-US"/>
        </w:rPr>
        <w:t>, II. 55.</w:t>
      </w:r>
    </w:p>
  </w:footnote>
  <w:footnote w:id="204">
    <w:p w14:paraId="481A601A" w14:textId="77777777" w:rsidR="00182EED" w:rsidRDefault="00182EED" w:rsidP="001840E8">
      <w:pPr>
        <w:pStyle w:val="FootnoteText"/>
      </w:pPr>
      <w:r w:rsidRPr="00391186">
        <w:rPr>
          <w:rStyle w:val="FootnoteReference"/>
        </w:rPr>
        <w:footnoteRef/>
      </w:r>
      <w:r>
        <w:t xml:space="preserve"> </w:t>
      </w:r>
      <w:r w:rsidRPr="004251DE">
        <w:rPr>
          <w:lang w:val="en-US"/>
        </w:rPr>
        <w:t xml:space="preserve">Aristotle, </w:t>
      </w:r>
      <w:r w:rsidRPr="004251DE">
        <w:rPr>
          <w:i/>
          <w:iCs/>
          <w:lang w:val="en-US"/>
        </w:rPr>
        <w:t>Politics</w:t>
      </w:r>
      <w:r w:rsidRPr="004251DE">
        <w:rPr>
          <w:lang w:val="en-US"/>
        </w:rPr>
        <w:t xml:space="preserve">, trans. Harris </w:t>
      </w:r>
      <w:proofErr w:type="spellStart"/>
      <w:r w:rsidRPr="004251DE">
        <w:rPr>
          <w:lang w:val="en-US"/>
        </w:rPr>
        <w:t>Rackman</w:t>
      </w:r>
      <w:proofErr w:type="spellEnd"/>
      <w:r w:rsidRPr="004251DE">
        <w:rPr>
          <w:lang w:val="en-US"/>
        </w:rPr>
        <w:t xml:space="preserve"> (London: William Heinemann Ltd, 1959), VIII.2.3 see esp. 639, 661. Aristotle explains his argument further in VIII.4.3 ff.</w:t>
      </w:r>
    </w:p>
  </w:footnote>
  <w:footnote w:id="205">
    <w:p w14:paraId="36E5AC3F" w14:textId="77777777" w:rsidR="00182EED" w:rsidRDefault="00182EED" w:rsidP="001840E8">
      <w:pPr>
        <w:pStyle w:val="FootnoteText"/>
      </w:pPr>
      <w:r w:rsidRPr="00391186">
        <w:rPr>
          <w:rStyle w:val="FootnoteReference"/>
        </w:rPr>
        <w:footnoteRef/>
      </w:r>
      <w:r>
        <w:t xml:space="preserve"> </w:t>
      </w:r>
      <w:r w:rsidRPr="004251DE">
        <w:rPr>
          <w:lang w:val="en-US"/>
        </w:rPr>
        <w:t xml:space="preserve">Kim, </w:t>
      </w:r>
      <w:r w:rsidRPr="004251DE">
        <w:rPr>
          <w:i/>
          <w:iCs/>
          <w:lang w:val="en-US"/>
        </w:rPr>
        <w:t>The Renaissance Ethics of Music</w:t>
      </w:r>
      <w:r w:rsidRPr="004251DE">
        <w:rPr>
          <w:lang w:val="en-US"/>
        </w:rPr>
        <w:t>, 55.</w:t>
      </w:r>
    </w:p>
  </w:footnote>
  <w:footnote w:id="206">
    <w:p w14:paraId="240DCED2" w14:textId="77777777" w:rsidR="00182EED" w:rsidRDefault="00182EED" w:rsidP="001840E8">
      <w:pPr>
        <w:pStyle w:val="FootnoteText"/>
      </w:pPr>
      <w:r w:rsidRPr="00391186">
        <w:rPr>
          <w:rStyle w:val="FootnoteReference"/>
        </w:rPr>
        <w:footnoteRef/>
      </w:r>
      <w:r>
        <w:t xml:space="preserve"> </w:t>
      </w:r>
      <w:proofErr w:type="spellStart"/>
      <w:r w:rsidRPr="004251DE">
        <w:rPr>
          <w:lang w:val="en-US"/>
        </w:rPr>
        <w:t>Prins</w:t>
      </w:r>
      <w:proofErr w:type="spellEnd"/>
      <w:r w:rsidRPr="004251DE">
        <w:rPr>
          <w:lang w:val="en-US"/>
        </w:rPr>
        <w:t xml:space="preserve">, </w:t>
      </w:r>
      <w:r w:rsidRPr="004251DE">
        <w:rPr>
          <w:i/>
          <w:iCs/>
          <w:lang w:val="en-US"/>
        </w:rPr>
        <w:t>Echoes of an Invisible World</w:t>
      </w:r>
      <w:r w:rsidRPr="004251DE">
        <w:rPr>
          <w:lang w:val="en-US"/>
        </w:rPr>
        <w:t>, 156–57.</w:t>
      </w:r>
    </w:p>
  </w:footnote>
  <w:footnote w:id="207">
    <w:p w14:paraId="40C41146" w14:textId="77777777" w:rsidR="00182EED" w:rsidRDefault="00182EED" w:rsidP="001840E8">
      <w:pPr>
        <w:pStyle w:val="FootnoteText"/>
      </w:pPr>
      <w:r w:rsidRPr="00391186">
        <w:rPr>
          <w:rStyle w:val="FootnoteReference"/>
        </w:rPr>
        <w:footnoteRef/>
      </w:r>
      <w:r>
        <w:t xml:space="preserve"> </w:t>
      </w:r>
      <w:r w:rsidRPr="004251DE">
        <w:rPr>
          <w:lang w:val="en-US"/>
        </w:rPr>
        <w:t xml:space="preserve">“Quantum </w:t>
      </w:r>
      <w:proofErr w:type="spellStart"/>
      <w:r w:rsidRPr="004251DE">
        <w:rPr>
          <w:lang w:val="en-US"/>
        </w:rPr>
        <w:t>flevi</w:t>
      </w:r>
      <w:proofErr w:type="spellEnd"/>
      <w:r w:rsidRPr="004251DE">
        <w:rPr>
          <w:lang w:val="en-US"/>
        </w:rPr>
        <w:t xml:space="preserve"> in </w:t>
      </w:r>
      <w:proofErr w:type="spellStart"/>
      <w:r w:rsidRPr="004251DE">
        <w:rPr>
          <w:lang w:val="en-US"/>
        </w:rPr>
        <w:t>hymnis</w:t>
      </w:r>
      <w:proofErr w:type="spellEnd"/>
      <w:r w:rsidRPr="004251DE">
        <w:rPr>
          <w:lang w:val="en-US"/>
        </w:rPr>
        <w:t xml:space="preserve"> et </w:t>
      </w:r>
      <w:proofErr w:type="spellStart"/>
      <w:r w:rsidRPr="004251DE">
        <w:rPr>
          <w:lang w:val="en-US"/>
        </w:rPr>
        <w:t>canticis</w:t>
      </w:r>
      <w:proofErr w:type="spellEnd"/>
      <w:r w:rsidRPr="004251DE">
        <w:rPr>
          <w:lang w:val="en-US"/>
        </w:rPr>
        <w:t xml:space="preserve"> </w:t>
      </w:r>
      <w:proofErr w:type="spellStart"/>
      <w:r w:rsidRPr="004251DE">
        <w:rPr>
          <w:lang w:val="en-US"/>
        </w:rPr>
        <w:t>tuis</w:t>
      </w:r>
      <w:proofErr w:type="spellEnd"/>
      <w:r w:rsidRPr="004251DE">
        <w:rPr>
          <w:lang w:val="en-US"/>
        </w:rPr>
        <w:t xml:space="preserve">, suave </w:t>
      </w:r>
      <w:proofErr w:type="spellStart"/>
      <w:r w:rsidRPr="004251DE">
        <w:rPr>
          <w:lang w:val="en-US"/>
        </w:rPr>
        <w:t>sonantis</w:t>
      </w:r>
      <w:proofErr w:type="spellEnd"/>
      <w:r w:rsidRPr="004251DE">
        <w:rPr>
          <w:lang w:val="en-US"/>
        </w:rPr>
        <w:t xml:space="preserve"> ecclesiae </w:t>
      </w:r>
      <w:proofErr w:type="spellStart"/>
      <w:r w:rsidRPr="004251DE">
        <w:rPr>
          <w:lang w:val="en-US"/>
        </w:rPr>
        <w:t>tuae</w:t>
      </w:r>
      <w:proofErr w:type="spellEnd"/>
      <w:r w:rsidRPr="004251DE">
        <w:rPr>
          <w:lang w:val="en-US"/>
        </w:rPr>
        <w:t xml:space="preserve"> </w:t>
      </w:r>
      <w:proofErr w:type="spellStart"/>
      <w:r w:rsidRPr="004251DE">
        <w:rPr>
          <w:lang w:val="en-US"/>
        </w:rPr>
        <w:t>vocibus</w:t>
      </w:r>
      <w:proofErr w:type="spellEnd"/>
      <w:r w:rsidRPr="004251DE">
        <w:rPr>
          <w:lang w:val="en-US"/>
        </w:rPr>
        <w:t xml:space="preserve"> </w:t>
      </w:r>
      <w:proofErr w:type="spellStart"/>
      <w:r w:rsidRPr="004251DE">
        <w:rPr>
          <w:lang w:val="en-US"/>
        </w:rPr>
        <w:t>commotus</w:t>
      </w:r>
      <w:proofErr w:type="spellEnd"/>
      <w:r w:rsidRPr="004251DE">
        <w:rPr>
          <w:lang w:val="en-US"/>
        </w:rPr>
        <w:t xml:space="preserve"> </w:t>
      </w:r>
      <w:proofErr w:type="spellStart"/>
      <w:r w:rsidRPr="004251DE">
        <w:rPr>
          <w:lang w:val="en-US"/>
        </w:rPr>
        <w:t>acriter</w:t>
      </w:r>
      <w:proofErr w:type="spellEnd"/>
      <w:r w:rsidRPr="004251DE">
        <w:rPr>
          <w:lang w:val="en-US"/>
        </w:rPr>
        <w:t xml:space="preserve">! </w:t>
      </w:r>
      <w:proofErr w:type="spellStart"/>
      <w:r w:rsidRPr="004251DE">
        <w:rPr>
          <w:lang w:val="en-US"/>
        </w:rPr>
        <w:t>Voces</w:t>
      </w:r>
      <w:proofErr w:type="spellEnd"/>
      <w:r w:rsidRPr="004251DE">
        <w:rPr>
          <w:lang w:val="en-US"/>
        </w:rPr>
        <w:t xml:space="preserve"> </w:t>
      </w:r>
      <w:proofErr w:type="spellStart"/>
      <w:r w:rsidRPr="004251DE">
        <w:rPr>
          <w:lang w:val="en-US"/>
        </w:rPr>
        <w:t>illae</w:t>
      </w:r>
      <w:proofErr w:type="spellEnd"/>
      <w:r w:rsidRPr="004251DE">
        <w:rPr>
          <w:lang w:val="en-US"/>
        </w:rPr>
        <w:t xml:space="preserve"> </w:t>
      </w:r>
      <w:proofErr w:type="spellStart"/>
      <w:r w:rsidRPr="004251DE">
        <w:rPr>
          <w:lang w:val="en-US"/>
        </w:rPr>
        <w:t>influebant</w:t>
      </w:r>
      <w:proofErr w:type="spellEnd"/>
      <w:r w:rsidRPr="004251DE">
        <w:rPr>
          <w:lang w:val="en-US"/>
        </w:rPr>
        <w:t xml:space="preserve"> </w:t>
      </w:r>
      <w:proofErr w:type="spellStart"/>
      <w:r w:rsidRPr="004251DE">
        <w:rPr>
          <w:lang w:val="en-US"/>
        </w:rPr>
        <w:t>auribus</w:t>
      </w:r>
      <w:proofErr w:type="spellEnd"/>
      <w:r w:rsidRPr="004251DE">
        <w:rPr>
          <w:lang w:val="en-US"/>
        </w:rPr>
        <w:t xml:space="preserve"> </w:t>
      </w:r>
      <w:proofErr w:type="spellStart"/>
      <w:r w:rsidRPr="004251DE">
        <w:rPr>
          <w:lang w:val="en-US"/>
        </w:rPr>
        <w:t>meis</w:t>
      </w:r>
      <w:proofErr w:type="spellEnd"/>
      <w:r w:rsidRPr="004251DE">
        <w:rPr>
          <w:lang w:val="en-US"/>
        </w:rPr>
        <w:t xml:space="preserve">, et </w:t>
      </w:r>
      <w:proofErr w:type="spellStart"/>
      <w:r w:rsidRPr="004251DE">
        <w:rPr>
          <w:lang w:val="en-US"/>
        </w:rPr>
        <w:t>eliquabatur</w:t>
      </w:r>
      <w:proofErr w:type="spellEnd"/>
      <w:r w:rsidRPr="004251DE">
        <w:rPr>
          <w:lang w:val="en-US"/>
        </w:rPr>
        <w:t xml:space="preserve"> veritas in </w:t>
      </w:r>
      <w:proofErr w:type="spellStart"/>
      <w:r w:rsidRPr="004251DE">
        <w:rPr>
          <w:lang w:val="en-US"/>
        </w:rPr>
        <w:t>cor</w:t>
      </w:r>
      <w:proofErr w:type="spellEnd"/>
      <w:r w:rsidRPr="004251DE">
        <w:rPr>
          <w:lang w:val="en-US"/>
        </w:rPr>
        <w:t xml:space="preserve"> </w:t>
      </w:r>
      <w:proofErr w:type="spellStart"/>
      <w:r w:rsidRPr="004251DE">
        <w:rPr>
          <w:lang w:val="en-US"/>
        </w:rPr>
        <w:t>meum</w:t>
      </w:r>
      <w:proofErr w:type="spellEnd"/>
      <w:r w:rsidRPr="004251DE">
        <w:rPr>
          <w:lang w:val="en-US"/>
        </w:rPr>
        <w:t xml:space="preserve">, et </w:t>
      </w:r>
      <w:proofErr w:type="spellStart"/>
      <w:r w:rsidRPr="004251DE">
        <w:rPr>
          <w:lang w:val="en-US"/>
        </w:rPr>
        <w:t>exaestuabat</w:t>
      </w:r>
      <w:proofErr w:type="spellEnd"/>
      <w:r w:rsidRPr="004251DE">
        <w:rPr>
          <w:lang w:val="en-US"/>
        </w:rPr>
        <w:t xml:space="preserve"> </w:t>
      </w:r>
      <w:proofErr w:type="spellStart"/>
      <w:r w:rsidRPr="004251DE">
        <w:rPr>
          <w:lang w:val="en-US"/>
        </w:rPr>
        <w:t>inde</w:t>
      </w:r>
      <w:proofErr w:type="spellEnd"/>
      <w:r w:rsidRPr="004251DE">
        <w:rPr>
          <w:lang w:val="en-US"/>
        </w:rPr>
        <w:t xml:space="preserve"> </w:t>
      </w:r>
      <w:proofErr w:type="spellStart"/>
      <w:r w:rsidRPr="004251DE">
        <w:rPr>
          <w:lang w:val="en-US"/>
        </w:rPr>
        <w:t>affectus</w:t>
      </w:r>
      <w:proofErr w:type="spellEnd"/>
      <w:r w:rsidRPr="004251DE">
        <w:rPr>
          <w:lang w:val="en-US"/>
        </w:rPr>
        <w:t xml:space="preserve"> </w:t>
      </w:r>
      <w:proofErr w:type="spellStart"/>
      <w:r w:rsidRPr="004251DE">
        <w:rPr>
          <w:lang w:val="en-US"/>
        </w:rPr>
        <w:t>pietatis</w:t>
      </w:r>
      <w:proofErr w:type="spellEnd"/>
      <w:r w:rsidRPr="004251DE">
        <w:rPr>
          <w:lang w:val="en-US"/>
        </w:rPr>
        <w:t xml:space="preserve">, et </w:t>
      </w:r>
      <w:proofErr w:type="spellStart"/>
      <w:r w:rsidRPr="004251DE">
        <w:rPr>
          <w:lang w:val="en-US"/>
        </w:rPr>
        <w:t>currebant</w:t>
      </w:r>
      <w:proofErr w:type="spellEnd"/>
      <w:r w:rsidRPr="004251DE">
        <w:rPr>
          <w:lang w:val="en-US"/>
        </w:rPr>
        <w:t xml:space="preserve"> </w:t>
      </w:r>
      <w:proofErr w:type="spellStart"/>
      <w:r w:rsidRPr="004251DE">
        <w:rPr>
          <w:lang w:val="en-US"/>
        </w:rPr>
        <w:t>lacrimae</w:t>
      </w:r>
      <w:proofErr w:type="spellEnd"/>
      <w:r w:rsidRPr="004251DE">
        <w:rPr>
          <w:lang w:val="en-US"/>
        </w:rPr>
        <w:t xml:space="preserve">, et bene mihi </w:t>
      </w:r>
      <w:proofErr w:type="spellStart"/>
      <w:r w:rsidRPr="004251DE">
        <w:rPr>
          <w:lang w:val="en-US"/>
        </w:rPr>
        <w:t>erat</w:t>
      </w:r>
      <w:proofErr w:type="spellEnd"/>
      <w:r w:rsidRPr="004251DE">
        <w:rPr>
          <w:lang w:val="en-US"/>
        </w:rPr>
        <w:t xml:space="preserve"> cum </w:t>
      </w:r>
      <w:proofErr w:type="spellStart"/>
      <w:r w:rsidRPr="004251DE">
        <w:rPr>
          <w:lang w:val="en-US"/>
        </w:rPr>
        <w:t>eis</w:t>
      </w:r>
      <w:proofErr w:type="spellEnd"/>
      <w:r w:rsidRPr="004251DE">
        <w:rPr>
          <w:lang w:val="en-US"/>
        </w:rPr>
        <w:t xml:space="preserve">.” Augustine, </w:t>
      </w:r>
      <w:r w:rsidRPr="004251DE">
        <w:rPr>
          <w:i/>
          <w:iCs/>
          <w:lang w:val="en-US"/>
        </w:rPr>
        <w:t>Confessions</w:t>
      </w:r>
      <w:r w:rsidRPr="004251DE">
        <w:rPr>
          <w:lang w:val="en-US"/>
        </w:rPr>
        <w:t>, trans. William Watts (London: William Heinemann, 1912), vols. II, 9.6, 28–29.</w:t>
      </w:r>
    </w:p>
  </w:footnote>
  <w:footnote w:id="208">
    <w:p w14:paraId="3CD7931B" w14:textId="77777777" w:rsidR="00182EED" w:rsidRDefault="00182EED" w:rsidP="001840E8">
      <w:pPr>
        <w:pStyle w:val="FootnoteText"/>
      </w:pPr>
      <w:r w:rsidRPr="00391186">
        <w:rPr>
          <w:rStyle w:val="FootnoteReference"/>
        </w:rPr>
        <w:footnoteRef/>
      </w:r>
      <w:r>
        <w:t xml:space="preserve"> </w:t>
      </w:r>
      <w:r w:rsidRPr="004251DE">
        <w:rPr>
          <w:lang w:val="en-US"/>
        </w:rPr>
        <w:t>“</w:t>
      </w:r>
      <w:proofErr w:type="spellStart"/>
      <w:r w:rsidRPr="004251DE">
        <w:rPr>
          <w:lang w:val="en-US"/>
        </w:rPr>
        <w:t>Cantandi</w:t>
      </w:r>
      <w:proofErr w:type="spellEnd"/>
      <w:r w:rsidRPr="004251DE">
        <w:rPr>
          <w:lang w:val="en-US"/>
        </w:rPr>
        <w:t xml:space="preserve"> </w:t>
      </w:r>
      <w:proofErr w:type="spellStart"/>
      <w:r w:rsidRPr="004251DE">
        <w:rPr>
          <w:lang w:val="en-US"/>
        </w:rPr>
        <w:t>consuetudinem</w:t>
      </w:r>
      <w:proofErr w:type="spellEnd"/>
      <w:r w:rsidRPr="004251DE">
        <w:rPr>
          <w:lang w:val="en-US"/>
        </w:rPr>
        <w:t xml:space="preserve"> </w:t>
      </w:r>
      <w:proofErr w:type="spellStart"/>
      <w:r w:rsidRPr="004251DE">
        <w:rPr>
          <w:lang w:val="en-US"/>
        </w:rPr>
        <w:t>approbare</w:t>
      </w:r>
      <w:proofErr w:type="spellEnd"/>
      <w:r w:rsidRPr="004251DE">
        <w:rPr>
          <w:lang w:val="en-US"/>
        </w:rPr>
        <w:t xml:space="preserve"> in ecclesia, </w:t>
      </w:r>
      <w:proofErr w:type="spellStart"/>
      <w:r w:rsidRPr="004251DE">
        <w:rPr>
          <w:lang w:val="en-US"/>
        </w:rPr>
        <w:t>ut</w:t>
      </w:r>
      <w:proofErr w:type="spellEnd"/>
      <w:r w:rsidRPr="004251DE">
        <w:rPr>
          <w:lang w:val="en-US"/>
        </w:rPr>
        <w:t xml:space="preserve"> per </w:t>
      </w:r>
      <w:proofErr w:type="spellStart"/>
      <w:r w:rsidRPr="004251DE">
        <w:rPr>
          <w:lang w:val="en-US"/>
        </w:rPr>
        <w:t>oblectamenta</w:t>
      </w:r>
      <w:proofErr w:type="spellEnd"/>
      <w:r w:rsidRPr="004251DE">
        <w:rPr>
          <w:lang w:val="en-US"/>
        </w:rPr>
        <w:t xml:space="preserve"> </w:t>
      </w:r>
      <w:proofErr w:type="spellStart"/>
      <w:r w:rsidRPr="004251DE">
        <w:rPr>
          <w:lang w:val="en-US"/>
        </w:rPr>
        <w:t>aurium</w:t>
      </w:r>
      <w:proofErr w:type="spellEnd"/>
      <w:r w:rsidRPr="004251DE">
        <w:rPr>
          <w:lang w:val="en-US"/>
        </w:rPr>
        <w:t xml:space="preserve"> </w:t>
      </w:r>
      <w:proofErr w:type="spellStart"/>
      <w:r w:rsidRPr="004251DE">
        <w:rPr>
          <w:lang w:val="en-US"/>
        </w:rPr>
        <w:t>infirmior</w:t>
      </w:r>
      <w:proofErr w:type="spellEnd"/>
      <w:r w:rsidRPr="004251DE">
        <w:rPr>
          <w:lang w:val="en-US"/>
        </w:rPr>
        <w:t xml:space="preserve"> animus in </w:t>
      </w:r>
      <w:proofErr w:type="spellStart"/>
      <w:r w:rsidRPr="004251DE">
        <w:rPr>
          <w:lang w:val="en-US"/>
        </w:rPr>
        <w:t>affectum</w:t>
      </w:r>
      <w:proofErr w:type="spellEnd"/>
      <w:r w:rsidRPr="004251DE">
        <w:rPr>
          <w:lang w:val="en-US"/>
        </w:rPr>
        <w:t xml:space="preserve"> </w:t>
      </w:r>
      <w:proofErr w:type="spellStart"/>
      <w:r w:rsidRPr="004251DE">
        <w:rPr>
          <w:lang w:val="en-US"/>
        </w:rPr>
        <w:t>pietatis</w:t>
      </w:r>
      <w:proofErr w:type="spellEnd"/>
      <w:r w:rsidRPr="004251DE">
        <w:rPr>
          <w:lang w:val="en-US"/>
        </w:rPr>
        <w:t xml:space="preserve"> </w:t>
      </w:r>
      <w:proofErr w:type="spellStart"/>
      <w:r w:rsidRPr="004251DE">
        <w:rPr>
          <w:lang w:val="en-US"/>
        </w:rPr>
        <w:t>adsurgat</w:t>
      </w:r>
      <w:proofErr w:type="spellEnd"/>
      <w:r w:rsidRPr="004251DE">
        <w:rPr>
          <w:lang w:val="en-US"/>
        </w:rPr>
        <w:t>.” Ibid., vols. II, 10.33, 167–169.</w:t>
      </w:r>
    </w:p>
  </w:footnote>
  <w:footnote w:id="209">
    <w:p w14:paraId="35334322" w14:textId="77777777" w:rsidR="00182EED" w:rsidRDefault="00182EED" w:rsidP="001840E8">
      <w:pPr>
        <w:pStyle w:val="FootnoteText"/>
      </w:pPr>
      <w:r w:rsidRPr="00391186">
        <w:rPr>
          <w:rStyle w:val="FootnoteReference"/>
        </w:rPr>
        <w:footnoteRef/>
      </w:r>
      <w:r>
        <w:t xml:space="preserve"> </w:t>
      </w:r>
      <w:r w:rsidRPr="00B15A10">
        <w:rPr>
          <w:lang w:val="en-US"/>
        </w:rPr>
        <w:t xml:space="preserve">“Ex quo </w:t>
      </w:r>
      <w:proofErr w:type="spellStart"/>
      <w:r w:rsidRPr="00B15A10">
        <w:rPr>
          <w:lang w:val="en-US"/>
        </w:rPr>
        <w:t>opinati</w:t>
      </w:r>
      <w:proofErr w:type="spellEnd"/>
      <w:r w:rsidRPr="00B15A10">
        <w:rPr>
          <w:lang w:val="en-US"/>
        </w:rPr>
        <w:t xml:space="preserve"> sunt </w:t>
      </w:r>
      <w:proofErr w:type="spellStart"/>
      <w:r w:rsidRPr="00B15A10">
        <w:rPr>
          <w:lang w:val="en-US"/>
        </w:rPr>
        <w:t>quidam</w:t>
      </w:r>
      <w:proofErr w:type="spellEnd"/>
      <w:r w:rsidRPr="00B15A10">
        <w:rPr>
          <w:lang w:val="en-US"/>
        </w:rPr>
        <w:t xml:space="preserve"> </w:t>
      </w:r>
      <w:proofErr w:type="spellStart"/>
      <w:r w:rsidRPr="00B15A10">
        <w:rPr>
          <w:lang w:val="en-US"/>
        </w:rPr>
        <w:t>antiquorum</w:t>
      </w:r>
      <w:proofErr w:type="spellEnd"/>
      <w:r w:rsidRPr="00B15A10">
        <w:rPr>
          <w:lang w:val="en-US"/>
        </w:rPr>
        <w:t xml:space="preserve"> </w:t>
      </w:r>
      <w:proofErr w:type="spellStart"/>
      <w:r w:rsidRPr="00B15A10">
        <w:rPr>
          <w:lang w:val="en-US"/>
        </w:rPr>
        <w:t>animum</w:t>
      </w:r>
      <w:proofErr w:type="spellEnd"/>
      <w:r w:rsidRPr="00B15A10">
        <w:rPr>
          <w:lang w:val="en-US"/>
        </w:rPr>
        <w:t xml:space="preserve"> nostrum </w:t>
      </w:r>
      <w:proofErr w:type="spellStart"/>
      <w:r w:rsidRPr="00B15A10">
        <w:rPr>
          <w:lang w:val="en-US"/>
        </w:rPr>
        <w:t>harmoniam</w:t>
      </w:r>
      <w:proofErr w:type="spellEnd"/>
      <w:r w:rsidRPr="00B15A10">
        <w:rPr>
          <w:lang w:val="en-US"/>
        </w:rPr>
        <w:t xml:space="preserve"> </w:t>
      </w:r>
      <w:proofErr w:type="spellStart"/>
      <w:r w:rsidRPr="00B15A10">
        <w:rPr>
          <w:lang w:val="en-US"/>
        </w:rPr>
        <w:t>esse</w:t>
      </w:r>
      <w:proofErr w:type="spellEnd"/>
      <w:r w:rsidRPr="00B15A10">
        <w:rPr>
          <w:lang w:val="en-US"/>
        </w:rPr>
        <w:t xml:space="preserve"> et </w:t>
      </w:r>
      <w:proofErr w:type="spellStart"/>
      <w:r w:rsidRPr="00B15A10">
        <w:rPr>
          <w:lang w:val="en-US"/>
        </w:rPr>
        <w:t>numerum</w:t>
      </w:r>
      <w:proofErr w:type="spellEnd"/>
      <w:r w:rsidRPr="00B15A10">
        <w:rPr>
          <w:lang w:val="en-US"/>
        </w:rPr>
        <w:t xml:space="preserve"> … sit </w:t>
      </w:r>
      <w:proofErr w:type="spellStart"/>
      <w:r w:rsidRPr="00B15A10">
        <w:rPr>
          <w:lang w:val="en-US"/>
        </w:rPr>
        <w:t>cuncta</w:t>
      </w:r>
      <w:proofErr w:type="spellEnd"/>
      <w:r w:rsidRPr="00B15A10">
        <w:rPr>
          <w:lang w:val="en-US"/>
        </w:rPr>
        <w:t xml:space="preserve"> </w:t>
      </w:r>
      <w:proofErr w:type="spellStart"/>
      <w:r w:rsidRPr="00B15A10">
        <w:rPr>
          <w:lang w:val="en-US"/>
        </w:rPr>
        <w:t>secundum</w:t>
      </w:r>
      <w:proofErr w:type="spellEnd"/>
      <w:r w:rsidRPr="00B15A10">
        <w:rPr>
          <w:lang w:val="en-US"/>
        </w:rPr>
        <w:t xml:space="preserve"> </w:t>
      </w:r>
      <w:proofErr w:type="spellStart"/>
      <w:r w:rsidRPr="00B15A10">
        <w:rPr>
          <w:lang w:val="en-US"/>
        </w:rPr>
        <w:t>naturam</w:t>
      </w:r>
      <w:proofErr w:type="spellEnd"/>
      <w:r w:rsidRPr="00B15A10">
        <w:rPr>
          <w:lang w:val="en-US"/>
        </w:rPr>
        <w:t xml:space="preserve"> </w:t>
      </w:r>
      <w:proofErr w:type="spellStart"/>
      <w:r w:rsidRPr="00B15A10">
        <w:rPr>
          <w:lang w:val="en-US"/>
        </w:rPr>
        <w:t>simili</w:t>
      </w:r>
      <w:proofErr w:type="spellEnd"/>
      <w:r w:rsidRPr="00B15A10">
        <w:rPr>
          <w:lang w:val="en-US"/>
        </w:rPr>
        <w:t xml:space="preserve"> </w:t>
      </w:r>
      <w:proofErr w:type="spellStart"/>
      <w:r w:rsidRPr="00B15A10">
        <w:rPr>
          <w:lang w:val="en-US"/>
        </w:rPr>
        <w:t>cognatoque</w:t>
      </w:r>
      <w:proofErr w:type="spellEnd"/>
      <w:r w:rsidRPr="00B15A10">
        <w:rPr>
          <w:lang w:val="en-US"/>
        </w:rPr>
        <w:t xml:space="preserve"> </w:t>
      </w:r>
      <w:proofErr w:type="spellStart"/>
      <w:r w:rsidRPr="00B15A10">
        <w:rPr>
          <w:lang w:val="en-US"/>
        </w:rPr>
        <w:t>maxime</w:t>
      </w:r>
      <w:proofErr w:type="spellEnd"/>
      <w:r w:rsidRPr="00B15A10">
        <w:rPr>
          <w:lang w:val="en-US"/>
        </w:rPr>
        <w:t xml:space="preserve"> </w:t>
      </w:r>
      <w:proofErr w:type="spellStart"/>
      <w:r w:rsidRPr="00B15A10">
        <w:rPr>
          <w:lang w:val="en-US"/>
        </w:rPr>
        <w:t>gaudere</w:t>
      </w:r>
      <w:proofErr w:type="spellEnd"/>
      <w:r w:rsidRPr="00B15A10">
        <w:rPr>
          <w:lang w:val="en-US"/>
        </w:rPr>
        <w:t xml:space="preserve">, nihil </w:t>
      </w:r>
      <w:proofErr w:type="spellStart"/>
      <w:r w:rsidRPr="00B15A10">
        <w:rPr>
          <w:lang w:val="en-US"/>
        </w:rPr>
        <w:t>autem</w:t>
      </w:r>
      <w:proofErr w:type="spellEnd"/>
      <w:r w:rsidRPr="00B15A10">
        <w:rPr>
          <w:lang w:val="en-US"/>
        </w:rPr>
        <w:t xml:space="preserve"> </w:t>
      </w:r>
      <w:proofErr w:type="spellStart"/>
      <w:r w:rsidRPr="00B15A10">
        <w:rPr>
          <w:lang w:val="en-US"/>
        </w:rPr>
        <w:t>est</w:t>
      </w:r>
      <w:proofErr w:type="spellEnd"/>
      <w:r w:rsidRPr="00B15A10">
        <w:rPr>
          <w:lang w:val="en-US"/>
        </w:rPr>
        <w:t xml:space="preserve"> omnium, quo animus </w:t>
      </w:r>
      <w:proofErr w:type="spellStart"/>
      <w:r w:rsidRPr="00B15A10">
        <w:rPr>
          <w:lang w:val="en-US"/>
        </w:rPr>
        <w:t>noster</w:t>
      </w:r>
      <w:proofErr w:type="spellEnd"/>
      <w:r w:rsidRPr="00B15A10">
        <w:rPr>
          <w:lang w:val="en-US"/>
        </w:rPr>
        <w:t xml:space="preserve"> tantum … </w:t>
      </w:r>
      <w:proofErr w:type="spellStart"/>
      <w:r w:rsidRPr="00B15A10">
        <w:rPr>
          <w:lang w:val="en-US"/>
        </w:rPr>
        <w:t>gaudeat</w:t>
      </w:r>
      <w:proofErr w:type="spellEnd"/>
      <w:r w:rsidRPr="00B15A10">
        <w:rPr>
          <w:lang w:val="en-US"/>
        </w:rPr>
        <w:t xml:space="preserve">, quantum </w:t>
      </w:r>
      <w:proofErr w:type="spellStart"/>
      <w:r w:rsidRPr="00B15A10">
        <w:rPr>
          <w:lang w:val="en-US"/>
        </w:rPr>
        <w:t>harmonia</w:t>
      </w:r>
      <w:proofErr w:type="spellEnd"/>
      <w:r w:rsidRPr="00B15A10">
        <w:rPr>
          <w:lang w:val="en-US"/>
        </w:rPr>
        <w:t xml:space="preserve"> et </w:t>
      </w:r>
      <w:proofErr w:type="spellStart"/>
      <w:r w:rsidRPr="00B15A10">
        <w:rPr>
          <w:lang w:val="en-US"/>
        </w:rPr>
        <w:t>numero</w:t>
      </w:r>
      <w:proofErr w:type="spellEnd"/>
      <w:r w:rsidRPr="00B15A10">
        <w:rPr>
          <w:lang w:val="en-US"/>
        </w:rPr>
        <w:t>.” Bruni, “The Study of Literature,” 116–17.</w:t>
      </w:r>
    </w:p>
  </w:footnote>
  <w:footnote w:id="210">
    <w:p w14:paraId="0AA33E68" w14:textId="77777777" w:rsidR="00182EED" w:rsidRDefault="00182EED" w:rsidP="001840E8">
      <w:pPr>
        <w:pStyle w:val="FootnoteText"/>
      </w:pPr>
      <w:r w:rsidRPr="00391186">
        <w:rPr>
          <w:rStyle w:val="FootnoteReference"/>
        </w:rPr>
        <w:footnoteRef/>
      </w:r>
      <w:r>
        <w:t xml:space="preserve"> </w:t>
      </w:r>
      <w:r w:rsidRPr="004251DE">
        <w:rPr>
          <w:lang w:val="en-US"/>
        </w:rPr>
        <w:t xml:space="preserve">“Non </w:t>
      </w:r>
      <w:proofErr w:type="spellStart"/>
      <w:r w:rsidRPr="004251DE">
        <w:rPr>
          <w:lang w:val="en-US"/>
        </w:rPr>
        <w:t>quidem</w:t>
      </w:r>
      <w:proofErr w:type="spellEnd"/>
      <w:r w:rsidRPr="004251DE">
        <w:rPr>
          <w:lang w:val="en-US"/>
        </w:rPr>
        <w:t xml:space="preserve"> </w:t>
      </w:r>
      <w:proofErr w:type="spellStart"/>
      <w:r w:rsidRPr="004251DE">
        <w:rPr>
          <w:lang w:val="en-US"/>
        </w:rPr>
        <w:t>ad</w:t>
      </w:r>
      <w:proofErr w:type="spellEnd"/>
      <w:r w:rsidRPr="004251DE">
        <w:rPr>
          <w:lang w:val="en-US"/>
        </w:rPr>
        <w:t xml:space="preserve"> </w:t>
      </w:r>
      <w:proofErr w:type="spellStart"/>
      <w:r w:rsidRPr="004251DE">
        <w:rPr>
          <w:lang w:val="en-US"/>
        </w:rPr>
        <w:t>lasciviae</w:t>
      </w:r>
      <w:proofErr w:type="spellEnd"/>
      <w:r w:rsidRPr="004251DE">
        <w:rPr>
          <w:lang w:val="en-US"/>
        </w:rPr>
        <w:t xml:space="preserve"> </w:t>
      </w:r>
      <w:proofErr w:type="spellStart"/>
      <w:r w:rsidRPr="004251DE">
        <w:rPr>
          <w:lang w:val="en-US"/>
        </w:rPr>
        <w:t>incitamentum</w:t>
      </w:r>
      <w:proofErr w:type="spellEnd"/>
      <w:r w:rsidRPr="004251DE">
        <w:rPr>
          <w:lang w:val="en-US"/>
        </w:rPr>
        <w:t xml:space="preserve">, sed ad </w:t>
      </w:r>
      <w:proofErr w:type="spellStart"/>
      <w:r w:rsidRPr="004251DE">
        <w:rPr>
          <w:lang w:val="en-US"/>
        </w:rPr>
        <w:t>motus</w:t>
      </w:r>
      <w:proofErr w:type="spellEnd"/>
      <w:r w:rsidRPr="004251DE">
        <w:rPr>
          <w:lang w:val="en-US"/>
        </w:rPr>
        <w:t xml:space="preserve"> </w:t>
      </w:r>
      <w:proofErr w:type="spellStart"/>
      <w:r w:rsidRPr="004251DE">
        <w:rPr>
          <w:lang w:val="en-US"/>
        </w:rPr>
        <w:t>animae</w:t>
      </w:r>
      <w:proofErr w:type="spellEnd"/>
      <w:r w:rsidRPr="004251DE">
        <w:rPr>
          <w:lang w:val="en-US"/>
        </w:rPr>
        <w:t xml:space="preserve"> sub </w:t>
      </w:r>
      <w:proofErr w:type="spellStart"/>
      <w:r w:rsidRPr="004251DE">
        <w:rPr>
          <w:lang w:val="en-US"/>
        </w:rPr>
        <w:t>regula</w:t>
      </w:r>
      <w:proofErr w:type="spellEnd"/>
      <w:r w:rsidRPr="004251DE">
        <w:rPr>
          <w:lang w:val="en-US"/>
        </w:rPr>
        <w:t xml:space="preserve"> </w:t>
      </w:r>
      <w:proofErr w:type="spellStart"/>
      <w:r w:rsidRPr="004251DE">
        <w:rPr>
          <w:lang w:val="en-US"/>
        </w:rPr>
        <w:t>rationeque</w:t>
      </w:r>
      <w:proofErr w:type="spellEnd"/>
      <w:r w:rsidRPr="004251DE">
        <w:rPr>
          <w:lang w:val="en-US"/>
        </w:rPr>
        <w:t xml:space="preserve"> </w:t>
      </w:r>
      <w:proofErr w:type="spellStart"/>
      <w:r w:rsidRPr="004251DE">
        <w:rPr>
          <w:lang w:val="en-US"/>
        </w:rPr>
        <w:t>moderandos</w:t>
      </w:r>
      <w:proofErr w:type="spellEnd"/>
      <w:r w:rsidRPr="004251DE">
        <w:rPr>
          <w:lang w:val="en-US"/>
        </w:rPr>
        <w:t xml:space="preserve">.” </w:t>
      </w:r>
      <w:proofErr w:type="spellStart"/>
      <w:r w:rsidRPr="004251DE">
        <w:rPr>
          <w:lang w:val="en-US"/>
        </w:rPr>
        <w:t>Vergerio</w:t>
      </w:r>
      <w:proofErr w:type="spellEnd"/>
      <w:r w:rsidRPr="004251DE">
        <w:rPr>
          <w:lang w:val="en-US"/>
        </w:rPr>
        <w:t>, “The Character and Studies Befitting a Free-Born Youth,” 52–53.</w:t>
      </w:r>
    </w:p>
  </w:footnote>
  <w:footnote w:id="211">
    <w:p w14:paraId="339DC119" w14:textId="77777777" w:rsidR="00182EED" w:rsidRDefault="00182EED" w:rsidP="001840E8">
      <w:pPr>
        <w:pStyle w:val="FootnoteText"/>
      </w:pPr>
      <w:r w:rsidRPr="00391186">
        <w:rPr>
          <w:rStyle w:val="FootnoteReference"/>
        </w:rPr>
        <w:footnoteRef/>
      </w:r>
      <w:r>
        <w:t xml:space="preserve"> </w:t>
      </w:r>
      <w:r w:rsidRPr="004251DE">
        <w:rPr>
          <w:lang w:val="en-US"/>
        </w:rPr>
        <w:t>Ibid., 86–87.</w:t>
      </w:r>
    </w:p>
  </w:footnote>
  <w:footnote w:id="212">
    <w:p w14:paraId="4605A117" w14:textId="77777777" w:rsidR="00182EED" w:rsidRDefault="00182EED" w:rsidP="001840E8">
      <w:pPr>
        <w:pStyle w:val="FootnoteText"/>
      </w:pPr>
      <w:r w:rsidRPr="00391186">
        <w:rPr>
          <w:rStyle w:val="FootnoteReference"/>
        </w:rPr>
        <w:footnoteRef/>
      </w:r>
      <w:r>
        <w:t xml:space="preserve"> </w:t>
      </w:r>
      <w:r w:rsidRPr="004251DE">
        <w:rPr>
          <w:lang w:val="en-US"/>
        </w:rPr>
        <w:t xml:space="preserve">“Ad </w:t>
      </w:r>
      <w:proofErr w:type="spellStart"/>
      <w:r w:rsidRPr="004251DE">
        <w:rPr>
          <w:lang w:val="en-US"/>
        </w:rPr>
        <w:t>remissionem</w:t>
      </w:r>
      <w:proofErr w:type="spellEnd"/>
      <w:r w:rsidRPr="004251DE">
        <w:rPr>
          <w:lang w:val="en-US"/>
        </w:rPr>
        <w:t xml:space="preserve"> animi </w:t>
      </w:r>
      <w:proofErr w:type="spellStart"/>
      <w:r w:rsidRPr="004251DE">
        <w:rPr>
          <w:lang w:val="en-US"/>
        </w:rPr>
        <w:t>sedandasque</w:t>
      </w:r>
      <w:proofErr w:type="spellEnd"/>
      <w:r w:rsidRPr="004251DE">
        <w:rPr>
          <w:lang w:val="en-US"/>
        </w:rPr>
        <w:t xml:space="preserve"> passions.” Ibid., 52–53.</w:t>
      </w:r>
    </w:p>
  </w:footnote>
  <w:footnote w:id="213">
    <w:p w14:paraId="6101D45B" w14:textId="77777777" w:rsidR="00182EED" w:rsidRDefault="00182EED" w:rsidP="001840E8">
      <w:pPr>
        <w:pStyle w:val="FootnoteText"/>
      </w:pPr>
      <w:r w:rsidRPr="00391186">
        <w:rPr>
          <w:rStyle w:val="FootnoteReference"/>
        </w:rPr>
        <w:footnoteRef/>
      </w:r>
      <w:r>
        <w:t xml:space="preserve"> </w:t>
      </w:r>
      <w:r w:rsidRPr="004251DE">
        <w:rPr>
          <w:lang w:val="en-US"/>
        </w:rPr>
        <w:t xml:space="preserve">Johannes Tinctoris, “A Compendium of Music’s Effects,” in </w:t>
      </w:r>
      <w:r w:rsidRPr="004251DE">
        <w:rPr>
          <w:i/>
          <w:iCs/>
          <w:lang w:val="en-US"/>
        </w:rPr>
        <w:t>“That Liberal and Virtuous Art”: Three Humanist Treatises on Music</w:t>
      </w:r>
      <w:r w:rsidRPr="004251DE">
        <w:rPr>
          <w:lang w:val="en-US"/>
        </w:rPr>
        <w:t>, ed. and trans. J. Donald Cullington (Newtownabbey: University of Ulster, 2001), 58–86. The effects listed are the following: to please God, to add beauty to God’s praises, to enhance the joys of the blessed, to make the church militant like the church triumphant, to prepare for acceptance of divine blessing, to stir up feelings of devotion, to banish sorrow, to soften hardheartedness, to drive away the devil, to induce rapture, to uplift the earthly mind, to check evil desire, to make people glad, to heal the sick, to ease toil, to spur men’s spirits to battle, to attract love, to increase the merriment of a feast, to glorify those skilled in it and to bring souls to bliss.</w:t>
      </w:r>
    </w:p>
  </w:footnote>
  <w:footnote w:id="214">
    <w:p w14:paraId="1E3CA192" w14:textId="77777777" w:rsidR="00182EED" w:rsidRDefault="00182EED" w:rsidP="001840E8">
      <w:pPr>
        <w:pStyle w:val="FootnoteText"/>
      </w:pPr>
      <w:r w:rsidRPr="00391186">
        <w:rPr>
          <w:rStyle w:val="FootnoteReference"/>
        </w:rPr>
        <w:footnoteRef/>
      </w:r>
      <w:r>
        <w:t xml:space="preserve"> </w:t>
      </w:r>
      <w:r w:rsidRPr="004251DE">
        <w:rPr>
          <w:lang w:val="en-US"/>
        </w:rPr>
        <w:t>“</w:t>
      </w:r>
      <w:proofErr w:type="spellStart"/>
      <w:r w:rsidRPr="004251DE">
        <w:rPr>
          <w:lang w:val="en-US"/>
        </w:rPr>
        <w:t>Desides</w:t>
      </w:r>
      <w:proofErr w:type="spellEnd"/>
      <w:r w:rsidRPr="004251DE">
        <w:rPr>
          <w:lang w:val="en-US"/>
        </w:rPr>
        <w:t xml:space="preserve"> et </w:t>
      </w:r>
      <w:proofErr w:type="spellStart"/>
      <w:r w:rsidRPr="004251DE">
        <w:rPr>
          <w:lang w:val="en-US"/>
        </w:rPr>
        <w:t>ignavos</w:t>
      </w:r>
      <w:proofErr w:type="spellEnd"/>
      <w:r w:rsidRPr="004251DE">
        <w:rPr>
          <w:lang w:val="en-US"/>
        </w:rPr>
        <w:t xml:space="preserve"> </w:t>
      </w:r>
      <w:proofErr w:type="spellStart"/>
      <w:r w:rsidRPr="004251DE">
        <w:rPr>
          <w:lang w:val="en-US"/>
        </w:rPr>
        <w:t>ad</w:t>
      </w:r>
      <w:proofErr w:type="spellEnd"/>
      <w:r w:rsidRPr="004251DE">
        <w:rPr>
          <w:lang w:val="en-US"/>
        </w:rPr>
        <w:t xml:space="preserve"> </w:t>
      </w:r>
      <w:proofErr w:type="spellStart"/>
      <w:r w:rsidRPr="004251DE">
        <w:rPr>
          <w:lang w:val="en-US"/>
        </w:rPr>
        <w:t>virtutem</w:t>
      </w:r>
      <w:proofErr w:type="spellEnd"/>
      <w:r w:rsidRPr="004251DE">
        <w:rPr>
          <w:lang w:val="en-US"/>
        </w:rPr>
        <w:t xml:space="preserve"> </w:t>
      </w:r>
      <w:proofErr w:type="spellStart"/>
      <w:r w:rsidRPr="004251DE">
        <w:rPr>
          <w:lang w:val="en-US"/>
        </w:rPr>
        <w:t>excitamus</w:t>
      </w:r>
      <w:proofErr w:type="spellEnd"/>
      <w:r w:rsidRPr="004251DE">
        <w:rPr>
          <w:lang w:val="en-US"/>
        </w:rPr>
        <w:t xml:space="preserve">.” Carlo </w:t>
      </w:r>
      <w:proofErr w:type="spellStart"/>
      <w:r w:rsidRPr="004251DE">
        <w:rPr>
          <w:lang w:val="en-US"/>
        </w:rPr>
        <w:t>Valgulio</w:t>
      </w:r>
      <w:proofErr w:type="spellEnd"/>
      <w:r w:rsidRPr="004251DE">
        <w:rPr>
          <w:lang w:val="en-US"/>
        </w:rPr>
        <w:t>, “</w:t>
      </w:r>
      <w:proofErr w:type="spellStart"/>
      <w:r w:rsidRPr="004251DE">
        <w:rPr>
          <w:lang w:val="en-US"/>
        </w:rPr>
        <w:t>Risposte</w:t>
      </w:r>
      <w:proofErr w:type="spellEnd"/>
      <w:r w:rsidRPr="004251DE">
        <w:rPr>
          <w:lang w:val="en-US"/>
        </w:rPr>
        <w:t xml:space="preserve"> to a Slanderer of Music,” in </w:t>
      </w:r>
      <w:r w:rsidRPr="004251DE">
        <w:rPr>
          <w:i/>
          <w:iCs/>
          <w:lang w:val="en-US"/>
        </w:rPr>
        <w:t>“That Liberal and Virtuous Art”: Three Humanist Treatises on Music</w:t>
      </w:r>
      <w:r w:rsidRPr="004251DE">
        <w:rPr>
          <w:lang w:val="en-US"/>
        </w:rPr>
        <w:t>, ed. and trans. J. Donald Cullington (Newtownabbey: University of Ulster, 2001), 97. English translation: 87.</w:t>
      </w:r>
    </w:p>
  </w:footnote>
  <w:footnote w:id="215">
    <w:p w14:paraId="170F10D8" w14:textId="77777777" w:rsidR="00182EED" w:rsidRDefault="00182EED" w:rsidP="001840E8">
      <w:pPr>
        <w:pStyle w:val="FootnoteText"/>
      </w:pPr>
      <w:r w:rsidRPr="00391186">
        <w:rPr>
          <w:rStyle w:val="FootnoteReference"/>
        </w:rPr>
        <w:footnoteRef/>
      </w:r>
      <w:r>
        <w:t xml:space="preserve"> </w:t>
      </w:r>
      <w:r w:rsidRPr="004251DE">
        <w:rPr>
          <w:lang w:val="en-US"/>
        </w:rPr>
        <w:t xml:space="preserve">Quoted and translated in Nino </w:t>
      </w:r>
      <w:proofErr w:type="spellStart"/>
      <w:r w:rsidRPr="004251DE">
        <w:rPr>
          <w:lang w:val="en-US"/>
        </w:rPr>
        <w:t>Pirrotta</w:t>
      </w:r>
      <w:proofErr w:type="spellEnd"/>
      <w:r w:rsidRPr="004251DE">
        <w:rPr>
          <w:lang w:val="en-US"/>
        </w:rPr>
        <w:t xml:space="preserve">, “Music and Cultural Tendencies in 15th-Century Italy,” </w:t>
      </w:r>
      <w:r w:rsidRPr="004251DE">
        <w:rPr>
          <w:i/>
          <w:iCs/>
          <w:lang w:val="en-US"/>
        </w:rPr>
        <w:t>Journal of the American Musicological Society</w:t>
      </w:r>
      <w:r w:rsidRPr="004251DE">
        <w:rPr>
          <w:lang w:val="en-US"/>
        </w:rPr>
        <w:t xml:space="preserve"> 19, no. 2 (1966): 148, 152.</w:t>
      </w:r>
    </w:p>
  </w:footnote>
  <w:footnote w:id="216">
    <w:p w14:paraId="3805E7CA" w14:textId="77777777" w:rsidR="00182EED" w:rsidRDefault="00182EED" w:rsidP="001840E8">
      <w:pPr>
        <w:pStyle w:val="FootnoteText"/>
      </w:pPr>
      <w:r w:rsidRPr="00391186">
        <w:rPr>
          <w:rStyle w:val="FootnoteReference"/>
        </w:rPr>
        <w:footnoteRef/>
      </w:r>
      <w:r>
        <w:t xml:space="preserve"> </w:t>
      </w:r>
      <w:r w:rsidRPr="004251DE">
        <w:rPr>
          <w:lang w:val="en-US"/>
        </w:rPr>
        <w:t xml:space="preserve">Kim, </w:t>
      </w:r>
      <w:r w:rsidRPr="004251DE">
        <w:rPr>
          <w:i/>
          <w:iCs/>
          <w:lang w:val="en-US"/>
        </w:rPr>
        <w:t>The Renaissance Ethics of Music</w:t>
      </w:r>
      <w:r w:rsidRPr="004251DE">
        <w:rPr>
          <w:lang w:val="en-US"/>
        </w:rPr>
        <w:t>, 47.</w:t>
      </w:r>
    </w:p>
  </w:footnote>
  <w:footnote w:id="217">
    <w:p w14:paraId="559A087F" w14:textId="77777777" w:rsidR="00182EED" w:rsidRDefault="00182EED" w:rsidP="001840E8">
      <w:pPr>
        <w:pStyle w:val="FootnoteText"/>
      </w:pPr>
      <w:r w:rsidRPr="00391186">
        <w:rPr>
          <w:rStyle w:val="FootnoteReference"/>
        </w:rPr>
        <w:footnoteRef/>
      </w:r>
      <w:r>
        <w:t xml:space="preserve"> </w:t>
      </w:r>
      <w:r w:rsidRPr="004251DE">
        <w:rPr>
          <w:lang w:val="en-US"/>
        </w:rPr>
        <w:t xml:space="preserve">“Sed </w:t>
      </w:r>
      <w:proofErr w:type="spellStart"/>
      <w:r w:rsidRPr="004251DE">
        <w:rPr>
          <w:lang w:val="en-US"/>
        </w:rPr>
        <w:t>certe</w:t>
      </w:r>
      <w:proofErr w:type="spellEnd"/>
      <w:r w:rsidRPr="004251DE">
        <w:rPr>
          <w:lang w:val="en-US"/>
        </w:rPr>
        <w:t xml:space="preserve"> non </w:t>
      </w:r>
      <w:proofErr w:type="spellStart"/>
      <w:r w:rsidRPr="004251DE">
        <w:rPr>
          <w:lang w:val="en-US"/>
        </w:rPr>
        <w:t>ars</w:t>
      </w:r>
      <w:proofErr w:type="spellEnd"/>
      <w:r w:rsidRPr="004251DE">
        <w:rPr>
          <w:lang w:val="en-US"/>
        </w:rPr>
        <w:t xml:space="preserve"> </w:t>
      </w:r>
      <w:proofErr w:type="spellStart"/>
      <w:r w:rsidRPr="004251DE">
        <w:rPr>
          <w:lang w:val="en-US"/>
        </w:rPr>
        <w:t>despicitur</w:t>
      </w:r>
      <w:proofErr w:type="spellEnd"/>
      <w:r w:rsidRPr="004251DE">
        <w:rPr>
          <w:lang w:val="en-US"/>
        </w:rPr>
        <w:t xml:space="preserve">, </w:t>
      </w:r>
      <w:proofErr w:type="spellStart"/>
      <w:r w:rsidRPr="004251DE">
        <w:rPr>
          <w:lang w:val="en-US"/>
        </w:rPr>
        <w:t>neque</w:t>
      </w:r>
      <w:proofErr w:type="spellEnd"/>
      <w:r w:rsidRPr="004251DE">
        <w:rPr>
          <w:lang w:val="en-US"/>
        </w:rPr>
        <w:t xml:space="preserve"> </w:t>
      </w:r>
      <w:proofErr w:type="spellStart"/>
      <w:r w:rsidRPr="004251DE">
        <w:rPr>
          <w:lang w:val="en-US"/>
        </w:rPr>
        <w:t>illius</w:t>
      </w:r>
      <w:proofErr w:type="spellEnd"/>
      <w:r w:rsidRPr="004251DE">
        <w:rPr>
          <w:lang w:val="en-US"/>
        </w:rPr>
        <w:t xml:space="preserve"> </w:t>
      </w:r>
      <w:proofErr w:type="spellStart"/>
      <w:r w:rsidRPr="004251DE">
        <w:rPr>
          <w:lang w:val="en-US"/>
        </w:rPr>
        <w:t>reprehenditur</w:t>
      </w:r>
      <w:proofErr w:type="spellEnd"/>
      <w:r w:rsidRPr="004251DE">
        <w:rPr>
          <w:lang w:val="en-US"/>
        </w:rPr>
        <w:t xml:space="preserve"> </w:t>
      </w:r>
      <w:proofErr w:type="spellStart"/>
      <w:r w:rsidRPr="004251DE">
        <w:rPr>
          <w:lang w:val="en-US"/>
        </w:rPr>
        <w:t>usus</w:t>
      </w:r>
      <w:proofErr w:type="spellEnd"/>
      <w:r w:rsidRPr="004251DE">
        <w:rPr>
          <w:lang w:val="en-US"/>
        </w:rPr>
        <w:t xml:space="preserve"> ... non </w:t>
      </w:r>
      <w:proofErr w:type="spellStart"/>
      <w:r w:rsidRPr="004251DE">
        <w:rPr>
          <w:lang w:val="en-US"/>
        </w:rPr>
        <w:t>esset</w:t>
      </w:r>
      <w:proofErr w:type="spellEnd"/>
      <w:r w:rsidRPr="004251DE">
        <w:rPr>
          <w:lang w:val="en-US"/>
        </w:rPr>
        <w:t xml:space="preserve"> ergo </w:t>
      </w:r>
      <w:proofErr w:type="spellStart"/>
      <w:r w:rsidRPr="004251DE">
        <w:rPr>
          <w:lang w:val="en-US"/>
        </w:rPr>
        <w:t>huius</w:t>
      </w:r>
      <w:proofErr w:type="spellEnd"/>
      <w:r w:rsidRPr="004251DE">
        <w:rPr>
          <w:lang w:val="en-US"/>
        </w:rPr>
        <w:t xml:space="preserve"> </w:t>
      </w:r>
      <w:proofErr w:type="spellStart"/>
      <w:r w:rsidRPr="004251DE">
        <w:rPr>
          <w:lang w:val="en-US"/>
        </w:rPr>
        <w:t>disciplinae</w:t>
      </w:r>
      <w:proofErr w:type="spellEnd"/>
      <w:r w:rsidRPr="004251DE">
        <w:rPr>
          <w:lang w:val="en-US"/>
        </w:rPr>
        <w:t xml:space="preserve"> mediocris </w:t>
      </w:r>
      <w:proofErr w:type="spellStart"/>
      <w:r w:rsidRPr="004251DE">
        <w:rPr>
          <w:lang w:val="en-US"/>
        </w:rPr>
        <w:t>fugienda</w:t>
      </w:r>
      <w:proofErr w:type="spellEnd"/>
      <w:r w:rsidRPr="004251DE">
        <w:rPr>
          <w:lang w:val="en-US"/>
        </w:rPr>
        <w:t xml:space="preserve"> cognition, </w:t>
      </w:r>
      <w:proofErr w:type="spellStart"/>
      <w:r w:rsidRPr="004251DE">
        <w:rPr>
          <w:lang w:val="en-US"/>
        </w:rPr>
        <w:t>si</w:t>
      </w:r>
      <w:proofErr w:type="spellEnd"/>
      <w:r w:rsidRPr="004251DE">
        <w:rPr>
          <w:lang w:val="en-US"/>
        </w:rPr>
        <w:t xml:space="preserve"> </w:t>
      </w:r>
      <w:proofErr w:type="spellStart"/>
      <w:r w:rsidRPr="004251DE">
        <w:rPr>
          <w:lang w:val="en-US"/>
        </w:rPr>
        <w:t>praeceptores</w:t>
      </w:r>
      <w:proofErr w:type="spellEnd"/>
      <w:r w:rsidRPr="004251DE">
        <w:rPr>
          <w:lang w:val="en-US"/>
        </w:rPr>
        <w:t xml:space="preserve"> non </w:t>
      </w:r>
      <w:proofErr w:type="spellStart"/>
      <w:r w:rsidRPr="004251DE">
        <w:rPr>
          <w:lang w:val="en-US"/>
        </w:rPr>
        <w:t>vitiosi</w:t>
      </w:r>
      <w:proofErr w:type="spellEnd"/>
      <w:r w:rsidRPr="004251DE">
        <w:rPr>
          <w:lang w:val="en-US"/>
        </w:rPr>
        <w:t xml:space="preserve"> </w:t>
      </w:r>
      <w:proofErr w:type="spellStart"/>
      <w:r w:rsidRPr="004251DE">
        <w:rPr>
          <w:lang w:val="en-US"/>
        </w:rPr>
        <w:t>reperirentur</w:t>
      </w:r>
      <w:proofErr w:type="spellEnd"/>
      <w:r w:rsidRPr="004251DE">
        <w:rPr>
          <w:lang w:val="en-US"/>
        </w:rPr>
        <w:t xml:space="preserve">.” </w:t>
      </w:r>
      <w:proofErr w:type="spellStart"/>
      <w:r w:rsidRPr="004251DE">
        <w:rPr>
          <w:lang w:val="en-US"/>
        </w:rPr>
        <w:t>Piccolomini</w:t>
      </w:r>
      <w:proofErr w:type="spellEnd"/>
      <w:r w:rsidRPr="004251DE">
        <w:rPr>
          <w:lang w:val="en-US"/>
        </w:rPr>
        <w:t xml:space="preserve">, “De </w:t>
      </w:r>
      <w:proofErr w:type="spellStart"/>
      <w:r w:rsidRPr="004251DE">
        <w:rPr>
          <w:lang w:val="en-US"/>
        </w:rPr>
        <w:t>Liberorum</w:t>
      </w:r>
      <w:proofErr w:type="spellEnd"/>
      <w:r w:rsidRPr="004251DE">
        <w:rPr>
          <w:lang w:val="en-US"/>
        </w:rPr>
        <w:t xml:space="preserve"> </w:t>
      </w:r>
      <w:proofErr w:type="spellStart"/>
      <w:r w:rsidRPr="004251DE">
        <w:rPr>
          <w:lang w:val="en-US"/>
        </w:rPr>
        <w:t>Educatione</w:t>
      </w:r>
      <w:proofErr w:type="spellEnd"/>
      <w:r w:rsidRPr="004251DE">
        <w:rPr>
          <w:lang w:val="en-US"/>
        </w:rPr>
        <w:t>,” 248–49.</w:t>
      </w:r>
    </w:p>
  </w:footnote>
  <w:footnote w:id="218">
    <w:p w14:paraId="1144E15B" w14:textId="77777777" w:rsidR="00182EED" w:rsidRDefault="00182EED" w:rsidP="001840E8">
      <w:pPr>
        <w:pStyle w:val="FootnoteText"/>
      </w:pPr>
      <w:r w:rsidRPr="00391186">
        <w:rPr>
          <w:rStyle w:val="FootnoteReference"/>
        </w:rPr>
        <w:footnoteRef/>
      </w:r>
      <w:r>
        <w:t xml:space="preserve"> </w:t>
      </w:r>
      <w:proofErr w:type="spellStart"/>
      <w:r w:rsidRPr="004251DE">
        <w:rPr>
          <w:lang w:val="en-US"/>
        </w:rPr>
        <w:t>Valgulio</w:t>
      </w:r>
      <w:proofErr w:type="spellEnd"/>
      <w:r w:rsidRPr="004251DE">
        <w:rPr>
          <w:lang w:val="en-US"/>
        </w:rPr>
        <w:t>, “</w:t>
      </w:r>
      <w:proofErr w:type="spellStart"/>
      <w:r w:rsidRPr="004251DE">
        <w:rPr>
          <w:lang w:val="en-US"/>
        </w:rPr>
        <w:t>Risposte</w:t>
      </w:r>
      <w:proofErr w:type="spellEnd"/>
      <w:r w:rsidRPr="004251DE">
        <w:rPr>
          <w:lang w:val="en-US"/>
        </w:rPr>
        <w:t xml:space="preserve"> to a Slanderer of Music,” 88–89.</w:t>
      </w:r>
    </w:p>
  </w:footnote>
  <w:footnote w:id="219">
    <w:p w14:paraId="1A862525" w14:textId="77777777" w:rsidR="00182EED" w:rsidRDefault="00182EED" w:rsidP="001840E8">
      <w:pPr>
        <w:pStyle w:val="FootnoteText"/>
      </w:pPr>
      <w:r w:rsidRPr="00391186">
        <w:rPr>
          <w:rStyle w:val="FootnoteReference"/>
        </w:rPr>
        <w:footnoteRef/>
      </w:r>
      <w:r>
        <w:t xml:space="preserve"> </w:t>
      </w:r>
      <w:r w:rsidRPr="004251DE">
        <w:rPr>
          <w:lang w:val="en-US"/>
        </w:rPr>
        <w:t>“</w:t>
      </w:r>
      <w:proofErr w:type="spellStart"/>
      <w:r w:rsidRPr="004251DE">
        <w:rPr>
          <w:lang w:val="en-US"/>
        </w:rPr>
        <w:t>Quam</w:t>
      </w:r>
      <w:proofErr w:type="spellEnd"/>
      <w:r w:rsidRPr="004251DE">
        <w:rPr>
          <w:lang w:val="en-US"/>
        </w:rPr>
        <w:t xml:space="preserve"> rem Plato et Aristoteles </w:t>
      </w:r>
      <w:proofErr w:type="spellStart"/>
      <w:r w:rsidRPr="004251DE">
        <w:rPr>
          <w:lang w:val="en-US"/>
        </w:rPr>
        <w:t>prae</w:t>
      </w:r>
      <w:proofErr w:type="spellEnd"/>
      <w:r w:rsidRPr="004251DE">
        <w:rPr>
          <w:lang w:val="en-US"/>
        </w:rPr>
        <w:t xml:space="preserve"> ceteris magna contention non </w:t>
      </w:r>
      <w:proofErr w:type="spellStart"/>
      <w:r w:rsidRPr="004251DE">
        <w:rPr>
          <w:lang w:val="en-US"/>
        </w:rPr>
        <w:t>cessant</w:t>
      </w:r>
      <w:proofErr w:type="spellEnd"/>
      <w:r w:rsidRPr="004251DE">
        <w:rPr>
          <w:lang w:val="en-US"/>
        </w:rPr>
        <w:t xml:space="preserve"> </w:t>
      </w:r>
      <w:proofErr w:type="spellStart"/>
      <w:r w:rsidRPr="004251DE">
        <w:rPr>
          <w:lang w:val="en-US"/>
        </w:rPr>
        <w:t>iubere</w:t>
      </w:r>
      <w:proofErr w:type="spellEnd"/>
      <w:r w:rsidRPr="004251DE">
        <w:rPr>
          <w:lang w:val="en-US"/>
        </w:rPr>
        <w:t xml:space="preserve">, </w:t>
      </w:r>
      <w:proofErr w:type="spellStart"/>
      <w:r w:rsidRPr="004251DE">
        <w:rPr>
          <w:lang w:val="en-US"/>
        </w:rPr>
        <w:t>ut</w:t>
      </w:r>
      <w:proofErr w:type="spellEnd"/>
      <w:r w:rsidRPr="004251DE">
        <w:rPr>
          <w:lang w:val="en-US"/>
        </w:rPr>
        <w:t xml:space="preserve"> </w:t>
      </w:r>
      <w:proofErr w:type="spellStart"/>
      <w:r w:rsidRPr="004251DE">
        <w:rPr>
          <w:lang w:val="en-US"/>
        </w:rPr>
        <w:t>protinus</w:t>
      </w:r>
      <w:proofErr w:type="spellEnd"/>
      <w:r w:rsidRPr="004251DE">
        <w:rPr>
          <w:lang w:val="en-US"/>
        </w:rPr>
        <w:t xml:space="preserve"> </w:t>
      </w:r>
      <w:proofErr w:type="spellStart"/>
      <w:r w:rsidRPr="004251DE">
        <w:rPr>
          <w:lang w:val="en-US"/>
        </w:rPr>
        <w:t>recte</w:t>
      </w:r>
      <w:proofErr w:type="spellEnd"/>
      <w:r w:rsidRPr="004251DE">
        <w:rPr>
          <w:lang w:val="en-US"/>
        </w:rPr>
        <w:t xml:space="preserve"> </w:t>
      </w:r>
      <w:proofErr w:type="spellStart"/>
      <w:r w:rsidRPr="004251DE">
        <w:rPr>
          <w:lang w:val="en-US"/>
        </w:rPr>
        <w:t>amare</w:t>
      </w:r>
      <w:proofErr w:type="spellEnd"/>
      <w:r w:rsidRPr="004251DE">
        <w:rPr>
          <w:lang w:val="en-US"/>
        </w:rPr>
        <w:t xml:space="preserve"> et </w:t>
      </w:r>
      <w:proofErr w:type="spellStart"/>
      <w:r w:rsidRPr="004251DE">
        <w:rPr>
          <w:lang w:val="en-US"/>
        </w:rPr>
        <w:t>recte</w:t>
      </w:r>
      <w:proofErr w:type="spellEnd"/>
      <w:r w:rsidRPr="004251DE">
        <w:rPr>
          <w:lang w:val="en-US"/>
        </w:rPr>
        <w:t xml:space="preserve"> </w:t>
      </w:r>
      <w:proofErr w:type="spellStart"/>
      <w:r w:rsidRPr="004251DE">
        <w:rPr>
          <w:lang w:val="en-US"/>
        </w:rPr>
        <w:t>odisse</w:t>
      </w:r>
      <w:proofErr w:type="spellEnd"/>
      <w:r w:rsidRPr="004251DE">
        <w:rPr>
          <w:lang w:val="en-US"/>
        </w:rPr>
        <w:t xml:space="preserve">, hoc </w:t>
      </w:r>
      <w:proofErr w:type="spellStart"/>
      <w:r w:rsidRPr="004251DE">
        <w:rPr>
          <w:lang w:val="en-US"/>
        </w:rPr>
        <w:t>est</w:t>
      </w:r>
      <w:proofErr w:type="spellEnd"/>
      <w:r w:rsidRPr="004251DE">
        <w:rPr>
          <w:lang w:val="en-US"/>
        </w:rPr>
        <w:t xml:space="preserve"> </w:t>
      </w:r>
      <w:proofErr w:type="spellStart"/>
      <w:r w:rsidRPr="004251DE">
        <w:rPr>
          <w:lang w:val="en-US"/>
        </w:rPr>
        <w:t>virtutem</w:t>
      </w:r>
      <w:proofErr w:type="spellEnd"/>
      <w:r w:rsidRPr="004251DE">
        <w:rPr>
          <w:lang w:val="en-US"/>
        </w:rPr>
        <w:t xml:space="preserve"> amore et </w:t>
      </w:r>
      <w:proofErr w:type="spellStart"/>
      <w:r w:rsidRPr="004251DE">
        <w:rPr>
          <w:lang w:val="en-US"/>
        </w:rPr>
        <w:t>odio</w:t>
      </w:r>
      <w:proofErr w:type="spellEnd"/>
      <w:r w:rsidRPr="004251DE">
        <w:rPr>
          <w:lang w:val="en-US"/>
        </w:rPr>
        <w:t xml:space="preserve"> </w:t>
      </w:r>
      <w:proofErr w:type="spellStart"/>
      <w:r w:rsidRPr="004251DE">
        <w:rPr>
          <w:lang w:val="en-US"/>
        </w:rPr>
        <w:t>vitia</w:t>
      </w:r>
      <w:proofErr w:type="spellEnd"/>
      <w:r w:rsidRPr="004251DE">
        <w:rPr>
          <w:lang w:val="en-US"/>
        </w:rPr>
        <w:t xml:space="preserve"> prosequi, </w:t>
      </w:r>
      <w:proofErr w:type="spellStart"/>
      <w:r w:rsidRPr="004251DE">
        <w:rPr>
          <w:lang w:val="en-US"/>
        </w:rPr>
        <w:t>discant</w:t>
      </w:r>
      <w:proofErr w:type="spellEnd"/>
      <w:r w:rsidRPr="004251DE">
        <w:rPr>
          <w:lang w:val="en-US"/>
        </w:rPr>
        <w:t xml:space="preserve"> et </w:t>
      </w:r>
      <w:proofErr w:type="spellStart"/>
      <w:r w:rsidRPr="004251DE">
        <w:rPr>
          <w:lang w:val="en-US"/>
        </w:rPr>
        <w:t>consuescant</w:t>
      </w:r>
      <w:proofErr w:type="spellEnd"/>
      <w:r w:rsidRPr="004251DE">
        <w:rPr>
          <w:lang w:val="en-US"/>
        </w:rPr>
        <w:t xml:space="preserve">: quod </w:t>
      </w:r>
      <w:proofErr w:type="spellStart"/>
      <w:r w:rsidRPr="004251DE">
        <w:rPr>
          <w:lang w:val="en-US"/>
        </w:rPr>
        <w:t>quidem</w:t>
      </w:r>
      <w:proofErr w:type="spellEnd"/>
      <w:r w:rsidRPr="004251DE">
        <w:rPr>
          <w:lang w:val="en-US"/>
        </w:rPr>
        <w:t xml:space="preserve"> in </w:t>
      </w:r>
      <w:proofErr w:type="spellStart"/>
      <w:r w:rsidRPr="004251DE">
        <w:rPr>
          <w:lang w:val="en-US"/>
        </w:rPr>
        <w:t>pueris</w:t>
      </w:r>
      <w:proofErr w:type="spellEnd"/>
      <w:r w:rsidRPr="004251DE">
        <w:rPr>
          <w:lang w:val="en-US"/>
        </w:rPr>
        <w:t xml:space="preserve"> </w:t>
      </w:r>
      <w:proofErr w:type="spellStart"/>
      <w:r w:rsidRPr="004251DE">
        <w:rPr>
          <w:lang w:val="en-US"/>
        </w:rPr>
        <w:t>efficit</w:t>
      </w:r>
      <w:proofErr w:type="spellEnd"/>
      <w:r w:rsidRPr="004251DE">
        <w:rPr>
          <w:lang w:val="en-US"/>
        </w:rPr>
        <w:t xml:space="preserve"> </w:t>
      </w:r>
      <w:proofErr w:type="spellStart"/>
      <w:r w:rsidRPr="004251DE">
        <w:rPr>
          <w:lang w:val="en-US"/>
        </w:rPr>
        <w:t>musica</w:t>
      </w:r>
      <w:proofErr w:type="spellEnd"/>
      <w:r w:rsidRPr="004251DE">
        <w:rPr>
          <w:lang w:val="en-US"/>
        </w:rPr>
        <w:t>.” Ibid., 89 (original Latin at 99).</w:t>
      </w:r>
    </w:p>
  </w:footnote>
  <w:footnote w:id="220">
    <w:p w14:paraId="274BC20D" w14:textId="77777777" w:rsidR="00182EED" w:rsidRDefault="00182EED" w:rsidP="001840E8">
      <w:pPr>
        <w:pStyle w:val="FootnoteText"/>
      </w:pPr>
      <w:r w:rsidRPr="00391186">
        <w:rPr>
          <w:rStyle w:val="FootnoteReference"/>
        </w:rPr>
        <w:footnoteRef/>
      </w:r>
      <w:r>
        <w:t xml:space="preserve"> </w:t>
      </w:r>
      <w:r w:rsidRPr="004251DE">
        <w:rPr>
          <w:lang w:val="en-US"/>
        </w:rPr>
        <w:t>“</w:t>
      </w:r>
      <w:proofErr w:type="spellStart"/>
      <w:r w:rsidRPr="004251DE">
        <w:rPr>
          <w:lang w:val="en-US"/>
        </w:rPr>
        <w:t>Iussu</w:t>
      </w:r>
      <w:proofErr w:type="spellEnd"/>
      <w:r w:rsidRPr="004251DE">
        <w:rPr>
          <w:lang w:val="en-US"/>
        </w:rPr>
        <w:t xml:space="preserve"> </w:t>
      </w:r>
      <w:proofErr w:type="spellStart"/>
      <w:r w:rsidRPr="004251DE">
        <w:rPr>
          <w:lang w:val="en-US"/>
        </w:rPr>
        <w:t>disciplinandis</w:t>
      </w:r>
      <w:proofErr w:type="spellEnd"/>
      <w:r w:rsidRPr="004251DE">
        <w:rPr>
          <w:lang w:val="en-US"/>
        </w:rPr>
        <w:t xml:space="preserve"> </w:t>
      </w:r>
      <w:proofErr w:type="spellStart"/>
      <w:r w:rsidRPr="004251DE">
        <w:rPr>
          <w:lang w:val="en-US"/>
        </w:rPr>
        <w:t>adolescentibus</w:t>
      </w:r>
      <w:proofErr w:type="spellEnd"/>
      <w:r w:rsidRPr="004251DE">
        <w:rPr>
          <w:lang w:val="en-US"/>
        </w:rPr>
        <w:t xml:space="preserve"> et </w:t>
      </w:r>
      <w:proofErr w:type="spellStart"/>
      <w:r w:rsidRPr="004251DE">
        <w:rPr>
          <w:lang w:val="en-US"/>
        </w:rPr>
        <w:t>naturalis</w:t>
      </w:r>
      <w:proofErr w:type="spellEnd"/>
      <w:r w:rsidRPr="004251DE">
        <w:rPr>
          <w:lang w:val="en-US"/>
        </w:rPr>
        <w:t xml:space="preserve"> et </w:t>
      </w:r>
      <w:proofErr w:type="spellStart"/>
      <w:r w:rsidRPr="004251DE">
        <w:rPr>
          <w:lang w:val="en-US"/>
        </w:rPr>
        <w:t>artificiosae</w:t>
      </w:r>
      <w:proofErr w:type="spellEnd"/>
      <w:r w:rsidRPr="004251DE">
        <w:rPr>
          <w:lang w:val="en-US"/>
        </w:rPr>
        <w:t xml:space="preserve"> </w:t>
      </w:r>
      <w:proofErr w:type="spellStart"/>
      <w:r w:rsidRPr="004251DE">
        <w:rPr>
          <w:lang w:val="en-US"/>
        </w:rPr>
        <w:t>vocis</w:t>
      </w:r>
      <w:proofErr w:type="spellEnd"/>
      <w:r w:rsidRPr="004251DE">
        <w:rPr>
          <w:lang w:val="en-US"/>
        </w:rPr>
        <w:t xml:space="preserve"> </w:t>
      </w:r>
      <w:proofErr w:type="spellStart"/>
      <w:r w:rsidRPr="004251DE">
        <w:rPr>
          <w:lang w:val="en-US"/>
        </w:rPr>
        <w:t>vsus</w:t>
      </w:r>
      <w:proofErr w:type="spellEnd"/>
      <w:r w:rsidRPr="004251DE">
        <w:rPr>
          <w:lang w:val="en-US"/>
        </w:rPr>
        <w:t xml:space="preserve"> </w:t>
      </w:r>
      <w:proofErr w:type="spellStart"/>
      <w:r w:rsidRPr="004251DE">
        <w:rPr>
          <w:lang w:val="en-US"/>
        </w:rPr>
        <w:t>plurimum</w:t>
      </w:r>
      <w:proofErr w:type="spellEnd"/>
      <w:r w:rsidRPr="004251DE">
        <w:rPr>
          <w:lang w:val="en-US"/>
        </w:rPr>
        <w:t xml:space="preserve"> </w:t>
      </w:r>
      <w:proofErr w:type="spellStart"/>
      <w:r w:rsidRPr="004251DE">
        <w:rPr>
          <w:lang w:val="en-US"/>
        </w:rPr>
        <w:t>comendatur</w:t>
      </w:r>
      <w:proofErr w:type="spellEnd"/>
      <w:r w:rsidRPr="004251DE">
        <w:rPr>
          <w:lang w:val="en-US"/>
        </w:rPr>
        <w:t xml:space="preserve">.” </w:t>
      </w:r>
      <w:proofErr w:type="spellStart"/>
      <w:r w:rsidRPr="004251DE">
        <w:rPr>
          <w:lang w:val="en-US"/>
        </w:rPr>
        <w:t>Gaffurius</w:t>
      </w:r>
      <w:proofErr w:type="spellEnd"/>
      <w:r w:rsidRPr="004251DE">
        <w:rPr>
          <w:lang w:val="en-US"/>
        </w:rPr>
        <w:t xml:space="preserve">, </w:t>
      </w:r>
      <w:proofErr w:type="spellStart"/>
      <w:r w:rsidRPr="004251DE">
        <w:rPr>
          <w:i/>
          <w:iCs/>
          <w:lang w:val="en-US"/>
        </w:rPr>
        <w:t>Practica</w:t>
      </w:r>
      <w:proofErr w:type="spellEnd"/>
      <w:r w:rsidRPr="004251DE">
        <w:rPr>
          <w:i/>
          <w:iCs/>
          <w:lang w:val="en-US"/>
        </w:rPr>
        <w:t xml:space="preserve"> </w:t>
      </w:r>
      <w:proofErr w:type="spellStart"/>
      <w:r w:rsidRPr="004251DE">
        <w:rPr>
          <w:i/>
          <w:iCs/>
          <w:lang w:val="en-US"/>
        </w:rPr>
        <w:t>musicae</w:t>
      </w:r>
      <w:proofErr w:type="spellEnd"/>
      <w:r w:rsidRPr="004251DE">
        <w:rPr>
          <w:lang w:val="en-US"/>
        </w:rPr>
        <w:t xml:space="preserve">, f. 5r; English translation from </w:t>
      </w:r>
      <w:proofErr w:type="spellStart"/>
      <w:r w:rsidRPr="004251DE">
        <w:rPr>
          <w:lang w:val="en-US"/>
        </w:rPr>
        <w:t>Gaffurius</w:t>
      </w:r>
      <w:proofErr w:type="spellEnd"/>
      <w:r w:rsidRPr="004251DE">
        <w:rPr>
          <w:lang w:val="en-US"/>
        </w:rPr>
        <w:t xml:space="preserve">, </w:t>
      </w:r>
      <w:r w:rsidRPr="004251DE">
        <w:rPr>
          <w:i/>
          <w:iCs/>
          <w:lang w:val="en-US"/>
        </w:rPr>
        <w:t xml:space="preserve">The </w:t>
      </w:r>
      <w:proofErr w:type="spellStart"/>
      <w:r w:rsidRPr="004251DE">
        <w:rPr>
          <w:i/>
          <w:iCs/>
          <w:lang w:val="en-US"/>
        </w:rPr>
        <w:t>Practica</w:t>
      </w:r>
      <w:proofErr w:type="spellEnd"/>
      <w:r w:rsidRPr="004251DE">
        <w:rPr>
          <w:i/>
          <w:iCs/>
          <w:lang w:val="en-US"/>
        </w:rPr>
        <w:t xml:space="preserve"> </w:t>
      </w:r>
      <w:proofErr w:type="spellStart"/>
      <w:r w:rsidRPr="004251DE">
        <w:rPr>
          <w:i/>
          <w:iCs/>
          <w:lang w:val="en-US"/>
        </w:rPr>
        <w:t>Musicae</w:t>
      </w:r>
      <w:proofErr w:type="spellEnd"/>
      <w:r w:rsidRPr="004251DE">
        <w:rPr>
          <w:i/>
          <w:iCs/>
          <w:lang w:val="en-US"/>
        </w:rPr>
        <w:t xml:space="preserve"> of </w:t>
      </w:r>
      <w:proofErr w:type="spellStart"/>
      <w:r w:rsidRPr="004251DE">
        <w:rPr>
          <w:i/>
          <w:iCs/>
          <w:lang w:val="en-US"/>
        </w:rPr>
        <w:t>Franchinus</w:t>
      </w:r>
      <w:proofErr w:type="spellEnd"/>
      <w:r w:rsidRPr="004251DE">
        <w:rPr>
          <w:i/>
          <w:iCs/>
          <w:lang w:val="en-US"/>
        </w:rPr>
        <w:t xml:space="preserve"> </w:t>
      </w:r>
      <w:proofErr w:type="spellStart"/>
      <w:r w:rsidRPr="004251DE">
        <w:rPr>
          <w:i/>
          <w:iCs/>
          <w:lang w:val="en-US"/>
        </w:rPr>
        <w:t>Gafurius</w:t>
      </w:r>
      <w:proofErr w:type="spellEnd"/>
      <w:r w:rsidRPr="004251DE">
        <w:rPr>
          <w:lang w:val="en-US"/>
        </w:rPr>
        <w:t>, 11.</w:t>
      </w:r>
    </w:p>
  </w:footnote>
  <w:footnote w:id="221">
    <w:p w14:paraId="20603CC0" w14:textId="77777777" w:rsidR="00182EED" w:rsidRDefault="00182EED" w:rsidP="001840E8">
      <w:pPr>
        <w:pStyle w:val="FootnoteText"/>
      </w:pPr>
      <w:r w:rsidRPr="00391186">
        <w:rPr>
          <w:rStyle w:val="FootnoteReference"/>
        </w:rPr>
        <w:footnoteRef/>
      </w:r>
      <w:r>
        <w:t xml:space="preserve"> </w:t>
      </w:r>
      <w:r w:rsidRPr="00133716">
        <w:rPr>
          <w:lang w:val="en-US"/>
        </w:rPr>
        <w:t>“</w:t>
      </w:r>
      <w:proofErr w:type="spellStart"/>
      <w:r w:rsidRPr="00133716">
        <w:rPr>
          <w:lang w:val="en-US"/>
        </w:rPr>
        <w:t>Iuvenes</w:t>
      </w:r>
      <w:proofErr w:type="spellEnd"/>
      <w:r w:rsidRPr="00133716">
        <w:rPr>
          <w:lang w:val="en-US"/>
        </w:rPr>
        <w:t xml:space="preserve"> </w:t>
      </w:r>
      <w:proofErr w:type="spellStart"/>
      <w:r w:rsidRPr="00133716">
        <w:rPr>
          <w:lang w:val="en-US"/>
        </w:rPr>
        <w:t>arti</w:t>
      </w:r>
      <w:proofErr w:type="spellEnd"/>
      <w:r w:rsidRPr="00133716">
        <w:rPr>
          <w:lang w:val="en-US"/>
        </w:rPr>
        <w:t xml:space="preserve"> </w:t>
      </w:r>
      <w:proofErr w:type="spellStart"/>
      <w:r w:rsidRPr="00133716">
        <w:rPr>
          <w:lang w:val="en-US"/>
        </w:rPr>
        <w:t>musicae</w:t>
      </w:r>
      <w:proofErr w:type="spellEnd"/>
      <w:r w:rsidRPr="00133716">
        <w:rPr>
          <w:lang w:val="en-US"/>
        </w:rPr>
        <w:t xml:space="preserve"> </w:t>
      </w:r>
      <w:proofErr w:type="spellStart"/>
      <w:r w:rsidRPr="00133716">
        <w:rPr>
          <w:lang w:val="en-US"/>
        </w:rPr>
        <w:t>operam</w:t>
      </w:r>
      <w:proofErr w:type="spellEnd"/>
      <w:r w:rsidRPr="00133716">
        <w:rPr>
          <w:lang w:val="en-US"/>
        </w:rPr>
        <w:t xml:space="preserve"> dare </w:t>
      </w:r>
      <w:proofErr w:type="spellStart"/>
      <w:r w:rsidRPr="00133716">
        <w:rPr>
          <w:lang w:val="en-US"/>
        </w:rPr>
        <w:t>ut</w:t>
      </w:r>
      <w:proofErr w:type="spellEnd"/>
      <w:r w:rsidRPr="00133716">
        <w:rPr>
          <w:lang w:val="en-US"/>
        </w:rPr>
        <w:t xml:space="preserve"> sense </w:t>
      </w:r>
      <w:proofErr w:type="spellStart"/>
      <w:r w:rsidRPr="00133716">
        <w:rPr>
          <w:lang w:val="en-US"/>
        </w:rPr>
        <w:t>effecti</w:t>
      </w:r>
      <w:proofErr w:type="spellEnd"/>
      <w:r w:rsidRPr="00133716">
        <w:rPr>
          <w:lang w:val="en-US"/>
        </w:rPr>
        <w:t xml:space="preserve"> </w:t>
      </w:r>
      <w:proofErr w:type="spellStart"/>
      <w:r w:rsidRPr="00133716">
        <w:rPr>
          <w:lang w:val="en-US"/>
        </w:rPr>
        <w:t>recte</w:t>
      </w:r>
      <w:proofErr w:type="spellEnd"/>
      <w:r w:rsidRPr="00133716">
        <w:rPr>
          <w:lang w:val="en-US"/>
        </w:rPr>
        <w:t xml:space="preserve"> de </w:t>
      </w:r>
      <w:proofErr w:type="spellStart"/>
      <w:r w:rsidRPr="00133716">
        <w:rPr>
          <w:lang w:val="en-US"/>
        </w:rPr>
        <w:t>ea</w:t>
      </w:r>
      <w:proofErr w:type="spellEnd"/>
      <w:r w:rsidRPr="00133716">
        <w:rPr>
          <w:lang w:val="en-US"/>
        </w:rPr>
        <w:t xml:space="preserve"> </w:t>
      </w:r>
      <w:proofErr w:type="spellStart"/>
      <w:r w:rsidRPr="00133716">
        <w:rPr>
          <w:lang w:val="en-US"/>
        </w:rPr>
        <w:t>iudicare</w:t>
      </w:r>
      <w:proofErr w:type="spellEnd"/>
      <w:r w:rsidRPr="00133716">
        <w:rPr>
          <w:lang w:val="en-US"/>
        </w:rPr>
        <w:t xml:space="preserve"> </w:t>
      </w:r>
      <w:proofErr w:type="spellStart"/>
      <w:r w:rsidRPr="00133716">
        <w:rPr>
          <w:lang w:val="en-US"/>
        </w:rPr>
        <w:t>gaudereque</w:t>
      </w:r>
      <w:proofErr w:type="spellEnd"/>
      <w:r w:rsidRPr="00133716">
        <w:rPr>
          <w:lang w:val="en-US"/>
        </w:rPr>
        <w:t xml:space="preserve"> </w:t>
      </w:r>
      <w:proofErr w:type="spellStart"/>
      <w:r w:rsidRPr="00133716">
        <w:rPr>
          <w:lang w:val="en-US"/>
        </w:rPr>
        <w:t>possint</w:t>
      </w:r>
      <w:proofErr w:type="spellEnd"/>
      <w:r w:rsidRPr="00133716">
        <w:rPr>
          <w:lang w:val="en-US"/>
        </w:rPr>
        <w:t xml:space="preserve">”. Quoted in Tim Shephard, “Noblewomen and Music in Italy, c. 1430-1520: Looking Past Isabella,” in </w:t>
      </w:r>
      <w:r w:rsidRPr="00133716">
        <w:rPr>
          <w:i/>
          <w:iCs/>
          <w:lang w:val="en-US"/>
        </w:rPr>
        <w:t>Gender, Age and Musical Creativity</w:t>
      </w:r>
      <w:r w:rsidRPr="00133716">
        <w:rPr>
          <w:lang w:val="en-US"/>
        </w:rPr>
        <w:t>, ed. Catherine Haworth and Lisa Colton (Dorchester: Ashgate, 2016), 37.</w:t>
      </w:r>
    </w:p>
  </w:footnote>
  <w:footnote w:id="222">
    <w:p w14:paraId="270744EE" w14:textId="77777777" w:rsidR="00182EED" w:rsidRDefault="00182EED" w:rsidP="001840E8">
      <w:pPr>
        <w:pStyle w:val="FootnoteText"/>
      </w:pPr>
      <w:r w:rsidRPr="00391186">
        <w:rPr>
          <w:rStyle w:val="FootnoteReference"/>
        </w:rPr>
        <w:footnoteRef/>
      </w:r>
      <w:r>
        <w:t xml:space="preserve"> </w:t>
      </w:r>
      <w:r w:rsidRPr="00F42890">
        <w:rPr>
          <w:lang w:val="en-US"/>
        </w:rPr>
        <w:t xml:space="preserve">Quintilian, </w:t>
      </w:r>
      <w:proofErr w:type="spellStart"/>
      <w:r w:rsidRPr="00F42890">
        <w:rPr>
          <w:i/>
          <w:iCs/>
          <w:lang w:val="en-US"/>
        </w:rPr>
        <w:t>Institutio</w:t>
      </w:r>
      <w:proofErr w:type="spellEnd"/>
      <w:r w:rsidRPr="00F42890">
        <w:rPr>
          <w:i/>
          <w:iCs/>
          <w:lang w:val="en-US"/>
        </w:rPr>
        <w:t xml:space="preserve"> </w:t>
      </w:r>
      <w:proofErr w:type="spellStart"/>
      <w:r w:rsidRPr="00F42890">
        <w:rPr>
          <w:i/>
          <w:iCs/>
          <w:lang w:val="en-US"/>
        </w:rPr>
        <w:t>Oratoria</w:t>
      </w:r>
      <w:proofErr w:type="spellEnd"/>
      <w:r w:rsidRPr="00F42890">
        <w:rPr>
          <w:lang w:val="en-US"/>
        </w:rPr>
        <w:t xml:space="preserve">, I.10.31, 175; See also Kim, </w:t>
      </w:r>
      <w:r w:rsidRPr="00F42890">
        <w:rPr>
          <w:i/>
          <w:iCs/>
          <w:lang w:val="en-US"/>
        </w:rPr>
        <w:t>The Renaissance Ethics of Music</w:t>
      </w:r>
      <w:r w:rsidRPr="00F42890">
        <w:rPr>
          <w:lang w:val="en-US"/>
        </w:rPr>
        <w:t>, 55.</w:t>
      </w:r>
    </w:p>
  </w:footnote>
  <w:footnote w:id="223">
    <w:p w14:paraId="5CEC1442" w14:textId="77777777" w:rsidR="00182EED" w:rsidRDefault="00182EED" w:rsidP="001840E8">
      <w:pPr>
        <w:pStyle w:val="FootnoteText"/>
      </w:pPr>
      <w:r w:rsidRPr="00391186">
        <w:rPr>
          <w:rStyle w:val="FootnoteReference"/>
        </w:rPr>
        <w:footnoteRef/>
      </w:r>
      <w:r>
        <w:t xml:space="preserve"> </w:t>
      </w:r>
      <w:r w:rsidRPr="00F42890">
        <w:rPr>
          <w:lang w:val="en-US"/>
        </w:rPr>
        <w:t xml:space="preserve">Kim, </w:t>
      </w:r>
      <w:r w:rsidRPr="00F42890">
        <w:rPr>
          <w:i/>
          <w:iCs/>
          <w:lang w:val="en-US"/>
        </w:rPr>
        <w:t>The Renaissance Ethics of Music</w:t>
      </w:r>
      <w:r w:rsidRPr="00F42890">
        <w:rPr>
          <w:lang w:val="en-US"/>
        </w:rPr>
        <w:t>, 55.</w:t>
      </w:r>
    </w:p>
  </w:footnote>
  <w:footnote w:id="224">
    <w:p w14:paraId="67D211D9" w14:textId="77777777" w:rsidR="00182EED" w:rsidRDefault="00182EED" w:rsidP="001840E8">
      <w:pPr>
        <w:pStyle w:val="FootnoteText"/>
      </w:pPr>
      <w:r w:rsidRPr="00391186">
        <w:rPr>
          <w:rStyle w:val="FootnoteReference"/>
        </w:rPr>
        <w:footnoteRef/>
      </w:r>
      <w:r>
        <w:t xml:space="preserve"> </w:t>
      </w:r>
      <w:r w:rsidRPr="00F42890">
        <w:rPr>
          <w:lang w:val="en-US"/>
        </w:rPr>
        <w:t>“</w:t>
      </w:r>
      <w:proofErr w:type="spellStart"/>
      <w:r w:rsidRPr="00F42890">
        <w:rPr>
          <w:lang w:val="en-US"/>
        </w:rPr>
        <w:t>Caeteru</w:t>
      </w:r>
      <w:proofErr w:type="spellEnd"/>
      <w:r w:rsidRPr="00F42890">
        <w:rPr>
          <w:lang w:val="en-US"/>
        </w:rPr>
        <w:t xml:space="preserve">[m] cum de </w:t>
      </w:r>
      <w:proofErr w:type="spellStart"/>
      <w:r w:rsidRPr="00F42890">
        <w:rPr>
          <w:lang w:val="en-US"/>
        </w:rPr>
        <w:t>Musica</w:t>
      </w:r>
      <w:proofErr w:type="spellEnd"/>
      <w:r w:rsidRPr="00F42890">
        <w:rPr>
          <w:lang w:val="en-US"/>
        </w:rPr>
        <w:t xml:space="preserve"> </w:t>
      </w:r>
      <w:proofErr w:type="spellStart"/>
      <w:r w:rsidRPr="00F42890">
        <w:rPr>
          <w:lang w:val="en-US"/>
        </w:rPr>
        <w:t>loquor</w:t>
      </w:r>
      <w:proofErr w:type="spellEnd"/>
      <w:r w:rsidRPr="00F42890">
        <w:rPr>
          <w:lang w:val="en-US"/>
        </w:rPr>
        <w:t xml:space="preserve">, </w:t>
      </w:r>
      <w:proofErr w:type="spellStart"/>
      <w:r w:rsidRPr="00F42890">
        <w:rPr>
          <w:lang w:val="en-US"/>
        </w:rPr>
        <w:t>non hanc</w:t>
      </w:r>
      <w:proofErr w:type="spellEnd"/>
      <w:r w:rsidRPr="00F42890">
        <w:rPr>
          <w:lang w:val="en-US"/>
        </w:rPr>
        <w:t xml:space="preserve"> </w:t>
      </w:r>
      <w:proofErr w:type="spellStart"/>
      <w:r w:rsidRPr="00F42890">
        <w:rPr>
          <w:lang w:val="en-US"/>
        </w:rPr>
        <w:t>Theatralem</w:t>
      </w:r>
      <w:proofErr w:type="spellEnd"/>
      <w:r w:rsidRPr="00F42890">
        <w:rPr>
          <w:lang w:val="en-US"/>
        </w:rPr>
        <w:t xml:space="preserve">, </w:t>
      </w:r>
      <w:proofErr w:type="spellStart"/>
      <w:r w:rsidRPr="00F42890">
        <w:rPr>
          <w:lang w:val="en-US"/>
        </w:rPr>
        <w:t>atq</w:t>
      </w:r>
      <w:proofErr w:type="spellEnd"/>
      <w:r w:rsidRPr="00F42890">
        <w:rPr>
          <w:lang w:val="en-US"/>
        </w:rPr>
        <w:t>[</w:t>
      </w:r>
      <w:proofErr w:type="spellStart"/>
      <w:r w:rsidRPr="00F42890">
        <w:rPr>
          <w:lang w:val="en-US"/>
        </w:rPr>
        <w:t>ue</w:t>
      </w:r>
      <w:proofErr w:type="spellEnd"/>
      <w:r w:rsidRPr="00F42890">
        <w:rPr>
          <w:lang w:val="en-US"/>
        </w:rPr>
        <w:t xml:space="preserve">] </w:t>
      </w:r>
      <w:proofErr w:type="spellStart"/>
      <w:r w:rsidRPr="00F42890">
        <w:rPr>
          <w:lang w:val="en-US"/>
        </w:rPr>
        <w:t>effoeminata</w:t>
      </w:r>
      <w:proofErr w:type="spellEnd"/>
      <w:r w:rsidRPr="00F42890">
        <w:rPr>
          <w:lang w:val="en-US"/>
        </w:rPr>
        <w:t xml:space="preserve">[m] </w:t>
      </w:r>
      <w:proofErr w:type="spellStart"/>
      <w:r w:rsidRPr="00F42890">
        <w:rPr>
          <w:lang w:val="en-US"/>
        </w:rPr>
        <w:t>intelligo</w:t>
      </w:r>
      <w:proofErr w:type="spellEnd"/>
      <w:r w:rsidRPr="00F42890">
        <w:rPr>
          <w:lang w:val="en-US"/>
        </w:rPr>
        <w:t xml:space="preserve">, que mores </w:t>
      </w:r>
      <w:proofErr w:type="spellStart"/>
      <w:r w:rsidRPr="00F42890">
        <w:rPr>
          <w:lang w:val="en-US"/>
        </w:rPr>
        <w:t>publicos</w:t>
      </w:r>
      <w:proofErr w:type="spellEnd"/>
      <w:r w:rsidRPr="00F42890">
        <w:rPr>
          <w:lang w:val="en-US"/>
        </w:rPr>
        <w:t xml:space="preserve"> </w:t>
      </w:r>
      <w:proofErr w:type="spellStart"/>
      <w:r w:rsidRPr="00F42890">
        <w:rPr>
          <w:lang w:val="en-US"/>
        </w:rPr>
        <w:t>corru</w:t>
      </w:r>
      <w:proofErr w:type="spellEnd"/>
      <w:r w:rsidRPr="00F42890">
        <w:rPr>
          <w:lang w:val="en-US"/>
        </w:rPr>
        <w:t xml:space="preserve">[m]pit </w:t>
      </w:r>
      <w:proofErr w:type="spellStart"/>
      <w:r w:rsidRPr="00F42890">
        <w:rPr>
          <w:lang w:val="en-US"/>
        </w:rPr>
        <w:t>potius</w:t>
      </w:r>
      <w:proofErr w:type="spellEnd"/>
      <w:r w:rsidRPr="00F42890">
        <w:rPr>
          <w:lang w:val="en-US"/>
        </w:rPr>
        <w:t>, q[</w:t>
      </w:r>
      <w:proofErr w:type="spellStart"/>
      <w:r w:rsidRPr="00F42890">
        <w:rPr>
          <w:lang w:val="en-US"/>
        </w:rPr>
        <w:t>uam</w:t>
      </w:r>
      <w:proofErr w:type="spellEnd"/>
      <w:r w:rsidRPr="00F42890">
        <w:rPr>
          <w:lang w:val="en-US"/>
        </w:rPr>
        <w:t xml:space="preserve">] </w:t>
      </w:r>
      <w:proofErr w:type="spellStart"/>
      <w:r w:rsidRPr="00F42890">
        <w:rPr>
          <w:lang w:val="en-US"/>
        </w:rPr>
        <w:t>informet</w:t>
      </w:r>
      <w:proofErr w:type="spellEnd"/>
      <w:r w:rsidRPr="00F42890">
        <w:rPr>
          <w:lang w:val="en-US"/>
        </w:rPr>
        <w:t xml:space="preserve">, sed </w:t>
      </w:r>
      <w:proofErr w:type="spellStart"/>
      <w:r w:rsidRPr="00F42890">
        <w:rPr>
          <w:lang w:val="en-US"/>
        </w:rPr>
        <w:t>illam</w:t>
      </w:r>
      <w:proofErr w:type="spellEnd"/>
      <w:r w:rsidRPr="00F42890">
        <w:rPr>
          <w:lang w:val="en-US"/>
        </w:rPr>
        <w:t xml:space="preserve"> </w:t>
      </w:r>
      <w:proofErr w:type="spellStart"/>
      <w:r w:rsidRPr="00F42890">
        <w:rPr>
          <w:lang w:val="en-US"/>
        </w:rPr>
        <w:t>modestam</w:t>
      </w:r>
      <w:proofErr w:type="spellEnd"/>
      <w:r w:rsidRPr="00F42890">
        <w:rPr>
          <w:lang w:val="en-US"/>
        </w:rPr>
        <w:t xml:space="preserve"> </w:t>
      </w:r>
      <w:proofErr w:type="spellStart"/>
      <w:r w:rsidRPr="00F42890">
        <w:rPr>
          <w:lang w:val="en-US"/>
        </w:rPr>
        <w:t>atq</w:t>
      </w:r>
      <w:proofErr w:type="spellEnd"/>
      <w:r w:rsidRPr="00F42890">
        <w:rPr>
          <w:lang w:val="en-US"/>
        </w:rPr>
        <w:t>[</w:t>
      </w:r>
      <w:proofErr w:type="spellStart"/>
      <w:r w:rsidRPr="00F42890">
        <w:rPr>
          <w:lang w:val="en-US"/>
        </w:rPr>
        <w:t>ue</w:t>
      </w:r>
      <w:proofErr w:type="spellEnd"/>
      <w:r w:rsidRPr="00F42890">
        <w:rPr>
          <w:lang w:val="en-US"/>
        </w:rPr>
        <w:t xml:space="preserve">] </w:t>
      </w:r>
      <w:proofErr w:type="spellStart"/>
      <w:r w:rsidRPr="00F42890">
        <w:rPr>
          <w:lang w:val="en-US"/>
        </w:rPr>
        <w:t>virilem</w:t>
      </w:r>
      <w:proofErr w:type="spellEnd"/>
      <w:r w:rsidRPr="00F42890">
        <w:rPr>
          <w:lang w:val="en-US"/>
        </w:rPr>
        <w:t xml:space="preserve"> </w:t>
      </w:r>
      <w:proofErr w:type="spellStart"/>
      <w:r w:rsidRPr="00F42890">
        <w:rPr>
          <w:lang w:val="en-US"/>
        </w:rPr>
        <w:t>antiq</w:t>
      </w:r>
      <w:proofErr w:type="spellEnd"/>
      <w:r w:rsidRPr="00F42890">
        <w:rPr>
          <w:lang w:val="en-US"/>
        </w:rPr>
        <w:t>[</w:t>
      </w:r>
      <w:proofErr w:type="spellStart"/>
      <w:r w:rsidRPr="00F42890">
        <w:rPr>
          <w:lang w:val="en-US"/>
        </w:rPr>
        <w:t>ui</w:t>
      </w:r>
      <w:proofErr w:type="spellEnd"/>
      <w:r w:rsidRPr="00F42890">
        <w:rPr>
          <w:lang w:val="en-US"/>
        </w:rPr>
        <w:t xml:space="preserve">]s </w:t>
      </w:r>
      <w:proofErr w:type="spellStart"/>
      <w:r w:rsidRPr="00F42890">
        <w:rPr>
          <w:lang w:val="en-US"/>
        </w:rPr>
        <w:t>heroibus</w:t>
      </w:r>
      <w:proofErr w:type="spellEnd"/>
      <w:r w:rsidRPr="00F42890">
        <w:rPr>
          <w:lang w:val="en-US"/>
        </w:rPr>
        <w:t xml:space="preserve"> </w:t>
      </w:r>
      <w:proofErr w:type="spellStart"/>
      <w:r w:rsidRPr="00F42890">
        <w:rPr>
          <w:lang w:val="en-US"/>
        </w:rPr>
        <w:t>celebratam</w:t>
      </w:r>
      <w:proofErr w:type="spellEnd"/>
      <w:r w:rsidRPr="00F42890">
        <w:rPr>
          <w:lang w:val="en-US"/>
        </w:rPr>
        <w:t xml:space="preserve">, </w:t>
      </w:r>
      <w:proofErr w:type="spellStart"/>
      <w:r w:rsidRPr="00F42890">
        <w:rPr>
          <w:lang w:val="en-US"/>
        </w:rPr>
        <w:t>qu</w:t>
      </w:r>
      <w:proofErr w:type="spellEnd"/>
      <w:r w:rsidRPr="00F42890">
        <w:rPr>
          <w:lang w:val="en-US"/>
        </w:rPr>
        <w:t xml:space="preserve">[a]e </w:t>
      </w:r>
      <w:proofErr w:type="spellStart"/>
      <w:r w:rsidRPr="00F42890">
        <w:rPr>
          <w:lang w:val="en-US"/>
        </w:rPr>
        <w:t>Mensis</w:t>
      </w:r>
      <w:proofErr w:type="spellEnd"/>
      <w:r w:rsidRPr="00F42890">
        <w:rPr>
          <w:lang w:val="en-US"/>
        </w:rPr>
        <w:t xml:space="preserve"> </w:t>
      </w:r>
      <w:proofErr w:type="spellStart"/>
      <w:r w:rsidRPr="00F42890">
        <w:rPr>
          <w:lang w:val="en-US"/>
        </w:rPr>
        <w:t>Regum</w:t>
      </w:r>
      <w:proofErr w:type="spellEnd"/>
      <w:r w:rsidRPr="00F42890">
        <w:rPr>
          <w:lang w:val="en-US"/>
        </w:rPr>
        <w:t xml:space="preserve"> </w:t>
      </w:r>
      <w:proofErr w:type="spellStart"/>
      <w:r w:rsidRPr="00F42890">
        <w:rPr>
          <w:lang w:val="en-US"/>
        </w:rPr>
        <w:t>Convivialibusq</w:t>
      </w:r>
      <w:proofErr w:type="spellEnd"/>
      <w:r w:rsidRPr="00F42890">
        <w:rPr>
          <w:lang w:val="en-US"/>
        </w:rPr>
        <w:t>[</w:t>
      </w:r>
      <w:proofErr w:type="spellStart"/>
      <w:r w:rsidRPr="00F42890">
        <w:rPr>
          <w:lang w:val="en-US"/>
        </w:rPr>
        <w:t>ue</w:t>
      </w:r>
      <w:proofErr w:type="spellEnd"/>
      <w:r w:rsidRPr="00F42890">
        <w:rPr>
          <w:lang w:val="en-US"/>
        </w:rPr>
        <w:t xml:space="preserve">] epulis </w:t>
      </w:r>
      <w:proofErr w:type="spellStart"/>
      <w:r w:rsidRPr="00F42890">
        <w:rPr>
          <w:lang w:val="en-US"/>
        </w:rPr>
        <w:t>admota</w:t>
      </w:r>
      <w:proofErr w:type="spellEnd"/>
      <w:r w:rsidRPr="00F42890">
        <w:rPr>
          <w:lang w:val="en-US"/>
        </w:rPr>
        <w:t xml:space="preserve"> … </w:t>
      </w:r>
      <w:proofErr w:type="spellStart"/>
      <w:r w:rsidRPr="00F42890">
        <w:rPr>
          <w:lang w:val="en-US"/>
        </w:rPr>
        <w:t>clarissimorum</w:t>
      </w:r>
      <w:proofErr w:type="spellEnd"/>
      <w:r w:rsidRPr="00F42890">
        <w:rPr>
          <w:lang w:val="en-US"/>
        </w:rPr>
        <w:t xml:space="preserve"> </w:t>
      </w:r>
      <w:proofErr w:type="spellStart"/>
      <w:r w:rsidRPr="00F42890">
        <w:rPr>
          <w:lang w:val="en-US"/>
        </w:rPr>
        <w:t>viroru</w:t>
      </w:r>
      <w:proofErr w:type="spellEnd"/>
      <w:r w:rsidRPr="00F42890">
        <w:rPr>
          <w:lang w:val="en-US"/>
        </w:rPr>
        <w:t xml:space="preserve">[m] </w:t>
      </w:r>
      <w:proofErr w:type="spellStart"/>
      <w:r w:rsidRPr="00F42890">
        <w:rPr>
          <w:lang w:val="en-US"/>
        </w:rPr>
        <w:t>egregia</w:t>
      </w:r>
      <w:proofErr w:type="spellEnd"/>
      <w:r w:rsidRPr="00F42890">
        <w:rPr>
          <w:lang w:val="en-US"/>
        </w:rPr>
        <w:t xml:space="preserve"> </w:t>
      </w:r>
      <w:proofErr w:type="spellStart"/>
      <w:r w:rsidRPr="00F42890">
        <w:rPr>
          <w:lang w:val="en-US"/>
        </w:rPr>
        <w:t>facinora</w:t>
      </w:r>
      <w:proofErr w:type="spellEnd"/>
      <w:r w:rsidRPr="00F42890">
        <w:rPr>
          <w:lang w:val="en-US"/>
        </w:rPr>
        <w:t xml:space="preserve"> </w:t>
      </w:r>
      <w:proofErr w:type="spellStart"/>
      <w:r w:rsidRPr="00F42890">
        <w:rPr>
          <w:lang w:val="en-US"/>
        </w:rPr>
        <w:t>decantabat</w:t>
      </w:r>
      <w:proofErr w:type="spellEnd"/>
      <w:r w:rsidRPr="00F42890">
        <w:rPr>
          <w:lang w:val="en-US"/>
        </w:rPr>
        <w:t xml:space="preserve">, quod maximum </w:t>
      </w:r>
      <w:proofErr w:type="spellStart"/>
      <w:r w:rsidRPr="00F42890">
        <w:rPr>
          <w:lang w:val="en-US"/>
        </w:rPr>
        <w:t>profecto</w:t>
      </w:r>
      <w:proofErr w:type="spellEnd"/>
      <w:r w:rsidRPr="00F42890">
        <w:rPr>
          <w:lang w:val="en-US"/>
        </w:rPr>
        <w:t xml:space="preserve"> ad virtutis </w:t>
      </w:r>
      <w:proofErr w:type="spellStart"/>
      <w:r w:rsidRPr="00F42890">
        <w:rPr>
          <w:lang w:val="en-US"/>
        </w:rPr>
        <w:t>studia</w:t>
      </w:r>
      <w:proofErr w:type="spellEnd"/>
      <w:r w:rsidRPr="00F42890">
        <w:rPr>
          <w:lang w:val="en-US"/>
        </w:rPr>
        <w:t xml:space="preserve"> </w:t>
      </w:r>
      <w:proofErr w:type="spellStart"/>
      <w:r w:rsidRPr="00F42890">
        <w:rPr>
          <w:lang w:val="en-US"/>
        </w:rPr>
        <w:t>incitamentu</w:t>
      </w:r>
      <w:proofErr w:type="spellEnd"/>
      <w:r w:rsidRPr="00F42890">
        <w:rPr>
          <w:lang w:val="en-US"/>
        </w:rPr>
        <w:t xml:space="preserve">[m] </w:t>
      </w:r>
      <w:proofErr w:type="spellStart"/>
      <w:r w:rsidRPr="00F42890">
        <w:rPr>
          <w:lang w:val="en-US"/>
        </w:rPr>
        <w:t>fuit</w:t>
      </w:r>
      <w:proofErr w:type="spellEnd"/>
      <w:r w:rsidRPr="00F42890">
        <w:rPr>
          <w:lang w:val="en-US"/>
        </w:rPr>
        <w:t xml:space="preserve">.” </w:t>
      </w:r>
      <w:proofErr w:type="spellStart"/>
      <w:r w:rsidRPr="00F42890">
        <w:rPr>
          <w:lang w:val="en-US"/>
        </w:rPr>
        <w:t>Gaffurius</w:t>
      </w:r>
      <w:proofErr w:type="spellEnd"/>
      <w:r w:rsidRPr="00F42890">
        <w:rPr>
          <w:lang w:val="en-US"/>
        </w:rPr>
        <w:t xml:space="preserve">, </w:t>
      </w:r>
      <w:proofErr w:type="spellStart"/>
      <w:r w:rsidRPr="00F42890">
        <w:rPr>
          <w:i/>
          <w:iCs/>
          <w:lang w:val="en-US"/>
        </w:rPr>
        <w:t>Practica</w:t>
      </w:r>
      <w:proofErr w:type="spellEnd"/>
      <w:r w:rsidRPr="00F42890">
        <w:rPr>
          <w:i/>
          <w:iCs/>
          <w:lang w:val="en-US"/>
        </w:rPr>
        <w:t xml:space="preserve"> </w:t>
      </w:r>
      <w:proofErr w:type="spellStart"/>
      <w:r w:rsidRPr="00F42890">
        <w:rPr>
          <w:i/>
          <w:iCs/>
          <w:lang w:val="en-US"/>
        </w:rPr>
        <w:t>musicae</w:t>
      </w:r>
      <w:proofErr w:type="spellEnd"/>
      <w:r w:rsidRPr="00F42890">
        <w:rPr>
          <w:lang w:val="en-US"/>
        </w:rPr>
        <w:t xml:space="preserve">, f. 4r; English translation from </w:t>
      </w:r>
      <w:proofErr w:type="spellStart"/>
      <w:r w:rsidRPr="00F42890">
        <w:rPr>
          <w:lang w:val="en-US"/>
        </w:rPr>
        <w:t>Gaffurius</w:t>
      </w:r>
      <w:proofErr w:type="spellEnd"/>
      <w:r w:rsidRPr="00F42890">
        <w:rPr>
          <w:lang w:val="en-US"/>
        </w:rPr>
        <w:t xml:space="preserve">, </w:t>
      </w:r>
      <w:r w:rsidRPr="00F42890">
        <w:rPr>
          <w:i/>
          <w:iCs/>
          <w:lang w:val="en-US"/>
        </w:rPr>
        <w:t xml:space="preserve">The </w:t>
      </w:r>
      <w:proofErr w:type="spellStart"/>
      <w:r w:rsidRPr="00F42890">
        <w:rPr>
          <w:i/>
          <w:iCs/>
          <w:lang w:val="en-US"/>
        </w:rPr>
        <w:t>Practica</w:t>
      </w:r>
      <w:proofErr w:type="spellEnd"/>
      <w:r w:rsidRPr="00F42890">
        <w:rPr>
          <w:i/>
          <w:iCs/>
          <w:lang w:val="en-US"/>
        </w:rPr>
        <w:t xml:space="preserve"> </w:t>
      </w:r>
      <w:proofErr w:type="spellStart"/>
      <w:r w:rsidRPr="00F42890">
        <w:rPr>
          <w:i/>
          <w:iCs/>
          <w:lang w:val="en-US"/>
        </w:rPr>
        <w:t>Musicae</w:t>
      </w:r>
      <w:proofErr w:type="spellEnd"/>
      <w:r w:rsidRPr="00F42890">
        <w:rPr>
          <w:i/>
          <w:iCs/>
          <w:lang w:val="en-US"/>
        </w:rPr>
        <w:t xml:space="preserve"> of </w:t>
      </w:r>
      <w:proofErr w:type="spellStart"/>
      <w:r w:rsidRPr="00F42890">
        <w:rPr>
          <w:i/>
          <w:iCs/>
          <w:lang w:val="en-US"/>
        </w:rPr>
        <w:t>Franchinus</w:t>
      </w:r>
      <w:proofErr w:type="spellEnd"/>
      <w:r w:rsidRPr="00F42890">
        <w:rPr>
          <w:i/>
          <w:iCs/>
          <w:lang w:val="en-US"/>
        </w:rPr>
        <w:t xml:space="preserve"> </w:t>
      </w:r>
      <w:proofErr w:type="spellStart"/>
      <w:r w:rsidRPr="00F42890">
        <w:rPr>
          <w:i/>
          <w:iCs/>
          <w:lang w:val="en-US"/>
        </w:rPr>
        <w:t>Gafurius</w:t>
      </w:r>
      <w:proofErr w:type="spellEnd"/>
      <w:r w:rsidRPr="00F42890">
        <w:rPr>
          <w:lang w:val="en-US"/>
        </w:rPr>
        <w:t>, 6.</w:t>
      </w:r>
    </w:p>
  </w:footnote>
  <w:footnote w:id="225">
    <w:p w14:paraId="0103A4ED" w14:textId="77777777" w:rsidR="00182EED" w:rsidRDefault="00182EED" w:rsidP="001840E8">
      <w:pPr>
        <w:pStyle w:val="FootnoteText"/>
      </w:pPr>
      <w:r w:rsidRPr="00391186">
        <w:rPr>
          <w:rStyle w:val="FootnoteReference"/>
        </w:rPr>
        <w:footnoteRef/>
      </w:r>
      <w:r>
        <w:t xml:space="preserve"> </w:t>
      </w:r>
      <w:r w:rsidRPr="00F42890">
        <w:rPr>
          <w:lang w:val="en-US"/>
        </w:rPr>
        <w:t xml:space="preserve">“Non </w:t>
      </w:r>
      <w:proofErr w:type="spellStart"/>
      <w:r w:rsidRPr="00F42890">
        <w:rPr>
          <w:lang w:val="en-US"/>
        </w:rPr>
        <w:t>quidem</w:t>
      </w:r>
      <w:proofErr w:type="spellEnd"/>
      <w:r w:rsidRPr="00F42890">
        <w:rPr>
          <w:lang w:val="en-US"/>
        </w:rPr>
        <w:t xml:space="preserve"> </w:t>
      </w:r>
      <w:proofErr w:type="spellStart"/>
      <w:r w:rsidRPr="00F42890">
        <w:rPr>
          <w:lang w:val="en-US"/>
        </w:rPr>
        <w:t>amatorias</w:t>
      </w:r>
      <w:proofErr w:type="spellEnd"/>
      <w:r w:rsidRPr="00F42890">
        <w:rPr>
          <w:lang w:val="en-US"/>
        </w:rPr>
        <w:t xml:space="preserve"> </w:t>
      </w:r>
      <w:proofErr w:type="spellStart"/>
      <w:r w:rsidRPr="00F42890">
        <w:rPr>
          <w:lang w:val="en-US"/>
        </w:rPr>
        <w:t>cantiones</w:t>
      </w:r>
      <w:proofErr w:type="spellEnd"/>
      <w:r w:rsidRPr="00F42890">
        <w:rPr>
          <w:lang w:val="en-US"/>
        </w:rPr>
        <w:t xml:space="preserve">, sed </w:t>
      </w:r>
      <w:proofErr w:type="spellStart"/>
      <w:r w:rsidRPr="00F42890">
        <w:rPr>
          <w:lang w:val="en-US"/>
        </w:rPr>
        <w:t>virorum</w:t>
      </w:r>
      <w:proofErr w:type="spellEnd"/>
      <w:r w:rsidRPr="00F42890">
        <w:rPr>
          <w:lang w:val="en-US"/>
        </w:rPr>
        <w:t xml:space="preserve"> </w:t>
      </w:r>
      <w:proofErr w:type="spellStart"/>
      <w:r w:rsidRPr="00F42890">
        <w:rPr>
          <w:lang w:val="en-US"/>
        </w:rPr>
        <w:t>fortium</w:t>
      </w:r>
      <w:proofErr w:type="spellEnd"/>
      <w:r w:rsidRPr="00F42890">
        <w:rPr>
          <w:lang w:val="en-US"/>
        </w:rPr>
        <w:t xml:space="preserve"> </w:t>
      </w:r>
      <w:proofErr w:type="spellStart"/>
      <w:r w:rsidRPr="00F42890">
        <w:rPr>
          <w:lang w:val="en-US"/>
        </w:rPr>
        <w:t>laudes</w:t>
      </w:r>
      <w:proofErr w:type="spellEnd"/>
      <w:r w:rsidRPr="00F42890">
        <w:rPr>
          <w:lang w:val="en-US"/>
        </w:rPr>
        <w:t xml:space="preserve"> </w:t>
      </w:r>
      <w:proofErr w:type="spellStart"/>
      <w:r w:rsidRPr="00F42890">
        <w:rPr>
          <w:lang w:val="en-US"/>
        </w:rPr>
        <w:t>modulantem</w:t>
      </w:r>
      <w:proofErr w:type="spellEnd"/>
      <w:r w:rsidRPr="00F42890">
        <w:rPr>
          <w:lang w:val="en-US"/>
        </w:rPr>
        <w:t xml:space="preserve">.” </w:t>
      </w:r>
      <w:proofErr w:type="spellStart"/>
      <w:r w:rsidRPr="00F42890">
        <w:rPr>
          <w:lang w:val="en-US"/>
        </w:rPr>
        <w:t>Vergerio</w:t>
      </w:r>
      <w:proofErr w:type="spellEnd"/>
      <w:r w:rsidRPr="00F42890">
        <w:rPr>
          <w:lang w:val="en-US"/>
        </w:rPr>
        <w:t>, “The Character and Studies Befitting a Free-Born Youth,” 84–87.</w:t>
      </w:r>
    </w:p>
  </w:footnote>
  <w:footnote w:id="226">
    <w:p w14:paraId="03DACB94" w14:textId="77777777" w:rsidR="00182EED" w:rsidRDefault="00182EED" w:rsidP="001840E8">
      <w:pPr>
        <w:pStyle w:val="FootnoteText"/>
      </w:pPr>
      <w:r w:rsidRPr="00391186">
        <w:rPr>
          <w:rStyle w:val="FootnoteReference"/>
        </w:rPr>
        <w:footnoteRef/>
      </w:r>
      <w:r>
        <w:t xml:space="preserve"> </w:t>
      </w:r>
      <w:r w:rsidRPr="00F42890">
        <w:rPr>
          <w:lang w:val="en-US"/>
        </w:rPr>
        <w:t>“</w:t>
      </w:r>
      <w:proofErr w:type="spellStart"/>
      <w:r w:rsidRPr="00F42890">
        <w:rPr>
          <w:lang w:val="en-US"/>
        </w:rPr>
        <w:t>Plurimum</w:t>
      </w:r>
      <w:proofErr w:type="spellEnd"/>
      <w:r w:rsidRPr="00F42890">
        <w:rPr>
          <w:lang w:val="en-US"/>
        </w:rPr>
        <w:t xml:space="preserve"> </w:t>
      </w:r>
      <w:proofErr w:type="spellStart"/>
      <w:r w:rsidRPr="00F42890">
        <w:rPr>
          <w:lang w:val="en-US"/>
        </w:rPr>
        <w:t>namque</w:t>
      </w:r>
      <w:proofErr w:type="spellEnd"/>
      <w:r w:rsidRPr="00F42890">
        <w:rPr>
          <w:lang w:val="en-US"/>
        </w:rPr>
        <w:t xml:space="preserve"> spiritus </w:t>
      </w:r>
      <w:proofErr w:type="spellStart"/>
      <w:r w:rsidRPr="00F42890">
        <w:rPr>
          <w:lang w:val="en-US"/>
        </w:rPr>
        <w:t>reficit</w:t>
      </w:r>
      <w:proofErr w:type="spellEnd"/>
      <w:r w:rsidRPr="00F42890">
        <w:rPr>
          <w:lang w:val="en-US"/>
        </w:rPr>
        <w:t xml:space="preserve"> et ad </w:t>
      </w:r>
      <w:proofErr w:type="spellStart"/>
      <w:r w:rsidRPr="00F42890">
        <w:rPr>
          <w:lang w:val="en-US"/>
        </w:rPr>
        <w:t>tolerantiam</w:t>
      </w:r>
      <w:proofErr w:type="spellEnd"/>
      <w:r w:rsidRPr="00F42890">
        <w:rPr>
          <w:lang w:val="en-US"/>
        </w:rPr>
        <w:t xml:space="preserve"> </w:t>
      </w:r>
      <w:proofErr w:type="spellStart"/>
      <w:r w:rsidRPr="00F42890">
        <w:rPr>
          <w:lang w:val="en-US"/>
        </w:rPr>
        <w:t>laboris</w:t>
      </w:r>
      <w:proofErr w:type="spellEnd"/>
      <w:r w:rsidRPr="00F42890">
        <w:rPr>
          <w:lang w:val="en-US"/>
        </w:rPr>
        <w:t xml:space="preserve"> </w:t>
      </w:r>
      <w:proofErr w:type="spellStart"/>
      <w:r w:rsidRPr="00F42890">
        <w:rPr>
          <w:lang w:val="en-US"/>
        </w:rPr>
        <w:t>exhilarat</w:t>
      </w:r>
      <w:proofErr w:type="spellEnd"/>
      <w:r w:rsidRPr="00F42890">
        <w:rPr>
          <w:lang w:val="en-US"/>
        </w:rPr>
        <w:t xml:space="preserve"> </w:t>
      </w:r>
      <w:proofErr w:type="spellStart"/>
      <w:r w:rsidRPr="00F42890">
        <w:rPr>
          <w:lang w:val="en-US"/>
        </w:rPr>
        <w:t>mentes</w:t>
      </w:r>
      <w:proofErr w:type="spellEnd"/>
      <w:r w:rsidRPr="00F42890">
        <w:rPr>
          <w:lang w:val="en-US"/>
        </w:rPr>
        <w:t xml:space="preserve"> non </w:t>
      </w:r>
      <w:proofErr w:type="spellStart"/>
      <w:r w:rsidRPr="00F42890">
        <w:rPr>
          <w:lang w:val="en-US"/>
        </w:rPr>
        <w:t>immodicus</w:t>
      </w:r>
      <w:proofErr w:type="spellEnd"/>
      <w:r w:rsidRPr="00F42890">
        <w:rPr>
          <w:lang w:val="en-US"/>
        </w:rPr>
        <w:t xml:space="preserve"> </w:t>
      </w:r>
      <w:proofErr w:type="spellStart"/>
      <w:r w:rsidRPr="00F42890">
        <w:rPr>
          <w:lang w:val="en-US"/>
        </w:rPr>
        <w:t>neque</w:t>
      </w:r>
      <w:proofErr w:type="spellEnd"/>
      <w:r w:rsidRPr="00F42890">
        <w:rPr>
          <w:lang w:val="en-US"/>
        </w:rPr>
        <w:t xml:space="preserve"> </w:t>
      </w:r>
      <w:proofErr w:type="spellStart"/>
      <w:r w:rsidRPr="00F42890">
        <w:rPr>
          <w:lang w:val="en-US"/>
        </w:rPr>
        <w:t>lascivius</w:t>
      </w:r>
      <w:proofErr w:type="spellEnd"/>
      <w:r w:rsidRPr="00F42890">
        <w:rPr>
          <w:lang w:val="en-US"/>
        </w:rPr>
        <w:t xml:space="preserve"> </w:t>
      </w:r>
      <w:proofErr w:type="spellStart"/>
      <w:r w:rsidRPr="00F42890">
        <w:rPr>
          <w:lang w:val="en-US"/>
        </w:rPr>
        <w:t>musicorum</w:t>
      </w:r>
      <w:proofErr w:type="spellEnd"/>
      <w:r w:rsidRPr="00F42890">
        <w:rPr>
          <w:lang w:val="en-US"/>
        </w:rPr>
        <w:t xml:space="preserve"> </w:t>
      </w:r>
      <w:proofErr w:type="spellStart"/>
      <w:r w:rsidRPr="00F42890">
        <w:rPr>
          <w:lang w:val="en-US"/>
        </w:rPr>
        <w:t>concentus</w:t>
      </w:r>
      <w:proofErr w:type="spellEnd"/>
      <w:r w:rsidRPr="00F42890">
        <w:rPr>
          <w:lang w:val="en-US"/>
        </w:rPr>
        <w:t xml:space="preserve">.” </w:t>
      </w:r>
      <w:proofErr w:type="spellStart"/>
      <w:r w:rsidRPr="00F42890">
        <w:rPr>
          <w:lang w:val="en-US"/>
        </w:rPr>
        <w:t>Piccolomini</w:t>
      </w:r>
      <w:proofErr w:type="spellEnd"/>
      <w:r w:rsidRPr="00F42890">
        <w:rPr>
          <w:lang w:val="en-US"/>
        </w:rPr>
        <w:t xml:space="preserve">, “De </w:t>
      </w:r>
      <w:proofErr w:type="spellStart"/>
      <w:r w:rsidRPr="00F42890">
        <w:rPr>
          <w:lang w:val="en-US"/>
        </w:rPr>
        <w:t>Liberorum</w:t>
      </w:r>
      <w:proofErr w:type="spellEnd"/>
      <w:r w:rsidRPr="00F42890">
        <w:rPr>
          <w:lang w:val="en-US"/>
        </w:rPr>
        <w:t xml:space="preserve"> </w:t>
      </w:r>
      <w:proofErr w:type="spellStart"/>
      <w:r w:rsidRPr="00F42890">
        <w:rPr>
          <w:lang w:val="en-US"/>
        </w:rPr>
        <w:t>Educatione</w:t>
      </w:r>
      <w:proofErr w:type="spellEnd"/>
      <w:r w:rsidRPr="00F42890">
        <w:rPr>
          <w:lang w:val="en-US"/>
        </w:rPr>
        <w:t>,” 248–49.</w:t>
      </w:r>
    </w:p>
  </w:footnote>
  <w:footnote w:id="227">
    <w:p w14:paraId="7BC09812" w14:textId="77777777" w:rsidR="00182EED" w:rsidRDefault="00182EED" w:rsidP="001840E8">
      <w:pPr>
        <w:pStyle w:val="FootnoteText"/>
      </w:pPr>
      <w:r w:rsidRPr="00391186">
        <w:rPr>
          <w:rStyle w:val="FootnoteReference"/>
        </w:rPr>
        <w:footnoteRef/>
      </w:r>
      <w:r>
        <w:t xml:space="preserve"> </w:t>
      </w:r>
      <w:r w:rsidRPr="0068668C">
        <w:rPr>
          <w:lang w:val="en-US"/>
        </w:rPr>
        <w:t xml:space="preserve">Woodward, </w:t>
      </w:r>
      <w:r w:rsidRPr="0068668C">
        <w:rPr>
          <w:i/>
          <w:iCs/>
          <w:lang w:val="en-US"/>
        </w:rPr>
        <w:t>Studies in Education</w:t>
      </w:r>
      <w:r w:rsidRPr="0068668C">
        <w:rPr>
          <w:lang w:val="en-US"/>
        </w:rPr>
        <w:t>, 20.</w:t>
      </w:r>
    </w:p>
  </w:footnote>
  <w:footnote w:id="228">
    <w:p w14:paraId="2696F5CA" w14:textId="77777777" w:rsidR="00182EED" w:rsidRDefault="00182EED" w:rsidP="001840E8">
      <w:pPr>
        <w:pStyle w:val="FootnoteText"/>
      </w:pPr>
      <w:r w:rsidRPr="00391186">
        <w:rPr>
          <w:rStyle w:val="FootnoteReference"/>
        </w:rPr>
        <w:footnoteRef/>
      </w:r>
      <w:r>
        <w:t xml:space="preserve"> </w:t>
      </w:r>
      <w:r w:rsidRPr="00B15A10">
        <w:rPr>
          <w:lang w:val="en-US"/>
        </w:rPr>
        <w:t xml:space="preserve">“Nam propter </w:t>
      </w:r>
      <w:proofErr w:type="spellStart"/>
      <w:r w:rsidRPr="00B15A10">
        <w:rPr>
          <w:lang w:val="en-US"/>
        </w:rPr>
        <w:t>impudica</w:t>
      </w:r>
      <w:proofErr w:type="spellEnd"/>
      <w:r w:rsidRPr="00B15A10">
        <w:rPr>
          <w:lang w:val="en-US"/>
        </w:rPr>
        <w:t xml:space="preserve"> </w:t>
      </w:r>
      <w:proofErr w:type="spellStart"/>
      <w:r w:rsidRPr="00B15A10">
        <w:rPr>
          <w:lang w:val="en-US"/>
        </w:rPr>
        <w:t>enervataque</w:t>
      </w:r>
      <w:proofErr w:type="spellEnd"/>
      <w:r w:rsidRPr="00B15A10">
        <w:rPr>
          <w:lang w:val="en-US"/>
        </w:rPr>
        <w:t xml:space="preserve"> </w:t>
      </w:r>
      <w:proofErr w:type="spellStart"/>
      <w:r w:rsidRPr="00B15A10">
        <w:rPr>
          <w:lang w:val="en-US"/>
        </w:rPr>
        <w:t>carmina</w:t>
      </w:r>
      <w:proofErr w:type="spellEnd"/>
      <w:r w:rsidRPr="00B15A10">
        <w:rPr>
          <w:lang w:val="en-US"/>
        </w:rPr>
        <w:t xml:space="preserve"> </w:t>
      </w:r>
      <w:proofErr w:type="spellStart"/>
      <w:r w:rsidRPr="00B15A10">
        <w:rPr>
          <w:lang w:val="en-US"/>
        </w:rPr>
        <w:t>multos</w:t>
      </w:r>
      <w:proofErr w:type="spellEnd"/>
      <w:r w:rsidRPr="00B15A10">
        <w:rPr>
          <w:lang w:val="en-US"/>
        </w:rPr>
        <w:t xml:space="preserve"> </w:t>
      </w:r>
      <w:proofErr w:type="spellStart"/>
      <w:r w:rsidRPr="00B15A10">
        <w:rPr>
          <w:lang w:val="en-US"/>
        </w:rPr>
        <w:t>saepe</w:t>
      </w:r>
      <w:proofErr w:type="spellEnd"/>
      <w:r w:rsidRPr="00B15A10">
        <w:rPr>
          <w:lang w:val="en-US"/>
        </w:rPr>
        <w:t xml:space="preserve"> </w:t>
      </w:r>
      <w:proofErr w:type="spellStart"/>
      <w:r w:rsidRPr="00B15A10">
        <w:rPr>
          <w:lang w:val="en-US"/>
        </w:rPr>
        <w:t>adulescentes</w:t>
      </w:r>
      <w:proofErr w:type="spellEnd"/>
      <w:r w:rsidRPr="00B15A10">
        <w:rPr>
          <w:lang w:val="en-US"/>
        </w:rPr>
        <w:t xml:space="preserve"> </w:t>
      </w:r>
      <w:proofErr w:type="spellStart"/>
      <w:r w:rsidRPr="00B15A10">
        <w:rPr>
          <w:lang w:val="en-US"/>
        </w:rPr>
        <w:t>perditos</w:t>
      </w:r>
      <w:proofErr w:type="spellEnd"/>
      <w:r w:rsidRPr="00B15A10">
        <w:rPr>
          <w:lang w:val="en-US"/>
        </w:rPr>
        <w:t xml:space="preserve"> </w:t>
      </w:r>
      <w:proofErr w:type="spellStart"/>
      <w:r w:rsidRPr="00B15A10">
        <w:rPr>
          <w:lang w:val="en-US"/>
        </w:rPr>
        <w:t>corruptosque</w:t>
      </w:r>
      <w:proofErr w:type="spellEnd"/>
      <w:r w:rsidRPr="00B15A10">
        <w:rPr>
          <w:lang w:val="en-US"/>
        </w:rPr>
        <w:t xml:space="preserve"> ac </w:t>
      </w:r>
      <w:proofErr w:type="spellStart"/>
      <w:r w:rsidRPr="00B15A10">
        <w:rPr>
          <w:lang w:val="en-US"/>
        </w:rPr>
        <w:t>virilis</w:t>
      </w:r>
      <w:proofErr w:type="spellEnd"/>
      <w:r w:rsidRPr="00B15A10">
        <w:rPr>
          <w:lang w:val="en-US"/>
        </w:rPr>
        <w:t xml:space="preserve"> nihil </w:t>
      </w:r>
      <w:proofErr w:type="spellStart"/>
      <w:r w:rsidRPr="00B15A10">
        <w:rPr>
          <w:lang w:val="en-US"/>
        </w:rPr>
        <w:t>unquam</w:t>
      </w:r>
      <w:proofErr w:type="spellEnd"/>
      <w:r w:rsidRPr="00B15A10">
        <w:rPr>
          <w:lang w:val="en-US"/>
        </w:rPr>
        <w:t xml:space="preserve"> </w:t>
      </w:r>
      <w:proofErr w:type="spellStart"/>
      <w:r w:rsidRPr="00B15A10">
        <w:rPr>
          <w:lang w:val="en-US"/>
        </w:rPr>
        <w:t>roboris</w:t>
      </w:r>
      <w:proofErr w:type="spellEnd"/>
      <w:r w:rsidRPr="00B15A10">
        <w:rPr>
          <w:lang w:val="en-US"/>
        </w:rPr>
        <w:t xml:space="preserve"> </w:t>
      </w:r>
      <w:proofErr w:type="spellStart"/>
      <w:r w:rsidRPr="00B15A10">
        <w:rPr>
          <w:lang w:val="en-US"/>
        </w:rPr>
        <w:t>adeptos</w:t>
      </w:r>
      <w:proofErr w:type="spellEnd"/>
      <w:r w:rsidRPr="00B15A10">
        <w:rPr>
          <w:lang w:val="en-US"/>
        </w:rPr>
        <w:t xml:space="preserve"> </w:t>
      </w:r>
      <w:proofErr w:type="spellStart"/>
      <w:r w:rsidRPr="00B15A10">
        <w:rPr>
          <w:lang w:val="en-US"/>
        </w:rPr>
        <w:t>fuisse</w:t>
      </w:r>
      <w:proofErr w:type="spellEnd"/>
      <w:r w:rsidRPr="00B15A10">
        <w:rPr>
          <w:lang w:val="en-US"/>
        </w:rPr>
        <w:t xml:space="preserve"> </w:t>
      </w:r>
      <w:proofErr w:type="spellStart"/>
      <w:r w:rsidRPr="00B15A10">
        <w:rPr>
          <w:lang w:val="en-US"/>
        </w:rPr>
        <w:t>compertum</w:t>
      </w:r>
      <w:proofErr w:type="spellEnd"/>
      <w:r w:rsidRPr="00B15A10">
        <w:rPr>
          <w:lang w:val="en-US"/>
        </w:rPr>
        <w:t xml:space="preserve"> est.” </w:t>
      </w:r>
      <w:proofErr w:type="spellStart"/>
      <w:r w:rsidRPr="00B15A10">
        <w:rPr>
          <w:lang w:val="en-US"/>
        </w:rPr>
        <w:t>Maffeo</w:t>
      </w:r>
      <w:proofErr w:type="spellEnd"/>
      <w:r w:rsidRPr="00B15A10">
        <w:rPr>
          <w:lang w:val="en-US"/>
        </w:rPr>
        <w:t xml:space="preserve"> </w:t>
      </w:r>
      <w:proofErr w:type="spellStart"/>
      <w:r w:rsidRPr="00B15A10">
        <w:rPr>
          <w:lang w:val="en-US"/>
        </w:rPr>
        <w:t>Vegio</w:t>
      </w:r>
      <w:proofErr w:type="spellEnd"/>
      <w:r w:rsidRPr="00B15A10">
        <w:rPr>
          <w:lang w:val="en-US"/>
        </w:rPr>
        <w:t xml:space="preserve"> (</w:t>
      </w:r>
      <w:proofErr w:type="spellStart"/>
      <w:r w:rsidRPr="00B15A10">
        <w:rPr>
          <w:lang w:val="en-US"/>
        </w:rPr>
        <w:t>Maphei</w:t>
      </w:r>
      <w:proofErr w:type="spellEnd"/>
      <w:r w:rsidRPr="00B15A10">
        <w:rPr>
          <w:lang w:val="en-US"/>
        </w:rPr>
        <w:t xml:space="preserve"> </w:t>
      </w:r>
      <w:proofErr w:type="spellStart"/>
      <w:r w:rsidRPr="00B15A10">
        <w:rPr>
          <w:lang w:val="en-US"/>
        </w:rPr>
        <w:t>Vegii</w:t>
      </w:r>
      <w:proofErr w:type="spellEnd"/>
      <w:r w:rsidRPr="00B15A10">
        <w:rPr>
          <w:lang w:val="en-US"/>
        </w:rPr>
        <w:t xml:space="preserve"> </w:t>
      </w:r>
      <w:proofErr w:type="spellStart"/>
      <w:r w:rsidRPr="00B15A10">
        <w:rPr>
          <w:lang w:val="en-US"/>
        </w:rPr>
        <w:t>Laudensis</w:t>
      </w:r>
      <w:proofErr w:type="spellEnd"/>
      <w:r w:rsidRPr="00B15A10">
        <w:rPr>
          <w:lang w:val="en-US"/>
        </w:rPr>
        <w:t xml:space="preserve">), </w:t>
      </w:r>
      <w:r w:rsidRPr="00B15A10">
        <w:rPr>
          <w:i/>
          <w:iCs/>
          <w:lang w:val="en-US"/>
        </w:rPr>
        <w:t xml:space="preserve">De </w:t>
      </w:r>
      <w:proofErr w:type="spellStart"/>
      <w:r w:rsidRPr="00B15A10">
        <w:rPr>
          <w:i/>
          <w:iCs/>
          <w:lang w:val="en-US"/>
        </w:rPr>
        <w:t>Educatione</w:t>
      </w:r>
      <w:proofErr w:type="spellEnd"/>
      <w:r w:rsidRPr="00B15A10">
        <w:rPr>
          <w:i/>
          <w:iCs/>
          <w:lang w:val="en-US"/>
        </w:rPr>
        <w:t xml:space="preserve"> </w:t>
      </w:r>
      <w:proofErr w:type="spellStart"/>
      <w:r w:rsidRPr="00B15A10">
        <w:rPr>
          <w:i/>
          <w:iCs/>
          <w:lang w:val="en-US"/>
        </w:rPr>
        <w:t>Liberorum</w:t>
      </w:r>
      <w:proofErr w:type="spellEnd"/>
      <w:r w:rsidRPr="00B15A10">
        <w:rPr>
          <w:i/>
          <w:iCs/>
          <w:lang w:val="en-US"/>
        </w:rPr>
        <w:t xml:space="preserve"> et </w:t>
      </w:r>
      <w:proofErr w:type="spellStart"/>
      <w:r w:rsidRPr="00B15A10">
        <w:rPr>
          <w:i/>
          <w:iCs/>
          <w:lang w:val="en-US"/>
        </w:rPr>
        <w:t>Eorum</w:t>
      </w:r>
      <w:proofErr w:type="spellEnd"/>
      <w:r w:rsidRPr="00B15A10">
        <w:rPr>
          <w:i/>
          <w:iCs/>
          <w:lang w:val="en-US"/>
        </w:rPr>
        <w:t xml:space="preserve"> Claris </w:t>
      </w:r>
      <w:proofErr w:type="spellStart"/>
      <w:r w:rsidRPr="00B15A10">
        <w:rPr>
          <w:i/>
          <w:iCs/>
          <w:lang w:val="en-US"/>
        </w:rPr>
        <w:t>Moribus</w:t>
      </w:r>
      <w:proofErr w:type="spellEnd"/>
      <w:r w:rsidRPr="00B15A10">
        <w:rPr>
          <w:i/>
          <w:iCs/>
          <w:lang w:val="en-US"/>
        </w:rPr>
        <w:t xml:space="preserve"> Libri Sex: A Critical Text of Books I-III</w:t>
      </w:r>
      <w:r w:rsidRPr="00B15A10">
        <w:rPr>
          <w:lang w:val="en-US"/>
        </w:rPr>
        <w:t xml:space="preserve">, 105; English translation from Woodward, </w:t>
      </w:r>
      <w:proofErr w:type="spellStart"/>
      <w:r w:rsidRPr="00B15A10">
        <w:rPr>
          <w:i/>
          <w:iCs/>
          <w:lang w:val="en-US"/>
        </w:rPr>
        <w:t>Vittorino</w:t>
      </w:r>
      <w:proofErr w:type="spellEnd"/>
      <w:r w:rsidRPr="00B15A10">
        <w:rPr>
          <w:i/>
          <w:iCs/>
          <w:lang w:val="en-US"/>
        </w:rPr>
        <w:t xml:space="preserve"> da Feltre</w:t>
      </w:r>
      <w:r w:rsidRPr="00B15A10">
        <w:rPr>
          <w:lang w:val="en-US"/>
        </w:rPr>
        <w:t>, 239–40.</w:t>
      </w:r>
    </w:p>
  </w:footnote>
  <w:footnote w:id="229">
    <w:p w14:paraId="08601BBB" w14:textId="77777777" w:rsidR="00182EED" w:rsidRDefault="00182EED" w:rsidP="001840E8">
      <w:pPr>
        <w:pStyle w:val="FootnoteText"/>
      </w:pPr>
      <w:r w:rsidRPr="00391186">
        <w:rPr>
          <w:rStyle w:val="FootnoteReference"/>
        </w:rPr>
        <w:footnoteRef/>
      </w:r>
      <w:r>
        <w:t xml:space="preserve"> </w:t>
      </w:r>
      <w:r w:rsidRPr="00C84E5C">
        <w:rPr>
          <w:lang w:val="en-US"/>
        </w:rPr>
        <w:t>“</w:t>
      </w:r>
      <w:r w:rsidRPr="004104B6">
        <w:rPr>
          <w:lang w:val="it-IT"/>
        </w:rPr>
        <w:t xml:space="preserve">Gli orecchi stendi a udire i divini comandamenti, i celestiali consigli, la lode divina, la dottrina santa, la miseria dell’afflitto, le melodie degli uccelli facendo dolci versi al suo signore … Non le tenere aperte </w:t>
      </w:r>
      <w:proofErr w:type="spellStart"/>
      <w:r w:rsidRPr="004104B6">
        <w:rPr>
          <w:lang w:val="it-IT"/>
        </w:rPr>
        <w:t>nè</w:t>
      </w:r>
      <w:proofErr w:type="spellEnd"/>
      <w:r w:rsidRPr="004104B6">
        <w:rPr>
          <w:lang w:val="it-IT"/>
        </w:rPr>
        <w:t xml:space="preserve"> a favole </w:t>
      </w:r>
      <w:proofErr w:type="spellStart"/>
      <w:r w:rsidRPr="004104B6">
        <w:rPr>
          <w:lang w:val="it-IT"/>
        </w:rPr>
        <w:t>nè</w:t>
      </w:r>
      <w:proofErr w:type="spellEnd"/>
      <w:r w:rsidRPr="004104B6">
        <w:rPr>
          <w:lang w:val="it-IT"/>
        </w:rPr>
        <w:t xml:space="preserve"> a canzoni… la lingua serpentina dei maldicenti … eretici … indemoniati … predicatori che cerchino la gloria propria, o commentatori de’ pagani</w:t>
      </w:r>
      <w:r w:rsidRPr="00C84E5C">
        <w:rPr>
          <w:lang w:val="en-US"/>
        </w:rPr>
        <w:t xml:space="preserve">.” </w:t>
      </w:r>
      <w:proofErr w:type="spellStart"/>
      <w:r w:rsidRPr="00C84E5C">
        <w:rPr>
          <w:lang w:val="en-US"/>
        </w:rPr>
        <w:t>Dominici</w:t>
      </w:r>
      <w:proofErr w:type="spellEnd"/>
      <w:r w:rsidRPr="00C84E5C">
        <w:rPr>
          <w:lang w:val="en-US"/>
        </w:rPr>
        <w:t xml:space="preserve">, </w:t>
      </w:r>
      <w:proofErr w:type="spellStart"/>
      <w:r w:rsidRPr="00C84E5C">
        <w:rPr>
          <w:i/>
          <w:iCs/>
          <w:lang w:val="en-US"/>
        </w:rPr>
        <w:t>Regola</w:t>
      </w:r>
      <w:proofErr w:type="spellEnd"/>
      <w:r w:rsidRPr="00C84E5C">
        <w:rPr>
          <w:i/>
          <w:iCs/>
          <w:lang w:val="en-US"/>
        </w:rPr>
        <w:t xml:space="preserve"> Del </w:t>
      </w:r>
      <w:proofErr w:type="spellStart"/>
      <w:r w:rsidRPr="00C84E5C">
        <w:rPr>
          <w:i/>
          <w:iCs/>
          <w:lang w:val="en-US"/>
        </w:rPr>
        <w:t>Governo</w:t>
      </w:r>
      <w:proofErr w:type="spellEnd"/>
      <w:r w:rsidRPr="00C84E5C">
        <w:rPr>
          <w:i/>
          <w:iCs/>
          <w:lang w:val="en-US"/>
        </w:rPr>
        <w:t xml:space="preserve"> Di </w:t>
      </w:r>
      <w:proofErr w:type="spellStart"/>
      <w:r w:rsidRPr="00C84E5C">
        <w:rPr>
          <w:i/>
          <w:iCs/>
          <w:lang w:val="en-US"/>
        </w:rPr>
        <w:t>Cura</w:t>
      </w:r>
      <w:proofErr w:type="spellEnd"/>
      <w:r w:rsidRPr="00C84E5C">
        <w:rPr>
          <w:i/>
          <w:iCs/>
          <w:lang w:val="en-US"/>
        </w:rPr>
        <w:t xml:space="preserve"> </w:t>
      </w:r>
      <w:proofErr w:type="spellStart"/>
      <w:r w:rsidRPr="00C84E5C">
        <w:rPr>
          <w:i/>
          <w:iCs/>
          <w:lang w:val="en-US"/>
        </w:rPr>
        <w:t>Familiare</w:t>
      </w:r>
      <w:proofErr w:type="spellEnd"/>
      <w:r w:rsidRPr="00C84E5C">
        <w:rPr>
          <w:lang w:val="en-US"/>
        </w:rPr>
        <w:t>, 47–48.</w:t>
      </w:r>
    </w:p>
  </w:footnote>
  <w:footnote w:id="230">
    <w:p w14:paraId="6A148423" w14:textId="77777777" w:rsidR="00182EED" w:rsidRDefault="00182EED" w:rsidP="001840E8">
      <w:pPr>
        <w:pStyle w:val="FootnoteText"/>
      </w:pPr>
      <w:r w:rsidRPr="00391186">
        <w:rPr>
          <w:rStyle w:val="FootnoteReference"/>
        </w:rPr>
        <w:footnoteRef/>
      </w:r>
      <w:r>
        <w:t xml:space="preserve"> </w:t>
      </w:r>
      <w:r w:rsidRPr="00C84E5C">
        <w:rPr>
          <w:lang w:val="en-US"/>
        </w:rPr>
        <w:t>“</w:t>
      </w:r>
      <w:r w:rsidRPr="004104B6">
        <w:rPr>
          <w:lang w:val="it-IT"/>
        </w:rPr>
        <w:t>Concorda la mente con la voce quanto puoi</w:t>
      </w:r>
      <w:r w:rsidRPr="00C84E5C">
        <w:rPr>
          <w:lang w:val="en-US"/>
        </w:rPr>
        <w:t>.” Ibid., 54.</w:t>
      </w:r>
    </w:p>
  </w:footnote>
  <w:footnote w:id="231">
    <w:p w14:paraId="301E1D30" w14:textId="77777777" w:rsidR="00182EED" w:rsidRDefault="00182EED" w:rsidP="001840E8">
      <w:pPr>
        <w:pStyle w:val="FootnoteText"/>
      </w:pPr>
      <w:r w:rsidRPr="00391186">
        <w:rPr>
          <w:rStyle w:val="FootnoteReference"/>
        </w:rPr>
        <w:footnoteRef/>
      </w:r>
      <w:r>
        <w:t xml:space="preserve"> </w:t>
      </w:r>
      <w:r w:rsidRPr="00C84E5C">
        <w:rPr>
          <w:lang w:val="en-US"/>
        </w:rPr>
        <w:t xml:space="preserve">Black, </w:t>
      </w:r>
      <w:r w:rsidRPr="00C84E5C">
        <w:rPr>
          <w:i/>
          <w:iCs/>
          <w:lang w:val="en-US"/>
        </w:rPr>
        <w:t>Education and Society</w:t>
      </w:r>
      <w:r w:rsidRPr="00C84E5C">
        <w:rPr>
          <w:lang w:val="en-US"/>
        </w:rPr>
        <w:t>, xv, xviii, 206, 210, 222, 327, 440.</w:t>
      </w:r>
    </w:p>
  </w:footnote>
  <w:footnote w:id="232">
    <w:p w14:paraId="0E52988D" w14:textId="77777777" w:rsidR="00182EED" w:rsidRDefault="00182EED" w:rsidP="001840E8">
      <w:pPr>
        <w:pStyle w:val="FootnoteText"/>
      </w:pPr>
      <w:r w:rsidRPr="00391186">
        <w:rPr>
          <w:rStyle w:val="FootnoteReference"/>
        </w:rPr>
        <w:footnoteRef/>
      </w:r>
      <w:r>
        <w:t xml:space="preserve"> </w:t>
      </w:r>
      <w:r w:rsidRPr="00C84E5C">
        <w:rPr>
          <w:lang w:val="en-US"/>
        </w:rPr>
        <w:t xml:space="preserve">Robert Black, “École et Société à Florence Aux </w:t>
      </w:r>
      <w:proofErr w:type="spellStart"/>
      <w:r w:rsidRPr="00C84E5C">
        <w:rPr>
          <w:lang w:val="en-US"/>
        </w:rPr>
        <w:t>XIVe</w:t>
      </w:r>
      <w:proofErr w:type="spellEnd"/>
      <w:r w:rsidRPr="00C84E5C">
        <w:rPr>
          <w:lang w:val="en-US"/>
        </w:rPr>
        <w:t xml:space="preserve"> et </w:t>
      </w:r>
      <w:proofErr w:type="spellStart"/>
      <w:r w:rsidRPr="00C84E5C">
        <w:rPr>
          <w:lang w:val="en-US"/>
        </w:rPr>
        <w:t>XVe</w:t>
      </w:r>
      <w:proofErr w:type="spellEnd"/>
      <w:r w:rsidRPr="00C84E5C">
        <w:rPr>
          <w:lang w:val="en-US"/>
        </w:rPr>
        <w:t xml:space="preserve"> Siècles: Le </w:t>
      </w:r>
      <w:proofErr w:type="spellStart"/>
      <w:r w:rsidRPr="00C84E5C">
        <w:rPr>
          <w:lang w:val="en-US"/>
        </w:rPr>
        <w:t>Témoignage</w:t>
      </w:r>
      <w:proofErr w:type="spellEnd"/>
      <w:r w:rsidRPr="00C84E5C">
        <w:rPr>
          <w:lang w:val="en-US"/>
        </w:rPr>
        <w:t xml:space="preserve"> </w:t>
      </w:r>
      <w:r w:rsidRPr="00C84E5C">
        <w:rPr>
          <w:lang w:val="en-US"/>
        </w:rPr>
        <w:t xml:space="preserve">Des </w:t>
      </w:r>
      <w:proofErr w:type="spellStart"/>
      <w:r w:rsidRPr="00C84E5C">
        <w:rPr>
          <w:lang w:val="en-US"/>
        </w:rPr>
        <w:t>Ricordanze</w:t>
      </w:r>
      <w:proofErr w:type="spellEnd"/>
      <w:r w:rsidRPr="00C84E5C">
        <w:rPr>
          <w:lang w:val="en-US"/>
        </w:rPr>
        <w:t xml:space="preserve">,” trans. </w:t>
      </w:r>
      <w:proofErr w:type="spellStart"/>
      <w:r w:rsidRPr="00C84E5C">
        <w:rPr>
          <w:lang w:val="en-US"/>
        </w:rPr>
        <w:t>Aurélien</w:t>
      </w:r>
      <w:proofErr w:type="spellEnd"/>
      <w:r w:rsidRPr="00C84E5C">
        <w:rPr>
          <w:lang w:val="en-US"/>
        </w:rPr>
        <w:t xml:space="preserve"> Berra, </w:t>
      </w:r>
      <w:r w:rsidRPr="00C84E5C">
        <w:rPr>
          <w:i/>
          <w:iCs/>
          <w:lang w:val="en-US"/>
        </w:rPr>
        <w:t xml:space="preserve">Annales. </w:t>
      </w:r>
      <w:proofErr w:type="spellStart"/>
      <w:r w:rsidRPr="00C84E5C">
        <w:rPr>
          <w:i/>
          <w:iCs/>
          <w:lang w:val="en-US"/>
        </w:rPr>
        <w:t>Histoire</w:t>
      </w:r>
      <w:proofErr w:type="spellEnd"/>
      <w:r w:rsidRPr="00C84E5C">
        <w:rPr>
          <w:i/>
          <w:iCs/>
          <w:lang w:val="en-US"/>
        </w:rPr>
        <w:t xml:space="preserve">, Sciences </w:t>
      </w:r>
      <w:proofErr w:type="spellStart"/>
      <w:r w:rsidRPr="00C84E5C">
        <w:rPr>
          <w:i/>
          <w:iCs/>
          <w:lang w:val="en-US"/>
        </w:rPr>
        <w:t>Sociales</w:t>
      </w:r>
      <w:proofErr w:type="spellEnd"/>
      <w:r w:rsidRPr="00C84E5C">
        <w:rPr>
          <w:lang w:val="en-US"/>
        </w:rPr>
        <w:t>, no. 59.4 (August 2004): 845–46, n.99.</w:t>
      </w:r>
    </w:p>
  </w:footnote>
  <w:footnote w:id="233">
    <w:p w14:paraId="11B31219" w14:textId="77777777" w:rsidR="00182EED" w:rsidRDefault="00182EED" w:rsidP="001840E8">
      <w:pPr>
        <w:pStyle w:val="FootnoteText"/>
      </w:pPr>
      <w:r w:rsidRPr="00391186">
        <w:rPr>
          <w:rStyle w:val="FootnoteReference"/>
        </w:rPr>
        <w:footnoteRef/>
      </w:r>
      <w:r>
        <w:t xml:space="preserve"> </w:t>
      </w:r>
      <w:r w:rsidRPr="0068668C">
        <w:rPr>
          <w:lang w:val="en-US"/>
        </w:rPr>
        <w:t>Gianluca D’Agostino, “</w:t>
      </w:r>
      <w:proofErr w:type="spellStart"/>
      <w:r w:rsidRPr="0068668C">
        <w:rPr>
          <w:lang w:val="en-US"/>
        </w:rPr>
        <w:t>Gli</w:t>
      </w:r>
      <w:proofErr w:type="spellEnd"/>
      <w:r w:rsidRPr="0068668C">
        <w:rPr>
          <w:lang w:val="en-US"/>
        </w:rPr>
        <w:t xml:space="preserve"> Alberti e la </w:t>
      </w:r>
      <w:proofErr w:type="spellStart"/>
      <w:r w:rsidRPr="0068668C">
        <w:rPr>
          <w:lang w:val="en-US"/>
        </w:rPr>
        <w:t>Musica</w:t>
      </w:r>
      <w:proofErr w:type="spellEnd"/>
      <w:r w:rsidRPr="0068668C">
        <w:rPr>
          <w:lang w:val="en-US"/>
        </w:rPr>
        <w:t xml:space="preserve"> </w:t>
      </w:r>
      <w:proofErr w:type="spellStart"/>
      <w:r w:rsidRPr="0068668C">
        <w:rPr>
          <w:lang w:val="en-US"/>
        </w:rPr>
        <w:t>tra</w:t>
      </w:r>
      <w:proofErr w:type="spellEnd"/>
      <w:r w:rsidRPr="0068668C">
        <w:rPr>
          <w:lang w:val="en-US"/>
        </w:rPr>
        <w:t xml:space="preserve"> Tre e Quattrocento,” ed. Paola Benigni et al., </w:t>
      </w:r>
      <w:proofErr w:type="spellStart"/>
      <w:r w:rsidRPr="0068668C">
        <w:rPr>
          <w:i/>
          <w:iCs/>
          <w:lang w:val="en-US"/>
        </w:rPr>
        <w:t>L’Ars</w:t>
      </w:r>
      <w:proofErr w:type="spellEnd"/>
      <w:r w:rsidRPr="0068668C">
        <w:rPr>
          <w:i/>
          <w:iCs/>
          <w:lang w:val="en-US"/>
        </w:rPr>
        <w:t xml:space="preserve"> Nova </w:t>
      </w:r>
      <w:proofErr w:type="spellStart"/>
      <w:r w:rsidRPr="0068668C">
        <w:rPr>
          <w:i/>
          <w:iCs/>
          <w:lang w:val="en-US"/>
        </w:rPr>
        <w:t>Italiana</w:t>
      </w:r>
      <w:proofErr w:type="spellEnd"/>
      <w:r w:rsidRPr="0068668C">
        <w:rPr>
          <w:i/>
          <w:iCs/>
          <w:lang w:val="en-US"/>
        </w:rPr>
        <w:t xml:space="preserve"> del Trecento, vol. ix, </w:t>
      </w:r>
      <w:proofErr w:type="spellStart"/>
      <w:r w:rsidRPr="0068668C">
        <w:rPr>
          <w:i/>
          <w:iCs/>
          <w:lang w:val="en-US"/>
        </w:rPr>
        <w:t>Atti</w:t>
      </w:r>
      <w:proofErr w:type="spellEnd"/>
      <w:r w:rsidRPr="0068668C">
        <w:rPr>
          <w:i/>
          <w:iCs/>
          <w:lang w:val="en-US"/>
        </w:rPr>
        <w:t xml:space="preserve"> del </w:t>
      </w:r>
      <w:proofErr w:type="spellStart"/>
      <w:r w:rsidRPr="0068668C">
        <w:rPr>
          <w:i/>
          <w:iCs/>
          <w:lang w:val="en-US"/>
        </w:rPr>
        <w:t>Convegno</w:t>
      </w:r>
      <w:proofErr w:type="spellEnd"/>
      <w:r w:rsidRPr="0068668C">
        <w:rPr>
          <w:i/>
          <w:iCs/>
          <w:lang w:val="en-US"/>
        </w:rPr>
        <w:t xml:space="preserve"> </w:t>
      </w:r>
      <w:proofErr w:type="spellStart"/>
      <w:r w:rsidRPr="0068668C">
        <w:rPr>
          <w:i/>
          <w:iCs/>
          <w:lang w:val="en-US"/>
        </w:rPr>
        <w:t>internazionale</w:t>
      </w:r>
      <w:proofErr w:type="spellEnd"/>
      <w:r w:rsidRPr="0068668C">
        <w:rPr>
          <w:i/>
          <w:iCs/>
          <w:lang w:val="en-US"/>
        </w:rPr>
        <w:t xml:space="preserve"> “</w:t>
      </w:r>
      <w:proofErr w:type="spellStart"/>
      <w:r w:rsidRPr="0068668C">
        <w:rPr>
          <w:i/>
          <w:iCs/>
          <w:lang w:val="en-US"/>
        </w:rPr>
        <w:t>Letteratura</w:t>
      </w:r>
      <w:proofErr w:type="spellEnd"/>
      <w:r w:rsidRPr="0068668C">
        <w:rPr>
          <w:i/>
          <w:iCs/>
          <w:lang w:val="en-US"/>
        </w:rPr>
        <w:t xml:space="preserve"> e </w:t>
      </w:r>
      <w:proofErr w:type="spellStart"/>
      <w:r w:rsidRPr="0068668C">
        <w:rPr>
          <w:i/>
          <w:iCs/>
          <w:lang w:val="en-US"/>
        </w:rPr>
        <w:t>Musica</w:t>
      </w:r>
      <w:proofErr w:type="spellEnd"/>
      <w:r w:rsidRPr="0068668C">
        <w:rPr>
          <w:i/>
          <w:iCs/>
          <w:lang w:val="en-US"/>
        </w:rPr>
        <w:t xml:space="preserve"> del Duecento e del Trecento” (</w:t>
      </w:r>
      <w:proofErr w:type="spellStart"/>
      <w:r w:rsidRPr="0068668C">
        <w:rPr>
          <w:i/>
          <w:iCs/>
          <w:lang w:val="en-US"/>
        </w:rPr>
        <w:t>Certaldo</w:t>
      </w:r>
      <w:proofErr w:type="spellEnd"/>
      <w:r w:rsidRPr="0068668C">
        <w:rPr>
          <w:i/>
          <w:iCs/>
          <w:lang w:val="en-US"/>
        </w:rPr>
        <w:t xml:space="preserve">, 17-19 </w:t>
      </w:r>
      <w:proofErr w:type="spellStart"/>
      <w:r w:rsidRPr="0068668C">
        <w:rPr>
          <w:i/>
          <w:iCs/>
          <w:lang w:val="en-US"/>
        </w:rPr>
        <w:t>dicembre</w:t>
      </w:r>
      <w:proofErr w:type="spellEnd"/>
      <w:r w:rsidRPr="0068668C">
        <w:rPr>
          <w:i/>
          <w:iCs/>
          <w:lang w:val="en-US"/>
        </w:rPr>
        <w:t xml:space="preserve"> 2015)</w:t>
      </w:r>
      <w:r w:rsidRPr="0068668C">
        <w:rPr>
          <w:lang w:val="en-US"/>
        </w:rPr>
        <w:t xml:space="preserve">, 2017, 165; Woodward, </w:t>
      </w:r>
      <w:r w:rsidRPr="0068668C">
        <w:rPr>
          <w:i/>
          <w:iCs/>
          <w:lang w:val="en-US"/>
        </w:rPr>
        <w:t>Studies in Education</w:t>
      </w:r>
      <w:r w:rsidRPr="0068668C">
        <w:rPr>
          <w:lang w:val="en-US"/>
        </w:rPr>
        <w:t>, 50.</w:t>
      </w:r>
    </w:p>
  </w:footnote>
  <w:footnote w:id="234">
    <w:p w14:paraId="1DC9F764" w14:textId="77777777" w:rsidR="00182EED" w:rsidRDefault="00182EED" w:rsidP="001840E8">
      <w:pPr>
        <w:pStyle w:val="FootnoteText"/>
      </w:pPr>
      <w:r w:rsidRPr="00391186">
        <w:rPr>
          <w:rStyle w:val="FootnoteReference"/>
        </w:rPr>
        <w:footnoteRef/>
      </w:r>
      <w:r>
        <w:t xml:space="preserve"> </w:t>
      </w:r>
      <w:r w:rsidRPr="0068668C">
        <w:rPr>
          <w:lang w:val="en-US"/>
        </w:rPr>
        <w:t>Frank A</w:t>
      </w:r>
      <w:r>
        <w:rPr>
          <w:lang w:val="en-US"/>
        </w:rPr>
        <w:t>.</w:t>
      </w:r>
      <w:r w:rsidRPr="0068668C">
        <w:rPr>
          <w:lang w:val="en-US"/>
        </w:rPr>
        <w:t xml:space="preserve"> </w:t>
      </w:r>
      <w:proofErr w:type="spellStart"/>
      <w:r w:rsidRPr="0068668C">
        <w:rPr>
          <w:lang w:val="en-US"/>
        </w:rPr>
        <w:t>D’Accone</w:t>
      </w:r>
      <w:proofErr w:type="spellEnd"/>
      <w:r w:rsidRPr="0068668C">
        <w:rPr>
          <w:lang w:val="en-US"/>
        </w:rPr>
        <w:t xml:space="preserve">, “Lorenzo </w:t>
      </w:r>
      <w:proofErr w:type="spellStart"/>
      <w:r w:rsidRPr="0068668C">
        <w:rPr>
          <w:lang w:val="en-US"/>
        </w:rPr>
        <w:t>il</w:t>
      </w:r>
      <w:proofErr w:type="spellEnd"/>
      <w:r w:rsidRPr="0068668C">
        <w:rPr>
          <w:lang w:val="en-US"/>
        </w:rPr>
        <w:t xml:space="preserve"> Magnifico e la </w:t>
      </w:r>
      <w:proofErr w:type="spellStart"/>
      <w:r w:rsidRPr="0068668C">
        <w:rPr>
          <w:lang w:val="en-US"/>
        </w:rPr>
        <w:t>musica</w:t>
      </w:r>
      <w:proofErr w:type="spellEnd"/>
      <w:r w:rsidRPr="0068668C">
        <w:rPr>
          <w:lang w:val="en-US"/>
        </w:rPr>
        <w:t xml:space="preserve">,” ed. Piero Gargiulo, </w:t>
      </w:r>
      <w:proofErr w:type="spellStart"/>
      <w:r w:rsidRPr="0068668C">
        <w:rPr>
          <w:i/>
          <w:iCs/>
          <w:lang w:val="en-US"/>
        </w:rPr>
        <w:t>Musica</w:t>
      </w:r>
      <w:proofErr w:type="spellEnd"/>
      <w:r w:rsidRPr="0068668C">
        <w:rPr>
          <w:i/>
          <w:iCs/>
          <w:lang w:val="en-US"/>
        </w:rPr>
        <w:t xml:space="preserve"> a Firenze al tempo di Lorenzo </w:t>
      </w:r>
      <w:proofErr w:type="spellStart"/>
      <w:r w:rsidRPr="0068668C">
        <w:rPr>
          <w:i/>
          <w:iCs/>
          <w:lang w:val="en-US"/>
        </w:rPr>
        <w:t>il</w:t>
      </w:r>
      <w:proofErr w:type="spellEnd"/>
      <w:r w:rsidRPr="0068668C">
        <w:rPr>
          <w:i/>
          <w:iCs/>
          <w:lang w:val="en-US"/>
        </w:rPr>
        <w:t xml:space="preserve"> Magnifico: </w:t>
      </w:r>
      <w:proofErr w:type="spellStart"/>
      <w:r w:rsidRPr="0068668C">
        <w:rPr>
          <w:i/>
          <w:iCs/>
          <w:lang w:val="en-US"/>
        </w:rPr>
        <w:t>Congresso</w:t>
      </w:r>
      <w:proofErr w:type="spellEnd"/>
      <w:r w:rsidRPr="0068668C">
        <w:rPr>
          <w:i/>
          <w:iCs/>
          <w:lang w:val="en-US"/>
        </w:rPr>
        <w:t xml:space="preserve"> </w:t>
      </w:r>
      <w:proofErr w:type="spellStart"/>
      <w:r w:rsidRPr="0068668C">
        <w:rPr>
          <w:i/>
          <w:iCs/>
          <w:lang w:val="en-US"/>
        </w:rPr>
        <w:t>internazionale</w:t>
      </w:r>
      <w:proofErr w:type="spellEnd"/>
      <w:r w:rsidRPr="0068668C">
        <w:rPr>
          <w:i/>
          <w:iCs/>
          <w:lang w:val="en-US"/>
        </w:rPr>
        <w:t xml:space="preserve"> di </w:t>
      </w:r>
      <w:proofErr w:type="spellStart"/>
      <w:r w:rsidRPr="0068668C">
        <w:rPr>
          <w:i/>
          <w:iCs/>
          <w:lang w:val="en-US"/>
        </w:rPr>
        <w:t>studi</w:t>
      </w:r>
      <w:proofErr w:type="spellEnd"/>
      <w:r w:rsidRPr="0068668C">
        <w:rPr>
          <w:i/>
          <w:iCs/>
          <w:lang w:val="en-US"/>
        </w:rPr>
        <w:t xml:space="preserve">, Firenze, 15-17 </w:t>
      </w:r>
      <w:proofErr w:type="spellStart"/>
      <w:r w:rsidRPr="0068668C">
        <w:rPr>
          <w:i/>
          <w:iCs/>
          <w:lang w:val="en-US"/>
        </w:rPr>
        <w:t>giugno</w:t>
      </w:r>
      <w:proofErr w:type="spellEnd"/>
      <w:r w:rsidRPr="0068668C">
        <w:rPr>
          <w:i/>
          <w:iCs/>
          <w:lang w:val="en-US"/>
        </w:rPr>
        <w:t xml:space="preserve"> 1992</w:t>
      </w:r>
      <w:r w:rsidRPr="0068668C">
        <w:rPr>
          <w:lang w:val="en-US"/>
        </w:rPr>
        <w:t>, 1993, 235</w:t>
      </w:r>
      <w:r>
        <w:rPr>
          <w:lang w:val="en-US"/>
        </w:rPr>
        <w:t>.</w:t>
      </w:r>
      <w:r w:rsidRPr="0068668C">
        <w:rPr>
          <w:lang w:val="en-US"/>
        </w:rPr>
        <w:t xml:space="preserve"> Further examples can be found in Judith Bryce, “Performing for Strangers: Women, Dance, and Music in Quattrocento Florence,” </w:t>
      </w:r>
      <w:r w:rsidRPr="0068668C">
        <w:rPr>
          <w:i/>
          <w:iCs/>
          <w:lang w:val="en-US"/>
        </w:rPr>
        <w:t>Renaissance Quarterly</w:t>
      </w:r>
      <w:r w:rsidRPr="0068668C">
        <w:rPr>
          <w:lang w:val="en-US"/>
        </w:rPr>
        <w:t xml:space="preserve"> 54, no. 4 (2001): 1074–1107.</w:t>
      </w:r>
    </w:p>
  </w:footnote>
  <w:footnote w:id="235">
    <w:p w14:paraId="6824748B" w14:textId="77777777" w:rsidR="00182EED" w:rsidRDefault="00182EED" w:rsidP="001840E8">
      <w:pPr>
        <w:pStyle w:val="FootnoteText"/>
      </w:pPr>
      <w:r w:rsidRPr="00391186">
        <w:rPr>
          <w:rStyle w:val="FootnoteReference"/>
        </w:rPr>
        <w:footnoteRef/>
      </w:r>
      <w:r>
        <w:t xml:space="preserve"> </w:t>
      </w:r>
      <w:r w:rsidRPr="0068668C">
        <w:rPr>
          <w:lang w:val="en-US"/>
        </w:rPr>
        <w:t xml:space="preserve">Maria Pia Paoli, “Di </w:t>
      </w:r>
      <w:proofErr w:type="spellStart"/>
      <w:r w:rsidRPr="0068668C">
        <w:rPr>
          <w:lang w:val="en-US"/>
        </w:rPr>
        <w:t>madre</w:t>
      </w:r>
      <w:proofErr w:type="spellEnd"/>
      <w:r w:rsidRPr="0068668C">
        <w:rPr>
          <w:lang w:val="en-US"/>
        </w:rPr>
        <w:t xml:space="preserve"> in </w:t>
      </w:r>
      <w:proofErr w:type="spellStart"/>
      <w:r w:rsidRPr="0068668C">
        <w:rPr>
          <w:lang w:val="en-US"/>
        </w:rPr>
        <w:t>figlio</w:t>
      </w:r>
      <w:proofErr w:type="spellEnd"/>
      <w:r w:rsidRPr="0068668C">
        <w:rPr>
          <w:lang w:val="en-US"/>
        </w:rPr>
        <w:t xml:space="preserve">: per una </w:t>
      </w:r>
      <w:proofErr w:type="spellStart"/>
      <w:r w:rsidRPr="0068668C">
        <w:rPr>
          <w:lang w:val="en-US"/>
        </w:rPr>
        <w:t>storia</w:t>
      </w:r>
      <w:proofErr w:type="spellEnd"/>
      <w:r w:rsidRPr="0068668C">
        <w:rPr>
          <w:lang w:val="en-US"/>
        </w:rPr>
        <w:t xml:space="preserve"> </w:t>
      </w:r>
      <w:proofErr w:type="spellStart"/>
      <w:r w:rsidRPr="0068668C">
        <w:rPr>
          <w:lang w:val="en-US"/>
        </w:rPr>
        <w:t>dell’educazione</w:t>
      </w:r>
      <w:proofErr w:type="spellEnd"/>
      <w:r w:rsidRPr="0068668C">
        <w:rPr>
          <w:lang w:val="en-US"/>
        </w:rPr>
        <w:t xml:space="preserve"> </w:t>
      </w:r>
      <w:proofErr w:type="spellStart"/>
      <w:r w:rsidRPr="0068668C">
        <w:rPr>
          <w:lang w:val="en-US"/>
        </w:rPr>
        <w:t>alla</w:t>
      </w:r>
      <w:proofErr w:type="spellEnd"/>
      <w:r w:rsidRPr="0068668C">
        <w:rPr>
          <w:lang w:val="en-US"/>
        </w:rPr>
        <w:t xml:space="preserve"> </w:t>
      </w:r>
      <w:proofErr w:type="spellStart"/>
      <w:r w:rsidRPr="0068668C">
        <w:rPr>
          <w:lang w:val="en-US"/>
        </w:rPr>
        <w:t>corte</w:t>
      </w:r>
      <w:proofErr w:type="spellEnd"/>
      <w:r w:rsidRPr="0068668C">
        <w:rPr>
          <w:lang w:val="en-US"/>
        </w:rPr>
        <w:t xml:space="preserve"> </w:t>
      </w:r>
      <w:proofErr w:type="spellStart"/>
      <w:r w:rsidRPr="0068668C">
        <w:rPr>
          <w:lang w:val="en-US"/>
        </w:rPr>
        <w:t>dei</w:t>
      </w:r>
      <w:proofErr w:type="spellEnd"/>
      <w:r w:rsidRPr="0068668C">
        <w:rPr>
          <w:lang w:val="en-US"/>
        </w:rPr>
        <w:t xml:space="preserve"> Medici,” </w:t>
      </w:r>
      <w:proofErr w:type="spellStart"/>
      <w:r w:rsidRPr="0068668C">
        <w:rPr>
          <w:i/>
          <w:iCs/>
          <w:lang w:val="en-US"/>
        </w:rPr>
        <w:t>Annali</w:t>
      </w:r>
      <w:proofErr w:type="spellEnd"/>
      <w:r w:rsidRPr="0068668C">
        <w:rPr>
          <w:i/>
          <w:iCs/>
          <w:lang w:val="en-US"/>
        </w:rPr>
        <w:t xml:space="preserve"> di Storia di Firenze</w:t>
      </w:r>
      <w:r w:rsidRPr="0068668C">
        <w:rPr>
          <w:lang w:val="en-US"/>
        </w:rPr>
        <w:t xml:space="preserve"> 3 (October 2001): 67; see also Flora Dennis, “Music,” in </w:t>
      </w:r>
      <w:r w:rsidRPr="0068668C">
        <w:rPr>
          <w:i/>
          <w:iCs/>
          <w:lang w:val="en-US"/>
        </w:rPr>
        <w:t>At Home in Renaissance Italy</w:t>
      </w:r>
      <w:r w:rsidRPr="0068668C">
        <w:rPr>
          <w:lang w:val="en-US"/>
        </w:rPr>
        <w:t xml:space="preserve">, ed. Marta </w:t>
      </w:r>
      <w:proofErr w:type="spellStart"/>
      <w:r w:rsidRPr="0068668C">
        <w:rPr>
          <w:lang w:val="en-US"/>
        </w:rPr>
        <w:t>Ajmar-Wollheim</w:t>
      </w:r>
      <w:proofErr w:type="spellEnd"/>
      <w:r w:rsidRPr="0068668C">
        <w:rPr>
          <w:lang w:val="en-US"/>
        </w:rPr>
        <w:t xml:space="preserve"> and Flora Dennis (London: V&amp;A Publications, 2006), 235.</w:t>
      </w:r>
    </w:p>
  </w:footnote>
  <w:footnote w:id="236">
    <w:p w14:paraId="5997E1B2" w14:textId="77777777" w:rsidR="00182EED" w:rsidRDefault="00182EED" w:rsidP="001840E8">
      <w:pPr>
        <w:pStyle w:val="FootnoteText"/>
      </w:pPr>
      <w:r w:rsidRPr="00391186">
        <w:rPr>
          <w:rStyle w:val="FootnoteReference"/>
        </w:rPr>
        <w:footnoteRef/>
      </w:r>
      <w:r>
        <w:t xml:space="preserve"> </w:t>
      </w:r>
      <w:r w:rsidRPr="0068668C">
        <w:rPr>
          <w:lang w:val="en-US"/>
        </w:rPr>
        <w:t xml:space="preserve">Black, “École et Société à Florence,” 839; See also </w:t>
      </w:r>
      <w:proofErr w:type="spellStart"/>
      <w:r w:rsidRPr="0068668C">
        <w:rPr>
          <w:lang w:val="en-US"/>
        </w:rPr>
        <w:t>Klapisch</w:t>
      </w:r>
      <w:proofErr w:type="spellEnd"/>
      <w:r w:rsidRPr="0068668C">
        <w:rPr>
          <w:lang w:val="en-US"/>
        </w:rPr>
        <w:t xml:space="preserve">-Zuber, “Le </w:t>
      </w:r>
      <w:proofErr w:type="spellStart"/>
      <w:r w:rsidRPr="0068668C">
        <w:rPr>
          <w:lang w:val="en-US"/>
        </w:rPr>
        <w:t>Chiavi</w:t>
      </w:r>
      <w:proofErr w:type="spellEnd"/>
      <w:r w:rsidRPr="0068668C">
        <w:rPr>
          <w:lang w:val="en-US"/>
        </w:rPr>
        <w:t xml:space="preserve"> </w:t>
      </w:r>
      <w:proofErr w:type="spellStart"/>
      <w:r w:rsidRPr="0068668C">
        <w:rPr>
          <w:lang w:val="en-US"/>
        </w:rPr>
        <w:t>Fiorentine</w:t>
      </w:r>
      <w:proofErr w:type="spellEnd"/>
      <w:r w:rsidRPr="0068668C">
        <w:rPr>
          <w:lang w:val="en-US"/>
        </w:rPr>
        <w:t xml:space="preserve"> di </w:t>
      </w:r>
      <w:proofErr w:type="spellStart"/>
      <w:r w:rsidRPr="0068668C">
        <w:rPr>
          <w:lang w:val="en-US"/>
        </w:rPr>
        <w:t>Barbablù</w:t>
      </w:r>
      <w:proofErr w:type="spellEnd"/>
      <w:r w:rsidRPr="0068668C">
        <w:rPr>
          <w:lang w:val="en-US"/>
        </w:rPr>
        <w:t xml:space="preserve">,” 789, n. 68, in which the name of </w:t>
      </w:r>
      <w:proofErr w:type="spellStart"/>
      <w:r w:rsidRPr="0068668C">
        <w:rPr>
          <w:lang w:val="en-US"/>
        </w:rPr>
        <w:t>Spini’s</w:t>
      </w:r>
      <w:proofErr w:type="spellEnd"/>
      <w:r w:rsidRPr="0068668C">
        <w:rPr>
          <w:lang w:val="en-US"/>
        </w:rPr>
        <w:t xml:space="preserve"> daughter is reported as Simona.</w:t>
      </w:r>
    </w:p>
  </w:footnote>
  <w:footnote w:id="237">
    <w:p w14:paraId="32BA4467" w14:textId="77777777" w:rsidR="00182EED" w:rsidRDefault="00182EED" w:rsidP="001840E8">
      <w:pPr>
        <w:pStyle w:val="FootnoteText"/>
      </w:pPr>
      <w:r w:rsidRPr="00391186">
        <w:rPr>
          <w:rStyle w:val="FootnoteReference"/>
        </w:rPr>
        <w:footnoteRef/>
      </w:r>
      <w:r>
        <w:t xml:space="preserve"> </w:t>
      </w:r>
      <w:r w:rsidRPr="00133716">
        <w:rPr>
          <w:lang w:val="en-US"/>
        </w:rPr>
        <w:t xml:space="preserve">Freedman, </w:t>
      </w:r>
      <w:r w:rsidRPr="00133716">
        <w:rPr>
          <w:i/>
          <w:iCs/>
          <w:lang w:val="en-US"/>
        </w:rPr>
        <w:t>Music in the Renaissance</w:t>
      </w:r>
      <w:r w:rsidRPr="00133716">
        <w:rPr>
          <w:lang w:val="en-US"/>
        </w:rPr>
        <w:t>, 125–26; Flora Dennis, “Unlocking the Gates of Chastity: Music and the Erotic in the Domestic Sphere in Fifteenth and Sixteenth-Century Italy,” ed. Sara F. Matthews-</w:t>
      </w:r>
      <w:proofErr w:type="spellStart"/>
      <w:r w:rsidRPr="00133716">
        <w:rPr>
          <w:lang w:val="en-US"/>
        </w:rPr>
        <w:t>Grieco</w:t>
      </w:r>
      <w:proofErr w:type="spellEnd"/>
      <w:r w:rsidRPr="00133716">
        <w:rPr>
          <w:lang w:val="en-US"/>
        </w:rPr>
        <w:t xml:space="preserve">, </w:t>
      </w:r>
      <w:r w:rsidRPr="00133716">
        <w:rPr>
          <w:i/>
          <w:iCs/>
          <w:lang w:val="en-US"/>
        </w:rPr>
        <w:t>Erotic Cultures of Renaissance Italy</w:t>
      </w:r>
      <w:r w:rsidRPr="00133716">
        <w:rPr>
          <w:lang w:val="en-US"/>
        </w:rPr>
        <w:t>, 2010, 223–45.</w:t>
      </w:r>
    </w:p>
  </w:footnote>
  <w:footnote w:id="238">
    <w:p w14:paraId="2EDEFBFC" w14:textId="77777777" w:rsidR="00182EED" w:rsidRDefault="00182EED" w:rsidP="001840E8">
      <w:pPr>
        <w:pStyle w:val="FootnoteText"/>
      </w:pPr>
      <w:r w:rsidRPr="00391186">
        <w:rPr>
          <w:rStyle w:val="FootnoteReference"/>
        </w:rPr>
        <w:footnoteRef/>
      </w:r>
      <w:r>
        <w:t xml:space="preserve"> </w:t>
      </w:r>
      <w:r w:rsidRPr="00B15A10">
        <w:rPr>
          <w:lang w:val="en-US"/>
        </w:rPr>
        <w:t xml:space="preserve">“Per </w:t>
      </w:r>
      <w:proofErr w:type="spellStart"/>
      <w:r w:rsidRPr="00B15A10">
        <w:rPr>
          <w:lang w:val="en-US"/>
        </w:rPr>
        <w:t>saper</w:t>
      </w:r>
      <w:proofErr w:type="spellEnd"/>
      <w:r w:rsidRPr="00B15A10">
        <w:rPr>
          <w:lang w:val="en-US"/>
        </w:rPr>
        <w:t xml:space="preserve"> </w:t>
      </w:r>
      <w:proofErr w:type="spellStart"/>
      <w:r w:rsidRPr="00B15A10">
        <w:rPr>
          <w:lang w:val="en-US"/>
        </w:rPr>
        <w:t>cantare</w:t>
      </w:r>
      <w:proofErr w:type="spellEnd"/>
      <w:r w:rsidRPr="00B15A10">
        <w:rPr>
          <w:lang w:val="en-US"/>
        </w:rPr>
        <w:t xml:space="preserve"> et sonar come </w:t>
      </w:r>
      <w:proofErr w:type="spellStart"/>
      <w:r w:rsidRPr="00B15A10">
        <w:rPr>
          <w:lang w:val="en-US"/>
        </w:rPr>
        <w:t>meretrice</w:t>
      </w:r>
      <w:proofErr w:type="spellEnd"/>
      <w:r w:rsidRPr="00B15A10">
        <w:rPr>
          <w:lang w:val="en-US"/>
        </w:rPr>
        <w:t xml:space="preserve">.” Giovanni di </w:t>
      </w:r>
      <w:proofErr w:type="spellStart"/>
      <w:r w:rsidRPr="00B15A10">
        <w:rPr>
          <w:lang w:val="en-US"/>
        </w:rPr>
        <w:t>Dio</w:t>
      </w:r>
      <w:proofErr w:type="spellEnd"/>
      <w:r w:rsidRPr="00B15A10">
        <w:rPr>
          <w:lang w:val="en-US"/>
        </w:rPr>
        <w:t xml:space="preserve"> da Venezia, </w:t>
      </w:r>
      <w:r w:rsidRPr="00B15A10">
        <w:rPr>
          <w:i/>
          <w:iCs/>
          <w:lang w:val="en-US"/>
        </w:rPr>
        <w:t xml:space="preserve">Decor </w:t>
      </w:r>
      <w:proofErr w:type="spellStart"/>
      <w:r w:rsidRPr="00B15A10">
        <w:rPr>
          <w:i/>
          <w:iCs/>
          <w:lang w:val="en-US"/>
        </w:rPr>
        <w:t>Puellarum</w:t>
      </w:r>
      <w:proofErr w:type="spellEnd"/>
      <w:r w:rsidRPr="00B15A10">
        <w:rPr>
          <w:lang w:val="en-US"/>
        </w:rPr>
        <w:t xml:space="preserve"> (Venice, 1471), f. 57r-57v, http://www.internetculturale.it/jmms/iccuviewer/iccu.jsp? id=oai%3A193.206.197.121%3A18%3AVE0049%3AVEAE127961&amp;mode=all&amp;teca=marciana. The author records that a married woman could be taught “honest dancing” by her husband and not by anyone else: “Ma dome[n]</w:t>
      </w:r>
      <w:proofErr w:type="spellStart"/>
      <w:r w:rsidRPr="00B15A10">
        <w:rPr>
          <w:lang w:val="en-US"/>
        </w:rPr>
        <w:t>tre</w:t>
      </w:r>
      <w:proofErr w:type="spellEnd"/>
      <w:r w:rsidRPr="00B15A10">
        <w:rPr>
          <w:lang w:val="en-US"/>
        </w:rPr>
        <w:t xml:space="preserve"> </w:t>
      </w:r>
      <w:proofErr w:type="spellStart"/>
      <w:r w:rsidRPr="00B15A10">
        <w:rPr>
          <w:lang w:val="en-US"/>
        </w:rPr>
        <w:t>che</w:t>
      </w:r>
      <w:proofErr w:type="spellEnd"/>
      <w:r w:rsidRPr="00B15A10">
        <w:rPr>
          <w:lang w:val="en-US"/>
        </w:rPr>
        <w:t xml:space="preserve"> </w:t>
      </w:r>
      <w:proofErr w:type="spellStart"/>
      <w:r w:rsidRPr="00B15A10">
        <w:rPr>
          <w:lang w:val="en-US"/>
        </w:rPr>
        <w:t>sonno</w:t>
      </w:r>
      <w:proofErr w:type="spellEnd"/>
      <w:r w:rsidRPr="00B15A10">
        <w:rPr>
          <w:lang w:val="en-US"/>
        </w:rPr>
        <w:t xml:space="preserve"> </w:t>
      </w:r>
      <w:proofErr w:type="spellStart"/>
      <w:r w:rsidRPr="00B15A10">
        <w:rPr>
          <w:lang w:val="en-US"/>
        </w:rPr>
        <w:t>spose</w:t>
      </w:r>
      <w:proofErr w:type="spellEnd"/>
      <w:r w:rsidRPr="00B15A10">
        <w:rPr>
          <w:lang w:val="en-US"/>
        </w:rPr>
        <w:t xml:space="preserve"> </w:t>
      </w:r>
      <w:proofErr w:type="spellStart"/>
      <w:r w:rsidRPr="00B15A10">
        <w:rPr>
          <w:lang w:val="en-US"/>
        </w:rPr>
        <w:t>possano</w:t>
      </w:r>
      <w:proofErr w:type="spellEnd"/>
      <w:r w:rsidRPr="00B15A10">
        <w:rPr>
          <w:lang w:val="en-US"/>
        </w:rPr>
        <w:t xml:space="preserve"> </w:t>
      </w:r>
      <w:proofErr w:type="spellStart"/>
      <w:r w:rsidRPr="00B15A10">
        <w:rPr>
          <w:lang w:val="en-US"/>
        </w:rPr>
        <w:t>i</w:t>
      </w:r>
      <w:proofErr w:type="spellEnd"/>
      <w:r w:rsidRPr="00B15A10">
        <w:rPr>
          <w:lang w:val="en-US"/>
        </w:rPr>
        <w:t>[m]pre[n]</w:t>
      </w:r>
      <w:proofErr w:type="spellStart"/>
      <w:r w:rsidRPr="00B15A10">
        <w:rPr>
          <w:lang w:val="en-US"/>
        </w:rPr>
        <w:t>dere</w:t>
      </w:r>
      <w:proofErr w:type="spellEnd"/>
      <w:r w:rsidRPr="00B15A10">
        <w:rPr>
          <w:lang w:val="en-US"/>
        </w:rPr>
        <w:t xml:space="preserve"> dal </w:t>
      </w:r>
      <w:proofErr w:type="spellStart"/>
      <w:r w:rsidRPr="00B15A10">
        <w:rPr>
          <w:lang w:val="en-US"/>
        </w:rPr>
        <w:t>suo</w:t>
      </w:r>
      <w:proofErr w:type="spellEnd"/>
      <w:r w:rsidRPr="00B15A10">
        <w:rPr>
          <w:lang w:val="en-US"/>
        </w:rPr>
        <w:t xml:space="preserve"> p[</w:t>
      </w:r>
      <w:proofErr w:type="spellStart"/>
      <w:r w:rsidRPr="00B15A10">
        <w:rPr>
          <w:lang w:val="en-US"/>
        </w:rPr>
        <w:t>ro</w:t>
      </w:r>
      <w:proofErr w:type="spellEnd"/>
      <w:r w:rsidRPr="00B15A10">
        <w:rPr>
          <w:lang w:val="en-US"/>
        </w:rPr>
        <w:t>]</w:t>
      </w:r>
      <w:proofErr w:type="spellStart"/>
      <w:r w:rsidRPr="00B15A10">
        <w:rPr>
          <w:lang w:val="en-US"/>
        </w:rPr>
        <w:t>prio</w:t>
      </w:r>
      <w:proofErr w:type="spellEnd"/>
      <w:r w:rsidRPr="00B15A10">
        <w:rPr>
          <w:lang w:val="en-US"/>
        </w:rPr>
        <w:t xml:space="preserve"> </w:t>
      </w:r>
      <w:proofErr w:type="spellStart"/>
      <w:r w:rsidRPr="00B15A10">
        <w:rPr>
          <w:lang w:val="en-US"/>
        </w:rPr>
        <w:t>sposo</w:t>
      </w:r>
      <w:proofErr w:type="spellEnd"/>
      <w:r w:rsidRPr="00B15A10">
        <w:rPr>
          <w:lang w:val="en-US"/>
        </w:rPr>
        <w:t xml:space="preserve"> et no[n] </w:t>
      </w:r>
      <w:proofErr w:type="spellStart"/>
      <w:r w:rsidRPr="00B15A10">
        <w:rPr>
          <w:lang w:val="en-US"/>
        </w:rPr>
        <w:t>d’altri</w:t>
      </w:r>
      <w:proofErr w:type="spellEnd"/>
      <w:r w:rsidRPr="00B15A10">
        <w:rPr>
          <w:lang w:val="en-US"/>
        </w:rPr>
        <w:t xml:space="preserve"> </w:t>
      </w:r>
      <w:proofErr w:type="spellStart"/>
      <w:r w:rsidRPr="00B15A10">
        <w:rPr>
          <w:lang w:val="en-US"/>
        </w:rPr>
        <w:t>ballo</w:t>
      </w:r>
      <w:proofErr w:type="spellEnd"/>
      <w:r w:rsidRPr="00B15A10">
        <w:rPr>
          <w:lang w:val="en-US"/>
        </w:rPr>
        <w:t xml:space="preserve"> </w:t>
      </w:r>
      <w:proofErr w:type="spellStart"/>
      <w:r w:rsidRPr="00B15A10">
        <w:rPr>
          <w:lang w:val="en-US"/>
        </w:rPr>
        <w:t>honesto</w:t>
      </w:r>
      <w:proofErr w:type="spellEnd"/>
      <w:r w:rsidRPr="00B15A10">
        <w:rPr>
          <w:lang w:val="en-US"/>
        </w:rPr>
        <w:t xml:space="preserve"> &amp; commune”. </w:t>
      </w:r>
      <w:r>
        <w:rPr>
          <w:lang w:val="en-US"/>
        </w:rPr>
        <w:t xml:space="preserve">Also quoted in </w:t>
      </w:r>
      <w:r w:rsidRPr="00B15A10">
        <w:rPr>
          <w:lang w:val="en-US"/>
        </w:rPr>
        <w:t xml:space="preserve">Marta </w:t>
      </w:r>
      <w:proofErr w:type="spellStart"/>
      <w:r w:rsidRPr="00B15A10">
        <w:rPr>
          <w:lang w:val="en-US"/>
        </w:rPr>
        <w:t>Ajmar-Wollheim</w:t>
      </w:r>
      <w:proofErr w:type="spellEnd"/>
      <w:r w:rsidRPr="00B15A10">
        <w:rPr>
          <w:lang w:val="en-US"/>
        </w:rPr>
        <w:t xml:space="preserve">, “Housework,” in </w:t>
      </w:r>
      <w:r w:rsidRPr="00B15A10">
        <w:rPr>
          <w:i/>
          <w:iCs/>
          <w:lang w:val="en-US"/>
        </w:rPr>
        <w:t>At Home in Renaissance Italy</w:t>
      </w:r>
      <w:r w:rsidRPr="00B15A10">
        <w:rPr>
          <w:lang w:val="en-US"/>
        </w:rPr>
        <w:t xml:space="preserve">, ed. Marta </w:t>
      </w:r>
      <w:proofErr w:type="spellStart"/>
      <w:r w:rsidRPr="00B15A10">
        <w:rPr>
          <w:lang w:val="en-US"/>
        </w:rPr>
        <w:t>Ajmar-Wollheim</w:t>
      </w:r>
      <w:proofErr w:type="spellEnd"/>
      <w:r w:rsidRPr="00B15A10">
        <w:rPr>
          <w:lang w:val="en-US"/>
        </w:rPr>
        <w:t xml:space="preserve"> and Flora Dennis (London: V&amp;A Publications, 2006), 158–59.</w:t>
      </w:r>
    </w:p>
  </w:footnote>
  <w:footnote w:id="239">
    <w:p w14:paraId="3B75C0D9" w14:textId="77777777" w:rsidR="00182EED" w:rsidRDefault="00182EED" w:rsidP="001840E8">
      <w:pPr>
        <w:pStyle w:val="FootnoteText"/>
      </w:pPr>
      <w:r w:rsidRPr="00391186">
        <w:rPr>
          <w:rStyle w:val="FootnoteReference"/>
        </w:rPr>
        <w:footnoteRef/>
      </w:r>
      <w:r>
        <w:t xml:space="preserve"> </w:t>
      </w:r>
      <w:proofErr w:type="spellStart"/>
      <w:r w:rsidRPr="00BC2AEC">
        <w:rPr>
          <w:lang w:val="en-US"/>
        </w:rPr>
        <w:t>Antoninus</w:t>
      </w:r>
      <w:proofErr w:type="spellEnd"/>
      <w:r w:rsidRPr="00BC2AEC">
        <w:rPr>
          <w:lang w:val="en-US"/>
        </w:rPr>
        <w:t xml:space="preserve"> (Saint), </w:t>
      </w:r>
      <w:r w:rsidRPr="00BC2AEC">
        <w:rPr>
          <w:i/>
          <w:iCs/>
          <w:lang w:val="en-US"/>
        </w:rPr>
        <w:t>Opera a ben vivere</w:t>
      </w:r>
      <w:r w:rsidRPr="00BC2AEC">
        <w:rPr>
          <w:lang w:val="en-US"/>
        </w:rPr>
        <w:t xml:space="preserve">, </w:t>
      </w:r>
      <w:proofErr w:type="spellStart"/>
      <w:r w:rsidRPr="00BC2AEC">
        <w:rPr>
          <w:lang w:val="en-US"/>
        </w:rPr>
        <w:t>III.xiii</w:t>
      </w:r>
      <w:proofErr w:type="spellEnd"/>
      <w:r w:rsidRPr="00BC2AEC">
        <w:rPr>
          <w:lang w:val="en-US"/>
        </w:rPr>
        <w:t xml:space="preserve">, 177-178; Theresa Flanigan, “Disciplining the Tongue: Archbishop </w:t>
      </w:r>
      <w:proofErr w:type="spellStart"/>
      <w:r w:rsidRPr="00BC2AEC">
        <w:rPr>
          <w:lang w:val="en-US"/>
        </w:rPr>
        <w:t>Antoninus</w:t>
      </w:r>
      <w:proofErr w:type="spellEnd"/>
      <w:r w:rsidRPr="00BC2AEC">
        <w:rPr>
          <w:lang w:val="en-US"/>
        </w:rPr>
        <w:t xml:space="preserve">, the </w:t>
      </w:r>
      <w:r w:rsidRPr="00BC2AEC">
        <w:rPr>
          <w:i/>
          <w:iCs/>
          <w:lang w:val="en-US"/>
        </w:rPr>
        <w:t>Opera a Ben Vivere</w:t>
      </w:r>
      <w:r w:rsidRPr="00BC2AEC">
        <w:rPr>
          <w:lang w:val="en-US"/>
        </w:rPr>
        <w:t xml:space="preserve"> and the Regulation of Women’s Speech in Renaissance Florence,” </w:t>
      </w:r>
      <w:r w:rsidRPr="00BC2AEC">
        <w:rPr>
          <w:i/>
          <w:iCs/>
          <w:lang w:val="en-US"/>
        </w:rPr>
        <w:t>The Open Arts Journal</w:t>
      </w:r>
      <w:r w:rsidRPr="00BC2AEC">
        <w:rPr>
          <w:lang w:val="en-US"/>
        </w:rPr>
        <w:t>, no. 4 (2015): 54.</w:t>
      </w:r>
    </w:p>
  </w:footnote>
  <w:footnote w:id="240">
    <w:p w14:paraId="2F74178E" w14:textId="77777777" w:rsidR="00182EED" w:rsidRDefault="00182EED" w:rsidP="001840E8">
      <w:pPr>
        <w:pStyle w:val="FootnoteText"/>
      </w:pPr>
      <w:r w:rsidRPr="00391186">
        <w:rPr>
          <w:rStyle w:val="FootnoteReference"/>
        </w:rPr>
        <w:footnoteRef/>
      </w:r>
      <w:r>
        <w:t xml:space="preserve"> </w:t>
      </w:r>
      <w:r w:rsidRPr="00BC2AEC">
        <w:rPr>
          <w:lang w:val="en-US"/>
        </w:rPr>
        <w:t>Dennis, “Music,” 235.</w:t>
      </w:r>
    </w:p>
  </w:footnote>
  <w:footnote w:id="241">
    <w:p w14:paraId="13B86A72" w14:textId="77777777" w:rsidR="00182EED" w:rsidRDefault="00182EED" w:rsidP="001840E8">
      <w:pPr>
        <w:pStyle w:val="FootnoteText"/>
      </w:pPr>
      <w:r w:rsidRPr="00391186">
        <w:rPr>
          <w:rStyle w:val="FootnoteReference"/>
        </w:rPr>
        <w:footnoteRef/>
      </w:r>
      <w:r>
        <w:t xml:space="preserve"> </w:t>
      </w:r>
      <w:r w:rsidRPr="00211354">
        <w:rPr>
          <w:lang w:val="en-US"/>
        </w:rPr>
        <w:t xml:space="preserve">Francesco da </w:t>
      </w:r>
      <w:proofErr w:type="spellStart"/>
      <w:r w:rsidRPr="00211354">
        <w:rPr>
          <w:lang w:val="en-US"/>
        </w:rPr>
        <w:t>Barberino</w:t>
      </w:r>
      <w:proofErr w:type="spellEnd"/>
      <w:r w:rsidRPr="00211354">
        <w:rPr>
          <w:lang w:val="en-US"/>
        </w:rPr>
        <w:t xml:space="preserve">, </w:t>
      </w:r>
      <w:proofErr w:type="spellStart"/>
      <w:r w:rsidRPr="00211354">
        <w:rPr>
          <w:i/>
          <w:iCs/>
          <w:lang w:val="en-US"/>
        </w:rPr>
        <w:t>Reggimento</w:t>
      </w:r>
      <w:proofErr w:type="spellEnd"/>
      <w:r w:rsidRPr="00211354">
        <w:rPr>
          <w:i/>
          <w:iCs/>
          <w:lang w:val="en-US"/>
        </w:rPr>
        <w:t xml:space="preserve"> e </w:t>
      </w:r>
      <w:proofErr w:type="spellStart"/>
      <w:r w:rsidRPr="00211354">
        <w:rPr>
          <w:i/>
          <w:iCs/>
          <w:lang w:val="en-US"/>
        </w:rPr>
        <w:t>costumi</w:t>
      </w:r>
      <w:proofErr w:type="spellEnd"/>
      <w:r w:rsidRPr="00211354">
        <w:rPr>
          <w:i/>
          <w:iCs/>
          <w:lang w:val="en-US"/>
        </w:rPr>
        <w:t xml:space="preserve"> di donna</w:t>
      </w:r>
      <w:r w:rsidRPr="00211354">
        <w:rPr>
          <w:lang w:val="en-US"/>
        </w:rPr>
        <w:t xml:space="preserve">, ed. Carlo </w:t>
      </w:r>
      <w:proofErr w:type="spellStart"/>
      <w:r w:rsidRPr="00211354">
        <w:rPr>
          <w:lang w:val="en-US"/>
        </w:rPr>
        <w:t>Baudi</w:t>
      </w:r>
      <w:proofErr w:type="spellEnd"/>
      <w:r w:rsidRPr="00211354">
        <w:rPr>
          <w:lang w:val="en-US"/>
        </w:rPr>
        <w:t xml:space="preserve"> di </w:t>
      </w:r>
      <w:proofErr w:type="spellStart"/>
      <w:r w:rsidRPr="00211354">
        <w:rPr>
          <w:lang w:val="en-US"/>
        </w:rPr>
        <w:t>Vesme</w:t>
      </w:r>
      <w:proofErr w:type="spellEnd"/>
      <w:r w:rsidRPr="00211354">
        <w:rPr>
          <w:lang w:val="en-US"/>
        </w:rPr>
        <w:t xml:space="preserve"> (Bologna: </w:t>
      </w:r>
      <w:proofErr w:type="spellStart"/>
      <w:r w:rsidRPr="00211354">
        <w:rPr>
          <w:lang w:val="en-US"/>
        </w:rPr>
        <w:t>Romagnoli</w:t>
      </w:r>
      <w:proofErr w:type="spellEnd"/>
      <w:r w:rsidRPr="00211354">
        <w:rPr>
          <w:lang w:val="en-US"/>
        </w:rPr>
        <w:t>, 1875), 30–31, 53</w:t>
      </w:r>
      <w:r>
        <w:rPr>
          <w:lang w:val="en-US"/>
        </w:rPr>
        <w:t>.</w:t>
      </w:r>
      <w:r w:rsidRPr="00211354">
        <w:rPr>
          <w:lang w:val="en-US"/>
        </w:rPr>
        <w:t xml:space="preserve"> These recommendations were only valid for women from the upper class of the society, while women from the countryside were more free to express themselves musically, see Maria </w:t>
      </w:r>
      <w:proofErr w:type="spellStart"/>
      <w:r w:rsidRPr="00211354">
        <w:rPr>
          <w:lang w:val="en-US"/>
        </w:rPr>
        <w:t>Caraci</w:t>
      </w:r>
      <w:proofErr w:type="spellEnd"/>
      <w:r w:rsidRPr="00211354">
        <w:rPr>
          <w:lang w:val="en-US"/>
        </w:rPr>
        <w:t xml:space="preserve"> Vela, “La </w:t>
      </w:r>
      <w:proofErr w:type="spellStart"/>
      <w:r w:rsidRPr="00211354">
        <w:rPr>
          <w:lang w:val="en-US"/>
        </w:rPr>
        <w:t>dama</w:t>
      </w:r>
      <w:proofErr w:type="spellEnd"/>
      <w:r w:rsidRPr="00211354">
        <w:rPr>
          <w:lang w:val="en-US"/>
        </w:rPr>
        <w:t xml:space="preserve"> di palazzo e </w:t>
      </w:r>
      <w:proofErr w:type="spellStart"/>
      <w:r w:rsidRPr="00211354">
        <w:rPr>
          <w:lang w:val="en-US"/>
        </w:rPr>
        <w:t>il</w:t>
      </w:r>
      <w:proofErr w:type="spellEnd"/>
      <w:r w:rsidRPr="00211354">
        <w:rPr>
          <w:lang w:val="en-US"/>
        </w:rPr>
        <w:t xml:space="preserve"> </w:t>
      </w:r>
      <w:proofErr w:type="spellStart"/>
      <w:r w:rsidRPr="00211354">
        <w:rPr>
          <w:i/>
          <w:iCs/>
          <w:lang w:val="en-US"/>
        </w:rPr>
        <w:t>nobile</w:t>
      </w:r>
      <w:proofErr w:type="spellEnd"/>
      <w:r w:rsidRPr="00211354">
        <w:rPr>
          <w:i/>
          <w:iCs/>
          <w:lang w:val="en-US"/>
        </w:rPr>
        <w:t xml:space="preserve"> </w:t>
      </w:r>
      <w:proofErr w:type="spellStart"/>
      <w:r w:rsidRPr="00211354">
        <w:rPr>
          <w:i/>
          <w:iCs/>
          <w:lang w:val="en-US"/>
        </w:rPr>
        <w:t>ornamento</w:t>
      </w:r>
      <w:proofErr w:type="spellEnd"/>
      <w:r w:rsidRPr="00211354">
        <w:rPr>
          <w:lang w:val="en-US"/>
        </w:rPr>
        <w:t xml:space="preserve">: </w:t>
      </w:r>
      <w:proofErr w:type="spellStart"/>
      <w:r w:rsidRPr="00211354">
        <w:rPr>
          <w:lang w:val="en-US"/>
        </w:rPr>
        <w:t>L’esercizio</w:t>
      </w:r>
      <w:proofErr w:type="spellEnd"/>
      <w:r w:rsidRPr="00211354">
        <w:rPr>
          <w:lang w:val="en-US"/>
        </w:rPr>
        <w:t xml:space="preserve"> </w:t>
      </w:r>
      <w:proofErr w:type="spellStart"/>
      <w:r w:rsidRPr="00211354">
        <w:rPr>
          <w:lang w:val="en-US"/>
        </w:rPr>
        <w:t>della</w:t>
      </w:r>
      <w:proofErr w:type="spellEnd"/>
      <w:r w:rsidRPr="00211354">
        <w:rPr>
          <w:lang w:val="en-US"/>
        </w:rPr>
        <w:t xml:space="preserve"> </w:t>
      </w:r>
      <w:proofErr w:type="spellStart"/>
      <w:r w:rsidRPr="00211354">
        <w:rPr>
          <w:lang w:val="en-US"/>
        </w:rPr>
        <w:t>musica</w:t>
      </w:r>
      <w:proofErr w:type="spellEnd"/>
      <w:r w:rsidRPr="00211354">
        <w:rPr>
          <w:lang w:val="en-US"/>
        </w:rPr>
        <w:t xml:space="preserve"> come </w:t>
      </w:r>
      <w:proofErr w:type="spellStart"/>
      <w:r w:rsidRPr="00211354">
        <w:rPr>
          <w:lang w:val="en-US"/>
        </w:rPr>
        <w:t>spazio</w:t>
      </w:r>
      <w:proofErr w:type="spellEnd"/>
      <w:r w:rsidRPr="00211354">
        <w:rPr>
          <w:lang w:val="en-US"/>
        </w:rPr>
        <w:t xml:space="preserve"> di </w:t>
      </w:r>
      <w:proofErr w:type="spellStart"/>
      <w:r w:rsidRPr="00211354">
        <w:rPr>
          <w:lang w:val="en-US"/>
        </w:rPr>
        <w:t>libertà</w:t>
      </w:r>
      <w:proofErr w:type="spellEnd"/>
      <w:r w:rsidRPr="00211354">
        <w:rPr>
          <w:lang w:val="en-US"/>
        </w:rPr>
        <w:t xml:space="preserve"> e </w:t>
      </w:r>
      <w:proofErr w:type="spellStart"/>
      <w:r w:rsidRPr="00211354">
        <w:rPr>
          <w:lang w:val="en-US"/>
        </w:rPr>
        <w:t>cultura</w:t>
      </w:r>
      <w:proofErr w:type="spellEnd"/>
      <w:r w:rsidRPr="00211354">
        <w:rPr>
          <w:lang w:val="en-US"/>
        </w:rPr>
        <w:t xml:space="preserve">,” in </w:t>
      </w:r>
      <w:proofErr w:type="spellStart"/>
      <w:r w:rsidRPr="00211354">
        <w:rPr>
          <w:i/>
          <w:iCs/>
          <w:lang w:val="en-US"/>
        </w:rPr>
        <w:t>Costumi</w:t>
      </w:r>
      <w:proofErr w:type="spellEnd"/>
      <w:r w:rsidRPr="00211354">
        <w:rPr>
          <w:i/>
          <w:iCs/>
          <w:lang w:val="en-US"/>
        </w:rPr>
        <w:t xml:space="preserve"> educative </w:t>
      </w:r>
      <w:proofErr w:type="spellStart"/>
      <w:r w:rsidRPr="00211354">
        <w:rPr>
          <w:i/>
          <w:iCs/>
          <w:lang w:val="en-US"/>
        </w:rPr>
        <w:t>nelle</w:t>
      </w:r>
      <w:proofErr w:type="spellEnd"/>
      <w:r w:rsidRPr="00211354">
        <w:rPr>
          <w:i/>
          <w:iCs/>
          <w:lang w:val="en-US"/>
        </w:rPr>
        <w:t xml:space="preserve"> </w:t>
      </w:r>
      <w:proofErr w:type="spellStart"/>
      <w:r w:rsidRPr="00211354">
        <w:rPr>
          <w:i/>
          <w:iCs/>
          <w:lang w:val="en-US"/>
        </w:rPr>
        <w:t>corti</w:t>
      </w:r>
      <w:proofErr w:type="spellEnd"/>
      <w:r w:rsidRPr="00211354">
        <w:rPr>
          <w:i/>
          <w:iCs/>
          <w:lang w:val="en-US"/>
        </w:rPr>
        <w:t xml:space="preserve"> </w:t>
      </w:r>
      <w:proofErr w:type="spellStart"/>
      <w:r w:rsidRPr="00211354">
        <w:rPr>
          <w:i/>
          <w:iCs/>
          <w:lang w:val="en-US"/>
        </w:rPr>
        <w:t>Europee</w:t>
      </w:r>
      <w:proofErr w:type="spellEnd"/>
      <w:r w:rsidRPr="00211354">
        <w:rPr>
          <w:i/>
          <w:iCs/>
          <w:lang w:val="en-US"/>
        </w:rPr>
        <w:t xml:space="preserve"> (XIV-XVIII </w:t>
      </w:r>
      <w:proofErr w:type="spellStart"/>
      <w:r w:rsidRPr="00211354">
        <w:rPr>
          <w:i/>
          <w:iCs/>
          <w:lang w:val="en-US"/>
        </w:rPr>
        <w:t>secolo</w:t>
      </w:r>
      <w:proofErr w:type="spellEnd"/>
      <w:r w:rsidRPr="00211354">
        <w:rPr>
          <w:i/>
          <w:iCs/>
          <w:lang w:val="en-US"/>
        </w:rPr>
        <w:t>)</w:t>
      </w:r>
      <w:r w:rsidRPr="00211354">
        <w:rPr>
          <w:lang w:val="en-US"/>
        </w:rPr>
        <w:t>, ed. Monica Ferrari (Pavia: Pavia University Press, 2010), 33.</w:t>
      </w:r>
    </w:p>
  </w:footnote>
  <w:footnote w:id="242">
    <w:p w14:paraId="24D8524F" w14:textId="77777777" w:rsidR="00182EED" w:rsidRDefault="00182EED" w:rsidP="001840E8">
      <w:pPr>
        <w:pStyle w:val="FootnoteText"/>
      </w:pPr>
      <w:r w:rsidRPr="00391186">
        <w:rPr>
          <w:rStyle w:val="FootnoteReference"/>
        </w:rPr>
        <w:footnoteRef/>
      </w:r>
      <w:r>
        <w:t xml:space="preserve"> </w:t>
      </w:r>
      <w:r w:rsidRPr="00211354">
        <w:rPr>
          <w:lang w:val="en-US"/>
        </w:rPr>
        <w:t xml:space="preserve">“I </w:t>
      </w:r>
      <w:proofErr w:type="spellStart"/>
      <w:r w:rsidRPr="00211354">
        <w:rPr>
          <w:lang w:val="en-US"/>
        </w:rPr>
        <w:t>suoni</w:t>
      </w:r>
      <w:proofErr w:type="spellEnd"/>
      <w:r w:rsidRPr="00211354">
        <w:rPr>
          <w:lang w:val="en-US"/>
        </w:rPr>
        <w:t xml:space="preserve">, </w:t>
      </w:r>
      <w:proofErr w:type="spellStart"/>
      <w:r w:rsidRPr="00211354">
        <w:rPr>
          <w:lang w:val="en-US"/>
        </w:rPr>
        <w:t>i</w:t>
      </w:r>
      <w:proofErr w:type="spellEnd"/>
      <w:r w:rsidRPr="00211354">
        <w:rPr>
          <w:lang w:val="en-US"/>
        </w:rPr>
        <w:t xml:space="preserve"> </w:t>
      </w:r>
      <w:proofErr w:type="spellStart"/>
      <w:r w:rsidRPr="00211354">
        <w:rPr>
          <w:lang w:val="en-US"/>
        </w:rPr>
        <w:t>canti</w:t>
      </w:r>
      <w:proofErr w:type="spellEnd"/>
      <w:r w:rsidRPr="00211354">
        <w:rPr>
          <w:lang w:val="en-US"/>
        </w:rPr>
        <w:t xml:space="preserve"> e le </w:t>
      </w:r>
      <w:proofErr w:type="spellStart"/>
      <w:r w:rsidRPr="00211354">
        <w:rPr>
          <w:lang w:val="en-US"/>
        </w:rPr>
        <w:t>lettere</w:t>
      </w:r>
      <w:proofErr w:type="spellEnd"/>
      <w:r w:rsidRPr="00211354">
        <w:rPr>
          <w:lang w:val="en-US"/>
        </w:rPr>
        <w:t xml:space="preserve"> </w:t>
      </w:r>
      <w:proofErr w:type="spellStart"/>
      <w:r w:rsidRPr="00211354">
        <w:rPr>
          <w:lang w:val="en-US"/>
        </w:rPr>
        <w:t>che</w:t>
      </w:r>
      <w:proofErr w:type="spellEnd"/>
      <w:r w:rsidRPr="00211354">
        <w:rPr>
          <w:lang w:val="en-US"/>
        </w:rPr>
        <w:t xml:space="preserve"> </w:t>
      </w:r>
      <w:proofErr w:type="spellStart"/>
      <w:r w:rsidRPr="00211354">
        <w:rPr>
          <w:lang w:val="en-US"/>
        </w:rPr>
        <w:t>sanno</w:t>
      </w:r>
      <w:proofErr w:type="spellEnd"/>
      <w:r w:rsidRPr="00211354">
        <w:rPr>
          <w:lang w:val="en-US"/>
        </w:rPr>
        <w:t xml:space="preserve"> le </w:t>
      </w:r>
      <w:proofErr w:type="spellStart"/>
      <w:r w:rsidRPr="00211354">
        <w:rPr>
          <w:lang w:val="en-US"/>
        </w:rPr>
        <w:t>femine</w:t>
      </w:r>
      <w:proofErr w:type="spellEnd"/>
      <w:r w:rsidRPr="00211354">
        <w:rPr>
          <w:lang w:val="en-US"/>
        </w:rPr>
        <w:t xml:space="preserve">, </w:t>
      </w:r>
      <w:proofErr w:type="spellStart"/>
      <w:r w:rsidRPr="00211354">
        <w:rPr>
          <w:lang w:val="en-US"/>
        </w:rPr>
        <w:t>sono</w:t>
      </w:r>
      <w:proofErr w:type="spellEnd"/>
      <w:r w:rsidRPr="00211354">
        <w:rPr>
          <w:lang w:val="en-US"/>
        </w:rPr>
        <w:t xml:space="preserve"> le </w:t>
      </w:r>
      <w:proofErr w:type="spellStart"/>
      <w:r w:rsidRPr="00211354">
        <w:rPr>
          <w:lang w:val="en-US"/>
        </w:rPr>
        <w:t>chiavi</w:t>
      </w:r>
      <w:proofErr w:type="spellEnd"/>
      <w:r w:rsidRPr="00211354">
        <w:rPr>
          <w:lang w:val="en-US"/>
        </w:rPr>
        <w:t xml:space="preserve"> </w:t>
      </w:r>
      <w:proofErr w:type="spellStart"/>
      <w:r w:rsidRPr="00211354">
        <w:rPr>
          <w:lang w:val="en-US"/>
        </w:rPr>
        <w:t>che</w:t>
      </w:r>
      <w:proofErr w:type="spellEnd"/>
      <w:r w:rsidRPr="00211354">
        <w:rPr>
          <w:lang w:val="en-US"/>
        </w:rPr>
        <w:t xml:space="preserve"> </w:t>
      </w:r>
      <w:proofErr w:type="spellStart"/>
      <w:r w:rsidRPr="00211354">
        <w:rPr>
          <w:lang w:val="en-US"/>
        </w:rPr>
        <w:t>aprano</w:t>
      </w:r>
      <w:proofErr w:type="spellEnd"/>
      <w:r w:rsidRPr="00211354">
        <w:rPr>
          <w:lang w:val="en-US"/>
        </w:rPr>
        <w:t xml:space="preserve"> le </w:t>
      </w:r>
      <w:proofErr w:type="spellStart"/>
      <w:r w:rsidRPr="00211354">
        <w:rPr>
          <w:lang w:val="en-US"/>
        </w:rPr>
        <w:t>porte</w:t>
      </w:r>
      <w:proofErr w:type="spellEnd"/>
      <w:r w:rsidRPr="00211354">
        <w:rPr>
          <w:lang w:val="en-US"/>
        </w:rPr>
        <w:t xml:space="preserve"> de la </w:t>
      </w:r>
      <w:proofErr w:type="spellStart"/>
      <w:r w:rsidRPr="00211354">
        <w:rPr>
          <w:lang w:val="en-US"/>
        </w:rPr>
        <w:t>pudicizia</w:t>
      </w:r>
      <w:proofErr w:type="spellEnd"/>
      <w:r w:rsidRPr="00211354">
        <w:rPr>
          <w:lang w:val="en-US"/>
        </w:rPr>
        <w:t xml:space="preserve"> </w:t>
      </w:r>
      <w:proofErr w:type="spellStart"/>
      <w:r w:rsidRPr="00211354">
        <w:rPr>
          <w:lang w:val="en-US"/>
        </w:rPr>
        <w:t>loro</w:t>
      </w:r>
      <w:proofErr w:type="spellEnd"/>
      <w:r w:rsidRPr="00211354">
        <w:rPr>
          <w:lang w:val="en-US"/>
        </w:rPr>
        <w:t>.” Quoted in Dennis, “Unlocking the Gates of Chastity,” 223, 237 n. 2.</w:t>
      </w:r>
    </w:p>
  </w:footnote>
  <w:footnote w:id="243">
    <w:p w14:paraId="19DA71B3" w14:textId="77777777" w:rsidR="00182EED" w:rsidRDefault="00182EED" w:rsidP="001840E8">
      <w:pPr>
        <w:pStyle w:val="FootnoteText"/>
      </w:pPr>
      <w:r w:rsidRPr="00391186">
        <w:rPr>
          <w:rStyle w:val="FootnoteReference"/>
        </w:rPr>
        <w:footnoteRef/>
      </w:r>
      <w:r>
        <w:t xml:space="preserve"> “</w:t>
      </w:r>
      <w:r w:rsidRPr="00133716">
        <w:rPr>
          <w:lang w:val="en-US"/>
        </w:rPr>
        <w:t xml:space="preserve">Il </w:t>
      </w:r>
      <w:proofErr w:type="spellStart"/>
      <w:r w:rsidRPr="00133716">
        <w:rPr>
          <w:lang w:val="en-US"/>
        </w:rPr>
        <w:t>sonare</w:t>
      </w:r>
      <w:proofErr w:type="spellEnd"/>
      <w:r w:rsidRPr="00133716">
        <w:rPr>
          <w:lang w:val="en-US"/>
        </w:rPr>
        <w:t xml:space="preserve"> e’ </w:t>
      </w:r>
      <w:proofErr w:type="spellStart"/>
      <w:r w:rsidRPr="00133716">
        <w:rPr>
          <w:lang w:val="en-US"/>
        </w:rPr>
        <w:t>cosa</w:t>
      </w:r>
      <w:proofErr w:type="spellEnd"/>
      <w:r w:rsidRPr="00133716">
        <w:rPr>
          <w:lang w:val="en-US"/>
        </w:rPr>
        <w:t xml:space="preserve"> </w:t>
      </w:r>
      <w:proofErr w:type="spellStart"/>
      <w:r w:rsidRPr="00133716">
        <w:rPr>
          <w:lang w:val="en-US"/>
        </w:rPr>
        <w:t>strana</w:t>
      </w:r>
      <w:proofErr w:type="spellEnd"/>
      <w:r w:rsidRPr="00133716">
        <w:rPr>
          <w:lang w:val="en-US"/>
        </w:rPr>
        <w:t xml:space="preserve"> e </w:t>
      </w:r>
      <w:proofErr w:type="spellStart"/>
      <w:r w:rsidRPr="00133716">
        <w:rPr>
          <w:lang w:val="en-US"/>
        </w:rPr>
        <w:t>leggera</w:t>
      </w:r>
      <w:proofErr w:type="spellEnd"/>
      <w:r w:rsidRPr="00133716">
        <w:rPr>
          <w:lang w:val="en-US"/>
        </w:rPr>
        <w:t xml:space="preserve">.” Dennis, “Music,” 235; English translation from Freedman, </w:t>
      </w:r>
      <w:r w:rsidRPr="00133716">
        <w:rPr>
          <w:i/>
          <w:iCs/>
          <w:lang w:val="en-US"/>
        </w:rPr>
        <w:t>Music in the Renaissance</w:t>
      </w:r>
      <w:r w:rsidRPr="00133716">
        <w:rPr>
          <w:lang w:val="en-US"/>
        </w:rPr>
        <w:t>, 126.</w:t>
      </w:r>
    </w:p>
  </w:footnote>
  <w:footnote w:id="244">
    <w:p w14:paraId="6C48A110" w14:textId="77777777" w:rsidR="00182EED" w:rsidRDefault="00182EED" w:rsidP="001840E8">
      <w:pPr>
        <w:pStyle w:val="FootnoteText"/>
      </w:pPr>
      <w:r w:rsidRPr="00391186">
        <w:rPr>
          <w:rStyle w:val="FootnoteReference"/>
        </w:rPr>
        <w:footnoteRef/>
      </w:r>
      <w:r>
        <w:t xml:space="preserve"> </w:t>
      </w:r>
      <w:r w:rsidRPr="00211354">
        <w:rPr>
          <w:lang w:val="en-US"/>
        </w:rPr>
        <w:t>“</w:t>
      </w:r>
      <w:proofErr w:type="spellStart"/>
      <w:r w:rsidRPr="00211354">
        <w:rPr>
          <w:lang w:val="en-US"/>
        </w:rPr>
        <w:t>Cominciò</w:t>
      </w:r>
      <w:proofErr w:type="spellEnd"/>
      <w:r w:rsidRPr="00211354">
        <w:rPr>
          <w:lang w:val="en-US"/>
        </w:rPr>
        <w:t xml:space="preserve"> </w:t>
      </w:r>
      <w:proofErr w:type="spellStart"/>
      <w:r w:rsidRPr="00211354">
        <w:rPr>
          <w:lang w:val="en-US"/>
        </w:rPr>
        <w:t>mio</w:t>
      </w:r>
      <w:proofErr w:type="spellEnd"/>
      <w:r w:rsidRPr="00211354">
        <w:rPr>
          <w:lang w:val="en-US"/>
        </w:rPr>
        <w:t xml:space="preserve"> padre </w:t>
      </w:r>
      <w:r w:rsidRPr="00211354">
        <w:rPr>
          <w:lang w:val="en-US"/>
        </w:rPr>
        <w:t xml:space="preserve">a </w:t>
      </w:r>
      <w:proofErr w:type="spellStart"/>
      <w:r w:rsidRPr="00211354">
        <w:rPr>
          <w:lang w:val="en-US"/>
        </w:rPr>
        <w:t>insegnarmi</w:t>
      </w:r>
      <w:proofErr w:type="spellEnd"/>
      <w:r w:rsidRPr="00211354">
        <w:rPr>
          <w:lang w:val="en-US"/>
        </w:rPr>
        <w:t xml:space="preserve"> sonar </w:t>
      </w:r>
      <w:proofErr w:type="spellStart"/>
      <w:r w:rsidRPr="00211354">
        <w:rPr>
          <w:lang w:val="en-US"/>
        </w:rPr>
        <w:t>il</w:t>
      </w:r>
      <w:proofErr w:type="spellEnd"/>
      <w:r w:rsidRPr="00211354">
        <w:rPr>
          <w:lang w:val="en-US"/>
        </w:rPr>
        <w:t xml:space="preserve"> flauto e </w:t>
      </w:r>
      <w:proofErr w:type="spellStart"/>
      <w:r w:rsidRPr="00211354">
        <w:rPr>
          <w:lang w:val="en-US"/>
        </w:rPr>
        <w:t>cantar</w:t>
      </w:r>
      <w:proofErr w:type="spellEnd"/>
      <w:r w:rsidRPr="00211354">
        <w:rPr>
          <w:lang w:val="en-US"/>
        </w:rPr>
        <w:t xml:space="preserve"> di </w:t>
      </w:r>
      <w:proofErr w:type="spellStart"/>
      <w:r w:rsidRPr="00211354">
        <w:rPr>
          <w:lang w:val="en-US"/>
        </w:rPr>
        <w:t>musica</w:t>
      </w:r>
      <w:proofErr w:type="spellEnd"/>
      <w:r w:rsidRPr="00211354">
        <w:rPr>
          <w:lang w:val="en-US"/>
        </w:rPr>
        <w:t xml:space="preserve">; e </w:t>
      </w:r>
      <w:proofErr w:type="spellStart"/>
      <w:r w:rsidRPr="00211354">
        <w:rPr>
          <w:lang w:val="en-US"/>
        </w:rPr>
        <w:t>contuttochè</w:t>
      </w:r>
      <w:proofErr w:type="spellEnd"/>
      <w:r w:rsidRPr="00211354">
        <w:rPr>
          <w:lang w:val="en-US"/>
        </w:rPr>
        <w:t xml:space="preserve"> </w:t>
      </w:r>
      <w:proofErr w:type="spellStart"/>
      <w:r w:rsidRPr="00211354">
        <w:rPr>
          <w:lang w:val="en-US"/>
        </w:rPr>
        <w:t>l’età</w:t>
      </w:r>
      <w:proofErr w:type="spellEnd"/>
      <w:r w:rsidRPr="00211354">
        <w:rPr>
          <w:lang w:val="en-US"/>
        </w:rPr>
        <w:t xml:space="preserve"> </w:t>
      </w:r>
      <w:proofErr w:type="spellStart"/>
      <w:r w:rsidRPr="00211354">
        <w:rPr>
          <w:lang w:val="en-US"/>
        </w:rPr>
        <w:t>mia</w:t>
      </w:r>
      <w:proofErr w:type="spellEnd"/>
      <w:r w:rsidRPr="00211354">
        <w:rPr>
          <w:lang w:val="en-US"/>
        </w:rPr>
        <w:t xml:space="preserve"> fosse </w:t>
      </w:r>
      <w:proofErr w:type="spellStart"/>
      <w:r w:rsidRPr="00211354">
        <w:rPr>
          <w:lang w:val="en-US"/>
        </w:rPr>
        <w:t>tenerissima</w:t>
      </w:r>
      <w:proofErr w:type="spellEnd"/>
      <w:r w:rsidRPr="00211354">
        <w:rPr>
          <w:lang w:val="en-US"/>
        </w:rPr>
        <w:t xml:space="preserve">, dove </w:t>
      </w:r>
      <w:proofErr w:type="spellStart"/>
      <w:r w:rsidRPr="00211354">
        <w:rPr>
          <w:lang w:val="en-US"/>
        </w:rPr>
        <w:t>i</w:t>
      </w:r>
      <w:proofErr w:type="spellEnd"/>
      <w:r w:rsidRPr="00211354">
        <w:rPr>
          <w:lang w:val="en-US"/>
        </w:rPr>
        <w:t xml:space="preserve"> </w:t>
      </w:r>
      <w:proofErr w:type="spellStart"/>
      <w:r w:rsidRPr="00211354">
        <w:rPr>
          <w:lang w:val="en-US"/>
        </w:rPr>
        <w:t>piccoli</w:t>
      </w:r>
      <w:proofErr w:type="spellEnd"/>
      <w:r w:rsidRPr="00211354">
        <w:rPr>
          <w:lang w:val="en-US"/>
        </w:rPr>
        <w:t xml:space="preserve"> bambini </w:t>
      </w:r>
      <w:proofErr w:type="spellStart"/>
      <w:r w:rsidRPr="00211354">
        <w:rPr>
          <w:lang w:val="en-US"/>
        </w:rPr>
        <w:t>sogliono</w:t>
      </w:r>
      <w:proofErr w:type="spellEnd"/>
      <w:r w:rsidRPr="00211354">
        <w:rPr>
          <w:lang w:val="en-US"/>
        </w:rPr>
        <w:t xml:space="preserve"> aver piacere </w:t>
      </w:r>
      <w:proofErr w:type="spellStart"/>
      <w:r w:rsidRPr="00211354">
        <w:rPr>
          <w:lang w:val="en-US"/>
        </w:rPr>
        <w:t>d’uno</w:t>
      </w:r>
      <w:proofErr w:type="spellEnd"/>
      <w:r w:rsidRPr="00211354">
        <w:rPr>
          <w:lang w:val="en-US"/>
        </w:rPr>
        <w:t xml:space="preserve"> </w:t>
      </w:r>
      <w:proofErr w:type="spellStart"/>
      <w:r w:rsidRPr="00211354">
        <w:rPr>
          <w:lang w:val="en-US"/>
        </w:rPr>
        <w:t>zufolino</w:t>
      </w:r>
      <w:proofErr w:type="spellEnd"/>
      <w:r w:rsidRPr="00211354">
        <w:rPr>
          <w:lang w:val="en-US"/>
        </w:rPr>
        <w:t xml:space="preserve"> e di </w:t>
      </w:r>
      <w:proofErr w:type="spellStart"/>
      <w:r w:rsidRPr="00211354">
        <w:rPr>
          <w:lang w:val="en-US"/>
        </w:rPr>
        <w:t>simili</w:t>
      </w:r>
      <w:proofErr w:type="spellEnd"/>
      <w:r w:rsidRPr="00211354">
        <w:rPr>
          <w:lang w:val="en-US"/>
        </w:rPr>
        <w:t xml:space="preserve"> </w:t>
      </w:r>
      <w:proofErr w:type="spellStart"/>
      <w:r w:rsidRPr="00211354">
        <w:rPr>
          <w:lang w:val="en-US"/>
        </w:rPr>
        <w:t>trastulli</w:t>
      </w:r>
      <w:proofErr w:type="spellEnd"/>
      <w:r w:rsidRPr="00211354">
        <w:rPr>
          <w:lang w:val="en-US"/>
        </w:rPr>
        <w:t xml:space="preserve">, </w:t>
      </w:r>
      <w:proofErr w:type="spellStart"/>
      <w:r w:rsidRPr="00211354">
        <w:rPr>
          <w:lang w:val="en-US"/>
        </w:rPr>
        <w:t>io</w:t>
      </w:r>
      <w:proofErr w:type="spellEnd"/>
      <w:r w:rsidRPr="00211354">
        <w:rPr>
          <w:lang w:val="en-US"/>
        </w:rPr>
        <w:t xml:space="preserve"> ne </w:t>
      </w:r>
      <w:proofErr w:type="spellStart"/>
      <w:r w:rsidRPr="00211354">
        <w:rPr>
          <w:lang w:val="en-US"/>
        </w:rPr>
        <w:t>aveva</w:t>
      </w:r>
      <w:proofErr w:type="spellEnd"/>
      <w:r w:rsidRPr="00211354">
        <w:rPr>
          <w:lang w:val="en-US"/>
        </w:rPr>
        <w:t xml:space="preserve"> </w:t>
      </w:r>
      <w:proofErr w:type="spellStart"/>
      <w:r w:rsidRPr="00211354">
        <w:rPr>
          <w:lang w:val="en-US"/>
        </w:rPr>
        <w:t>dispiacere</w:t>
      </w:r>
      <w:proofErr w:type="spellEnd"/>
      <w:r w:rsidRPr="00211354">
        <w:rPr>
          <w:lang w:val="en-US"/>
        </w:rPr>
        <w:t xml:space="preserve"> </w:t>
      </w:r>
      <w:proofErr w:type="spellStart"/>
      <w:r w:rsidRPr="00211354">
        <w:rPr>
          <w:lang w:val="en-US"/>
        </w:rPr>
        <w:t>inestimabile</w:t>
      </w:r>
      <w:proofErr w:type="spellEnd"/>
      <w:r w:rsidRPr="00211354">
        <w:rPr>
          <w:lang w:val="en-US"/>
        </w:rPr>
        <w:t xml:space="preserve">; ma solo per </w:t>
      </w:r>
      <w:proofErr w:type="spellStart"/>
      <w:r w:rsidRPr="00211354">
        <w:rPr>
          <w:lang w:val="en-US"/>
        </w:rPr>
        <w:t>ubbidire</w:t>
      </w:r>
      <w:proofErr w:type="spellEnd"/>
      <w:r w:rsidRPr="00211354">
        <w:rPr>
          <w:lang w:val="en-US"/>
        </w:rPr>
        <w:t xml:space="preserve"> </w:t>
      </w:r>
      <w:proofErr w:type="spellStart"/>
      <w:r w:rsidRPr="00211354">
        <w:rPr>
          <w:lang w:val="en-US"/>
        </w:rPr>
        <w:t>sonavo</w:t>
      </w:r>
      <w:proofErr w:type="spellEnd"/>
      <w:r w:rsidRPr="00211354">
        <w:rPr>
          <w:lang w:val="en-US"/>
        </w:rPr>
        <w:t xml:space="preserve"> e </w:t>
      </w:r>
      <w:proofErr w:type="spellStart"/>
      <w:r w:rsidRPr="00211354">
        <w:rPr>
          <w:lang w:val="en-US"/>
        </w:rPr>
        <w:t>cantavo</w:t>
      </w:r>
      <w:proofErr w:type="spellEnd"/>
      <w:r w:rsidRPr="00211354">
        <w:rPr>
          <w:lang w:val="en-US"/>
        </w:rPr>
        <w:t xml:space="preserve">.” Benvenuto Cellini, </w:t>
      </w:r>
      <w:r w:rsidRPr="00211354">
        <w:rPr>
          <w:i/>
          <w:iCs/>
          <w:lang w:val="en-US"/>
        </w:rPr>
        <w:t>Vita</w:t>
      </w:r>
      <w:r w:rsidRPr="00211354">
        <w:rPr>
          <w:lang w:val="en-US"/>
        </w:rPr>
        <w:t xml:space="preserve">, ed. Giovanni </w:t>
      </w:r>
      <w:proofErr w:type="spellStart"/>
      <w:r w:rsidRPr="00211354">
        <w:rPr>
          <w:lang w:val="en-US"/>
        </w:rPr>
        <w:t>Palamede</w:t>
      </w:r>
      <w:proofErr w:type="spellEnd"/>
      <w:r w:rsidRPr="00211354">
        <w:rPr>
          <w:lang w:val="en-US"/>
        </w:rPr>
        <w:t xml:space="preserve"> </w:t>
      </w:r>
      <w:proofErr w:type="spellStart"/>
      <w:r w:rsidRPr="00211354">
        <w:rPr>
          <w:lang w:val="en-US"/>
        </w:rPr>
        <w:t>Carpani</w:t>
      </w:r>
      <w:proofErr w:type="spellEnd"/>
      <w:r w:rsidRPr="00211354">
        <w:rPr>
          <w:lang w:val="en-US"/>
        </w:rPr>
        <w:t xml:space="preserve"> (Milan: </w:t>
      </w:r>
      <w:proofErr w:type="spellStart"/>
      <w:r w:rsidRPr="00211354">
        <w:rPr>
          <w:lang w:val="en-US"/>
        </w:rPr>
        <w:t>Società</w:t>
      </w:r>
      <w:proofErr w:type="spellEnd"/>
      <w:r w:rsidRPr="00211354">
        <w:rPr>
          <w:lang w:val="en-US"/>
        </w:rPr>
        <w:t xml:space="preserve"> </w:t>
      </w:r>
      <w:proofErr w:type="spellStart"/>
      <w:r w:rsidRPr="00211354">
        <w:rPr>
          <w:lang w:val="en-US"/>
        </w:rPr>
        <w:t>Tipografica</w:t>
      </w:r>
      <w:proofErr w:type="spellEnd"/>
      <w:r w:rsidRPr="00211354">
        <w:rPr>
          <w:lang w:val="en-US"/>
        </w:rPr>
        <w:t xml:space="preserve"> de’ </w:t>
      </w:r>
      <w:proofErr w:type="spellStart"/>
      <w:r w:rsidRPr="00211354">
        <w:rPr>
          <w:lang w:val="en-US"/>
        </w:rPr>
        <w:t>Classici</w:t>
      </w:r>
      <w:proofErr w:type="spellEnd"/>
      <w:r w:rsidRPr="00211354">
        <w:rPr>
          <w:lang w:val="en-US"/>
        </w:rPr>
        <w:t xml:space="preserve"> </w:t>
      </w:r>
      <w:proofErr w:type="spellStart"/>
      <w:r w:rsidRPr="00211354">
        <w:rPr>
          <w:lang w:val="en-US"/>
        </w:rPr>
        <w:t>Italiani</w:t>
      </w:r>
      <w:proofErr w:type="spellEnd"/>
      <w:r w:rsidRPr="00211354">
        <w:rPr>
          <w:lang w:val="en-US"/>
        </w:rPr>
        <w:t>, 1806), 10</w:t>
      </w:r>
      <w:r>
        <w:rPr>
          <w:lang w:val="en-US"/>
        </w:rPr>
        <w:t xml:space="preserve">. A slightly different </w:t>
      </w:r>
      <w:r w:rsidRPr="00211354">
        <w:rPr>
          <w:lang w:val="en-US"/>
        </w:rPr>
        <w:t xml:space="preserve">English translation </w:t>
      </w:r>
      <w:r>
        <w:rPr>
          <w:lang w:val="en-US"/>
        </w:rPr>
        <w:t>can be found in</w:t>
      </w:r>
      <w:r w:rsidRPr="00211354">
        <w:rPr>
          <w:lang w:val="en-US"/>
        </w:rPr>
        <w:t xml:space="preserve"> Bonnie J. Blackburn, “Myself When Young: Becoming a Musician in Renaissance Italy - or Not,” </w:t>
      </w:r>
      <w:r w:rsidRPr="00211354">
        <w:rPr>
          <w:i/>
          <w:iCs/>
          <w:lang w:val="en-US"/>
        </w:rPr>
        <w:t>Proceedings of the British Academy</w:t>
      </w:r>
      <w:r w:rsidRPr="00211354">
        <w:rPr>
          <w:lang w:val="en-US"/>
        </w:rPr>
        <w:t>, no. 181 (2012): 169–70.</w:t>
      </w:r>
    </w:p>
  </w:footnote>
  <w:footnote w:id="245">
    <w:p w14:paraId="3957D621" w14:textId="77777777" w:rsidR="00182EED" w:rsidRDefault="00182EED" w:rsidP="001840E8">
      <w:pPr>
        <w:pStyle w:val="FootnoteText"/>
      </w:pPr>
      <w:r w:rsidRPr="00391186">
        <w:rPr>
          <w:rStyle w:val="FootnoteReference"/>
        </w:rPr>
        <w:footnoteRef/>
      </w:r>
      <w:r>
        <w:t xml:space="preserve"> </w:t>
      </w:r>
      <w:r w:rsidRPr="00211354">
        <w:rPr>
          <w:lang w:val="en-US"/>
        </w:rPr>
        <w:t>Blackburn, “Myself When Young,” 170.</w:t>
      </w:r>
    </w:p>
  </w:footnote>
  <w:footnote w:id="246">
    <w:p w14:paraId="79BE7871" w14:textId="77777777" w:rsidR="00182EED" w:rsidRDefault="00182EED" w:rsidP="001840E8">
      <w:pPr>
        <w:pStyle w:val="FootnoteText"/>
      </w:pPr>
      <w:r w:rsidRPr="00391186">
        <w:rPr>
          <w:rStyle w:val="FootnoteReference"/>
        </w:rPr>
        <w:footnoteRef/>
      </w:r>
      <w:r>
        <w:t xml:space="preserve"> </w:t>
      </w:r>
      <w:proofErr w:type="spellStart"/>
      <w:r w:rsidRPr="00B15A10">
        <w:rPr>
          <w:lang w:val="en-US"/>
        </w:rPr>
        <w:t>Dominici</w:t>
      </w:r>
      <w:proofErr w:type="spellEnd"/>
      <w:r w:rsidRPr="00B15A10">
        <w:rPr>
          <w:lang w:val="en-US"/>
        </w:rPr>
        <w:t xml:space="preserve">, </w:t>
      </w:r>
      <w:proofErr w:type="spellStart"/>
      <w:r w:rsidRPr="00B15A10">
        <w:rPr>
          <w:i/>
          <w:iCs/>
          <w:lang w:val="en-US"/>
        </w:rPr>
        <w:t>Regola</w:t>
      </w:r>
      <w:proofErr w:type="spellEnd"/>
      <w:r w:rsidRPr="00B15A10">
        <w:rPr>
          <w:i/>
          <w:iCs/>
          <w:lang w:val="en-US"/>
        </w:rPr>
        <w:t xml:space="preserve"> Del </w:t>
      </w:r>
      <w:proofErr w:type="spellStart"/>
      <w:r w:rsidRPr="00B15A10">
        <w:rPr>
          <w:i/>
          <w:iCs/>
          <w:lang w:val="en-US"/>
        </w:rPr>
        <w:t>Governo</w:t>
      </w:r>
      <w:proofErr w:type="spellEnd"/>
      <w:r w:rsidRPr="00B15A10">
        <w:rPr>
          <w:i/>
          <w:iCs/>
          <w:lang w:val="en-US"/>
        </w:rPr>
        <w:t xml:space="preserve"> Di </w:t>
      </w:r>
      <w:proofErr w:type="spellStart"/>
      <w:r w:rsidRPr="00B15A10">
        <w:rPr>
          <w:i/>
          <w:iCs/>
          <w:lang w:val="en-US"/>
        </w:rPr>
        <w:t>Cura</w:t>
      </w:r>
      <w:proofErr w:type="spellEnd"/>
      <w:r w:rsidRPr="00B15A10">
        <w:rPr>
          <w:i/>
          <w:iCs/>
          <w:lang w:val="en-US"/>
        </w:rPr>
        <w:t xml:space="preserve"> </w:t>
      </w:r>
      <w:proofErr w:type="spellStart"/>
      <w:r w:rsidRPr="00B15A10">
        <w:rPr>
          <w:i/>
          <w:iCs/>
          <w:lang w:val="en-US"/>
        </w:rPr>
        <w:t>Familiare</w:t>
      </w:r>
      <w:proofErr w:type="spellEnd"/>
      <w:r w:rsidRPr="00B15A10">
        <w:rPr>
          <w:lang w:val="en-US"/>
        </w:rPr>
        <w:t xml:space="preserve">, 151; Also quoted in </w:t>
      </w:r>
      <w:proofErr w:type="spellStart"/>
      <w:r w:rsidRPr="00B15A10">
        <w:rPr>
          <w:lang w:val="en-US"/>
        </w:rPr>
        <w:t>Fortini</w:t>
      </w:r>
      <w:proofErr w:type="spellEnd"/>
      <w:r w:rsidRPr="00B15A10">
        <w:rPr>
          <w:lang w:val="en-US"/>
        </w:rPr>
        <w:t xml:space="preserve"> Brown, “Children and Education,” 143.</w:t>
      </w:r>
    </w:p>
  </w:footnote>
  <w:footnote w:id="247">
    <w:p w14:paraId="1B1F79B2" w14:textId="77777777" w:rsidR="00182EED" w:rsidRDefault="00182EED" w:rsidP="001840E8">
      <w:pPr>
        <w:pStyle w:val="FootnoteText"/>
      </w:pPr>
      <w:r w:rsidRPr="00391186">
        <w:rPr>
          <w:rStyle w:val="FootnoteReference"/>
        </w:rPr>
        <w:footnoteRef/>
      </w:r>
      <w:r>
        <w:t xml:space="preserve"> </w:t>
      </w:r>
      <w:r w:rsidRPr="00211354">
        <w:rPr>
          <w:lang w:val="en-US"/>
        </w:rPr>
        <w:t>“</w:t>
      </w:r>
      <w:proofErr w:type="spellStart"/>
      <w:r w:rsidRPr="00211354">
        <w:rPr>
          <w:lang w:val="en-US"/>
        </w:rPr>
        <w:t>Suge</w:t>
      </w:r>
      <w:proofErr w:type="spellEnd"/>
      <w:r w:rsidRPr="00211354">
        <w:rPr>
          <w:lang w:val="en-US"/>
        </w:rPr>
        <w:t xml:space="preserve">; </w:t>
      </w:r>
      <w:proofErr w:type="spellStart"/>
      <w:r w:rsidRPr="00211354">
        <w:rPr>
          <w:lang w:val="en-US"/>
        </w:rPr>
        <w:t>canam</w:t>
      </w:r>
      <w:proofErr w:type="spellEnd"/>
      <w:r w:rsidRPr="00211354">
        <w:rPr>
          <w:lang w:val="en-US"/>
        </w:rPr>
        <w:t xml:space="preserve"> </w:t>
      </w:r>
      <w:proofErr w:type="spellStart"/>
      <w:r w:rsidRPr="00211354">
        <w:rPr>
          <w:lang w:val="en-US"/>
        </w:rPr>
        <w:t>tibi</w:t>
      </w:r>
      <w:proofErr w:type="spellEnd"/>
      <w:r w:rsidRPr="00211354">
        <w:rPr>
          <w:lang w:val="en-US"/>
        </w:rPr>
        <w:t xml:space="preserve"> </w:t>
      </w:r>
      <w:proofErr w:type="spellStart"/>
      <w:r w:rsidRPr="00211354">
        <w:rPr>
          <w:lang w:val="en-US"/>
        </w:rPr>
        <w:t>naeniolam</w:t>
      </w:r>
      <w:proofErr w:type="spellEnd"/>
      <w:r w:rsidRPr="00211354">
        <w:rPr>
          <w:lang w:val="en-US"/>
        </w:rPr>
        <w:t xml:space="preserve">. Nae… </w:t>
      </w:r>
      <w:proofErr w:type="spellStart"/>
      <w:r w:rsidRPr="00211354">
        <w:rPr>
          <w:lang w:val="en-US"/>
        </w:rPr>
        <w:t>naenia</w:t>
      </w:r>
      <w:proofErr w:type="spellEnd"/>
      <w:r w:rsidRPr="00211354">
        <w:rPr>
          <w:lang w:val="en-US"/>
        </w:rPr>
        <w:t xml:space="preserve"> </w:t>
      </w:r>
      <w:proofErr w:type="spellStart"/>
      <w:r w:rsidRPr="00211354">
        <w:rPr>
          <w:lang w:val="en-US"/>
        </w:rPr>
        <w:t>nonne</w:t>
      </w:r>
      <w:proofErr w:type="spellEnd"/>
      <w:r w:rsidRPr="00211354">
        <w:rPr>
          <w:lang w:val="en-US"/>
        </w:rPr>
        <w:t xml:space="preserve">/ nota </w:t>
      </w:r>
      <w:proofErr w:type="spellStart"/>
      <w:r w:rsidRPr="00211354">
        <w:rPr>
          <w:lang w:val="en-US"/>
        </w:rPr>
        <w:t>tibi</w:t>
      </w:r>
      <w:proofErr w:type="spellEnd"/>
      <w:r w:rsidRPr="00211354">
        <w:rPr>
          <w:lang w:val="en-US"/>
        </w:rPr>
        <w:t xml:space="preserve">, </w:t>
      </w:r>
      <w:proofErr w:type="spellStart"/>
      <w:r w:rsidRPr="00211354">
        <w:rPr>
          <w:lang w:val="en-US"/>
        </w:rPr>
        <w:t>nate</w:t>
      </w:r>
      <w:proofErr w:type="spellEnd"/>
      <w:r w:rsidRPr="00211354">
        <w:rPr>
          <w:lang w:val="en-US"/>
        </w:rPr>
        <w:t xml:space="preserve">, </w:t>
      </w:r>
      <w:proofErr w:type="spellStart"/>
      <w:r w:rsidRPr="00211354">
        <w:rPr>
          <w:lang w:val="en-US"/>
        </w:rPr>
        <w:t>est</w:t>
      </w:r>
      <w:proofErr w:type="spellEnd"/>
      <w:r w:rsidRPr="00211354">
        <w:rPr>
          <w:lang w:val="en-US"/>
        </w:rPr>
        <w:t xml:space="preserve"> </w:t>
      </w:r>
      <w:proofErr w:type="spellStart"/>
      <w:r w:rsidRPr="00211354">
        <w:rPr>
          <w:lang w:val="en-US"/>
        </w:rPr>
        <w:t>naenia</w:t>
      </w:r>
      <w:proofErr w:type="spellEnd"/>
      <w:r w:rsidRPr="00211354">
        <w:rPr>
          <w:lang w:val="en-US"/>
        </w:rPr>
        <w:t xml:space="preserve"> </w:t>
      </w:r>
      <w:proofErr w:type="spellStart"/>
      <w:r w:rsidRPr="00211354">
        <w:rPr>
          <w:lang w:val="en-US"/>
        </w:rPr>
        <w:t>naeniola</w:t>
      </w:r>
      <w:proofErr w:type="spellEnd"/>
      <w:r w:rsidRPr="00211354">
        <w:rPr>
          <w:lang w:val="en-US"/>
        </w:rPr>
        <w:t xml:space="preserve">?” Quoted in </w:t>
      </w:r>
      <w:proofErr w:type="spellStart"/>
      <w:r w:rsidRPr="00211354">
        <w:rPr>
          <w:lang w:val="en-US"/>
        </w:rPr>
        <w:t>Lauro</w:t>
      </w:r>
      <w:proofErr w:type="spellEnd"/>
      <w:r w:rsidRPr="00211354">
        <w:rPr>
          <w:lang w:val="en-US"/>
        </w:rPr>
        <w:t xml:space="preserve"> </w:t>
      </w:r>
      <w:proofErr w:type="spellStart"/>
      <w:r w:rsidRPr="00211354">
        <w:rPr>
          <w:lang w:val="en-US"/>
        </w:rPr>
        <w:t>Martines</w:t>
      </w:r>
      <w:proofErr w:type="spellEnd"/>
      <w:r w:rsidRPr="00211354">
        <w:rPr>
          <w:lang w:val="en-US"/>
        </w:rPr>
        <w:t xml:space="preserve">, </w:t>
      </w:r>
      <w:r w:rsidRPr="00211354">
        <w:rPr>
          <w:i/>
          <w:iCs/>
          <w:lang w:val="en-US"/>
        </w:rPr>
        <w:t>Strong Words: Writing &amp; Social Strain in the Italian Renaissance</w:t>
      </w:r>
      <w:r w:rsidRPr="00211354">
        <w:rPr>
          <w:lang w:val="en-US"/>
        </w:rPr>
        <w:t xml:space="preserve"> (Baltimore: Johns Hopkins University Press, 2001), 51–52.</w:t>
      </w:r>
      <w:r>
        <w:rPr>
          <w:lang w:val="en-US"/>
        </w:rPr>
        <w:t xml:space="preserve"> </w:t>
      </w:r>
      <w:r w:rsidRPr="00B15A10">
        <w:rPr>
          <w:lang w:val="en-US"/>
        </w:rPr>
        <w:t xml:space="preserve">Giovanni </w:t>
      </w:r>
      <w:proofErr w:type="spellStart"/>
      <w:r w:rsidRPr="00B15A10">
        <w:rPr>
          <w:lang w:val="en-US"/>
        </w:rPr>
        <w:t>Pontano</w:t>
      </w:r>
      <w:proofErr w:type="spellEnd"/>
      <w:r w:rsidRPr="00B15A10">
        <w:rPr>
          <w:lang w:val="en-US"/>
        </w:rPr>
        <w:t xml:space="preserve"> wrote twelve Latin lullabies, </w:t>
      </w:r>
      <w:proofErr w:type="spellStart"/>
      <w:r w:rsidRPr="00B15A10">
        <w:rPr>
          <w:i/>
          <w:iCs/>
          <w:lang w:val="en-US"/>
        </w:rPr>
        <w:t>Neniae</w:t>
      </w:r>
      <w:proofErr w:type="spellEnd"/>
      <w:r w:rsidRPr="00B15A10">
        <w:rPr>
          <w:lang w:val="en-US"/>
        </w:rPr>
        <w:t xml:space="preserve">, for his son Lucio between 1469-1471, published posthumously in 1505 as part of his De amore </w:t>
      </w:r>
      <w:proofErr w:type="spellStart"/>
      <w:r w:rsidRPr="00B15A10">
        <w:rPr>
          <w:lang w:val="en-US"/>
        </w:rPr>
        <w:t>coniugali</w:t>
      </w:r>
      <w:proofErr w:type="spellEnd"/>
      <w:r w:rsidRPr="00B15A10">
        <w:rPr>
          <w:lang w:val="en-US"/>
        </w:rPr>
        <w:t xml:space="preserve">; see Bruno </w:t>
      </w:r>
      <w:proofErr w:type="spellStart"/>
      <w:r w:rsidRPr="00B15A10">
        <w:rPr>
          <w:lang w:val="en-US"/>
        </w:rPr>
        <w:t>Figliuolo</w:t>
      </w:r>
      <w:proofErr w:type="spellEnd"/>
      <w:r w:rsidRPr="00B15A10">
        <w:rPr>
          <w:lang w:val="en-US"/>
        </w:rPr>
        <w:t>, “</w:t>
      </w:r>
      <w:proofErr w:type="spellStart"/>
      <w:r w:rsidRPr="00B15A10">
        <w:rPr>
          <w:lang w:val="en-US"/>
        </w:rPr>
        <w:t>Pontano</w:t>
      </w:r>
      <w:proofErr w:type="spellEnd"/>
      <w:r w:rsidRPr="00B15A10">
        <w:rPr>
          <w:lang w:val="en-US"/>
        </w:rPr>
        <w:t xml:space="preserve">, Giovanni,” 2015, </w:t>
      </w:r>
      <w:hyperlink r:id="rId1" w:history="1">
        <w:r w:rsidRPr="007C10A2">
          <w:rPr>
            <w:rStyle w:val="Hyperlink"/>
            <w:lang w:val="en-US"/>
          </w:rPr>
          <w:t>http://www.treccani.it/enciclopedia/giovanni-pontano_%28Dizionario-Biografico%29/</w:t>
        </w:r>
      </w:hyperlink>
      <w:r w:rsidRPr="00B15A10">
        <w:rPr>
          <w:lang w:val="en-US"/>
        </w:rPr>
        <w:t>.</w:t>
      </w:r>
      <w:r>
        <w:rPr>
          <w:lang w:val="en-US"/>
        </w:rPr>
        <w:t xml:space="preserve"> </w:t>
      </w:r>
      <w:r w:rsidRPr="00B15A10">
        <w:rPr>
          <w:lang w:val="en-US"/>
        </w:rPr>
        <w:t>Later examples of the practice of singing lullabies are mentioned in Dennis, “Music,” 239.</w:t>
      </w:r>
    </w:p>
  </w:footnote>
  <w:footnote w:id="248">
    <w:p w14:paraId="218C51D8" w14:textId="77777777" w:rsidR="00182EED" w:rsidRDefault="00182EED" w:rsidP="001840E8">
      <w:pPr>
        <w:pStyle w:val="FootnoteText"/>
      </w:pPr>
      <w:r w:rsidRPr="00391186">
        <w:rPr>
          <w:rStyle w:val="FootnoteReference"/>
        </w:rPr>
        <w:footnoteRef/>
      </w:r>
      <w:r>
        <w:t xml:space="preserve"> </w:t>
      </w:r>
      <w:r w:rsidRPr="00211354">
        <w:rPr>
          <w:lang w:val="en-US"/>
        </w:rPr>
        <w:t xml:space="preserve">The role of music in the educational </w:t>
      </w:r>
      <w:proofErr w:type="spellStart"/>
      <w:r w:rsidRPr="00211354">
        <w:rPr>
          <w:lang w:val="en-US"/>
        </w:rPr>
        <w:t>programme</w:t>
      </w:r>
      <w:proofErr w:type="spellEnd"/>
      <w:r w:rsidRPr="00211354">
        <w:rPr>
          <w:lang w:val="en-US"/>
        </w:rPr>
        <w:t xml:space="preserve"> of the Middle Ages and the Renaissance has been discussed by, among others, Susan </w:t>
      </w:r>
      <w:proofErr w:type="spellStart"/>
      <w:r w:rsidRPr="00211354">
        <w:rPr>
          <w:lang w:val="en-US"/>
        </w:rPr>
        <w:t>Forscher</w:t>
      </w:r>
      <w:proofErr w:type="spellEnd"/>
      <w:r w:rsidRPr="00211354">
        <w:rPr>
          <w:lang w:val="en-US"/>
        </w:rPr>
        <w:t xml:space="preserve"> Weiss, Russell E. Murray Jr, and Cynthia J. Cyrus, eds., </w:t>
      </w:r>
      <w:r w:rsidRPr="00211354">
        <w:rPr>
          <w:i/>
          <w:iCs/>
          <w:lang w:val="en-US"/>
        </w:rPr>
        <w:t>Music Education in the Middle Ages and the Renaissance</w:t>
      </w:r>
      <w:r w:rsidRPr="00211354">
        <w:rPr>
          <w:lang w:val="en-US"/>
        </w:rPr>
        <w:t xml:space="preserve"> (Bloomington and Indianapolis: Indiana University Press, 2010), 2010; Claudio </w:t>
      </w:r>
      <w:proofErr w:type="spellStart"/>
      <w:r w:rsidRPr="00211354">
        <w:rPr>
          <w:lang w:val="en-US"/>
        </w:rPr>
        <w:t>Gallico</w:t>
      </w:r>
      <w:proofErr w:type="spellEnd"/>
      <w:r w:rsidRPr="00211354">
        <w:rPr>
          <w:lang w:val="en-US"/>
        </w:rPr>
        <w:t>, “</w:t>
      </w:r>
      <w:proofErr w:type="spellStart"/>
      <w:r w:rsidRPr="00211354">
        <w:rPr>
          <w:lang w:val="en-US"/>
        </w:rPr>
        <w:t>Musica</w:t>
      </w:r>
      <w:proofErr w:type="spellEnd"/>
      <w:r w:rsidRPr="00211354">
        <w:rPr>
          <w:lang w:val="en-US"/>
        </w:rPr>
        <w:t xml:space="preserve"> </w:t>
      </w:r>
      <w:proofErr w:type="spellStart"/>
      <w:r w:rsidRPr="00211354">
        <w:rPr>
          <w:lang w:val="en-US"/>
        </w:rPr>
        <w:t>nella</w:t>
      </w:r>
      <w:proofErr w:type="spellEnd"/>
      <w:r w:rsidRPr="00211354">
        <w:rPr>
          <w:lang w:val="en-US"/>
        </w:rPr>
        <w:t xml:space="preserve"> Ca’ </w:t>
      </w:r>
      <w:proofErr w:type="spellStart"/>
      <w:r w:rsidRPr="00211354">
        <w:rPr>
          <w:lang w:val="en-US"/>
        </w:rPr>
        <w:t>Giocosa</w:t>
      </w:r>
      <w:proofErr w:type="spellEnd"/>
      <w:r w:rsidRPr="00211354">
        <w:rPr>
          <w:lang w:val="en-US"/>
        </w:rPr>
        <w:t xml:space="preserve">,” in </w:t>
      </w:r>
      <w:proofErr w:type="spellStart"/>
      <w:r w:rsidRPr="00211354">
        <w:rPr>
          <w:i/>
          <w:iCs/>
          <w:lang w:val="en-US"/>
        </w:rPr>
        <w:t>Vittorino</w:t>
      </w:r>
      <w:proofErr w:type="spellEnd"/>
      <w:r w:rsidRPr="00211354">
        <w:rPr>
          <w:i/>
          <w:iCs/>
          <w:lang w:val="en-US"/>
        </w:rPr>
        <w:t xml:space="preserve"> da Feltre e la </w:t>
      </w:r>
      <w:proofErr w:type="spellStart"/>
      <w:r w:rsidRPr="00211354">
        <w:rPr>
          <w:i/>
          <w:iCs/>
          <w:lang w:val="en-US"/>
        </w:rPr>
        <w:t>sua</w:t>
      </w:r>
      <w:proofErr w:type="spellEnd"/>
      <w:r w:rsidRPr="00211354">
        <w:rPr>
          <w:i/>
          <w:iCs/>
          <w:lang w:val="en-US"/>
        </w:rPr>
        <w:t xml:space="preserve"> </w:t>
      </w:r>
      <w:proofErr w:type="spellStart"/>
      <w:r w:rsidRPr="00211354">
        <w:rPr>
          <w:i/>
          <w:iCs/>
          <w:lang w:val="en-US"/>
        </w:rPr>
        <w:t>scuola</w:t>
      </w:r>
      <w:proofErr w:type="spellEnd"/>
      <w:r w:rsidRPr="00211354">
        <w:rPr>
          <w:i/>
          <w:iCs/>
          <w:lang w:val="en-US"/>
        </w:rPr>
        <w:t xml:space="preserve">: </w:t>
      </w:r>
      <w:proofErr w:type="spellStart"/>
      <w:r w:rsidRPr="00211354">
        <w:rPr>
          <w:i/>
          <w:iCs/>
          <w:lang w:val="en-US"/>
        </w:rPr>
        <w:t>Umanesimo</w:t>
      </w:r>
      <w:proofErr w:type="spellEnd"/>
      <w:r w:rsidRPr="00211354">
        <w:rPr>
          <w:i/>
          <w:iCs/>
          <w:lang w:val="en-US"/>
        </w:rPr>
        <w:t xml:space="preserve">, </w:t>
      </w:r>
      <w:proofErr w:type="spellStart"/>
      <w:r w:rsidRPr="00211354">
        <w:rPr>
          <w:i/>
          <w:iCs/>
          <w:lang w:val="en-US"/>
        </w:rPr>
        <w:t>Pedagogia</w:t>
      </w:r>
      <w:proofErr w:type="spellEnd"/>
      <w:r w:rsidRPr="00211354">
        <w:rPr>
          <w:i/>
          <w:iCs/>
          <w:lang w:val="en-US"/>
        </w:rPr>
        <w:t>, Arti</w:t>
      </w:r>
      <w:r w:rsidRPr="00211354">
        <w:rPr>
          <w:lang w:val="en-US"/>
        </w:rPr>
        <w:t xml:space="preserve">, ed. Nella </w:t>
      </w:r>
      <w:proofErr w:type="spellStart"/>
      <w:r w:rsidRPr="00211354">
        <w:rPr>
          <w:lang w:val="en-US"/>
        </w:rPr>
        <w:t>Giannetto</w:t>
      </w:r>
      <w:proofErr w:type="spellEnd"/>
      <w:r w:rsidRPr="00211354">
        <w:rPr>
          <w:lang w:val="en-US"/>
        </w:rPr>
        <w:t xml:space="preserve"> (Florence: Leo S. </w:t>
      </w:r>
      <w:proofErr w:type="spellStart"/>
      <w:r w:rsidRPr="00211354">
        <w:rPr>
          <w:lang w:val="en-US"/>
        </w:rPr>
        <w:t>Olschki</w:t>
      </w:r>
      <w:proofErr w:type="spellEnd"/>
      <w:r w:rsidRPr="00211354">
        <w:rPr>
          <w:lang w:val="en-US"/>
        </w:rPr>
        <w:t xml:space="preserve"> </w:t>
      </w:r>
      <w:proofErr w:type="spellStart"/>
      <w:r w:rsidRPr="00211354">
        <w:rPr>
          <w:lang w:val="en-US"/>
        </w:rPr>
        <w:t>Editore</w:t>
      </w:r>
      <w:proofErr w:type="spellEnd"/>
      <w:r w:rsidRPr="00211354">
        <w:rPr>
          <w:lang w:val="en-US"/>
        </w:rPr>
        <w:t xml:space="preserve">, 1981), 189–98; Stefano Lorenzetti, </w:t>
      </w:r>
      <w:proofErr w:type="spellStart"/>
      <w:r w:rsidRPr="00211354">
        <w:rPr>
          <w:i/>
          <w:iCs/>
          <w:lang w:val="en-US"/>
        </w:rPr>
        <w:t>Musica</w:t>
      </w:r>
      <w:proofErr w:type="spellEnd"/>
      <w:r w:rsidRPr="00211354">
        <w:rPr>
          <w:i/>
          <w:iCs/>
          <w:lang w:val="en-US"/>
        </w:rPr>
        <w:t xml:space="preserve"> e </w:t>
      </w:r>
      <w:proofErr w:type="spellStart"/>
      <w:r w:rsidRPr="00211354">
        <w:rPr>
          <w:i/>
          <w:iCs/>
          <w:lang w:val="en-US"/>
        </w:rPr>
        <w:t>identità</w:t>
      </w:r>
      <w:proofErr w:type="spellEnd"/>
      <w:r w:rsidRPr="00211354">
        <w:rPr>
          <w:i/>
          <w:iCs/>
          <w:lang w:val="en-US"/>
        </w:rPr>
        <w:t xml:space="preserve"> </w:t>
      </w:r>
      <w:proofErr w:type="spellStart"/>
      <w:r w:rsidRPr="00211354">
        <w:rPr>
          <w:i/>
          <w:iCs/>
          <w:lang w:val="en-US"/>
        </w:rPr>
        <w:t>nobiliare</w:t>
      </w:r>
      <w:proofErr w:type="spellEnd"/>
      <w:r w:rsidRPr="00211354">
        <w:rPr>
          <w:i/>
          <w:iCs/>
          <w:lang w:val="en-US"/>
        </w:rPr>
        <w:t xml:space="preserve"> </w:t>
      </w:r>
      <w:proofErr w:type="spellStart"/>
      <w:r w:rsidRPr="00211354">
        <w:rPr>
          <w:i/>
          <w:iCs/>
          <w:lang w:val="en-US"/>
        </w:rPr>
        <w:t>nell’Italia</w:t>
      </w:r>
      <w:proofErr w:type="spellEnd"/>
      <w:r w:rsidRPr="00211354">
        <w:rPr>
          <w:i/>
          <w:iCs/>
          <w:lang w:val="en-US"/>
        </w:rPr>
        <w:t xml:space="preserve"> del </w:t>
      </w:r>
      <w:proofErr w:type="spellStart"/>
      <w:r w:rsidRPr="00211354">
        <w:rPr>
          <w:i/>
          <w:iCs/>
          <w:lang w:val="en-US"/>
        </w:rPr>
        <w:t>Rinascimento</w:t>
      </w:r>
      <w:proofErr w:type="spellEnd"/>
      <w:r w:rsidRPr="00211354">
        <w:rPr>
          <w:i/>
          <w:iCs/>
          <w:lang w:val="en-US"/>
        </w:rPr>
        <w:t xml:space="preserve">. </w:t>
      </w:r>
      <w:proofErr w:type="spellStart"/>
      <w:r w:rsidRPr="00211354">
        <w:rPr>
          <w:i/>
          <w:iCs/>
          <w:lang w:val="en-US"/>
        </w:rPr>
        <w:t>Educazione</w:t>
      </w:r>
      <w:proofErr w:type="spellEnd"/>
      <w:r w:rsidRPr="00211354">
        <w:rPr>
          <w:i/>
          <w:iCs/>
          <w:lang w:val="en-US"/>
        </w:rPr>
        <w:t xml:space="preserve">, </w:t>
      </w:r>
      <w:proofErr w:type="spellStart"/>
      <w:r w:rsidRPr="00211354">
        <w:rPr>
          <w:i/>
          <w:iCs/>
          <w:lang w:val="en-US"/>
        </w:rPr>
        <w:t>mentalità</w:t>
      </w:r>
      <w:proofErr w:type="spellEnd"/>
      <w:r w:rsidRPr="00211354">
        <w:rPr>
          <w:i/>
          <w:iCs/>
          <w:lang w:val="en-US"/>
        </w:rPr>
        <w:t xml:space="preserve">, </w:t>
      </w:r>
      <w:proofErr w:type="spellStart"/>
      <w:r w:rsidRPr="00211354">
        <w:rPr>
          <w:i/>
          <w:iCs/>
          <w:lang w:val="en-US"/>
        </w:rPr>
        <w:t>immaginario</w:t>
      </w:r>
      <w:proofErr w:type="spellEnd"/>
      <w:r w:rsidRPr="00211354">
        <w:rPr>
          <w:lang w:val="en-US"/>
        </w:rPr>
        <w:t xml:space="preserve"> (Florence: Leo S. </w:t>
      </w:r>
      <w:proofErr w:type="spellStart"/>
      <w:r w:rsidRPr="00211354">
        <w:rPr>
          <w:lang w:val="en-US"/>
        </w:rPr>
        <w:t>Olschki</w:t>
      </w:r>
      <w:proofErr w:type="spellEnd"/>
      <w:r w:rsidRPr="00211354">
        <w:rPr>
          <w:lang w:val="en-US"/>
        </w:rPr>
        <w:t xml:space="preserve">, 2003); Nan Cooke Carpenter, </w:t>
      </w:r>
      <w:r w:rsidRPr="00211354">
        <w:rPr>
          <w:i/>
          <w:iCs/>
          <w:lang w:val="en-US"/>
        </w:rPr>
        <w:t>Music in the Medieval and Renaissance Universities</w:t>
      </w:r>
      <w:r w:rsidRPr="00211354">
        <w:rPr>
          <w:lang w:val="en-US"/>
        </w:rPr>
        <w:t xml:space="preserve"> (Norman: University of Oklahoma Press, 1958); Leeman Lloyd Perkins, </w:t>
      </w:r>
      <w:r w:rsidRPr="00211354">
        <w:rPr>
          <w:i/>
          <w:iCs/>
          <w:lang w:val="en-US"/>
        </w:rPr>
        <w:t>Music in the Age of the Renaissance</w:t>
      </w:r>
      <w:r w:rsidRPr="00211354">
        <w:rPr>
          <w:lang w:val="en-US"/>
        </w:rPr>
        <w:t xml:space="preserve"> (New York and London: Norton, 1999), 74–87 and 135–49.</w:t>
      </w:r>
    </w:p>
  </w:footnote>
  <w:footnote w:id="249">
    <w:p w14:paraId="1F2C9D71" w14:textId="77777777" w:rsidR="00182EED" w:rsidRDefault="00182EED" w:rsidP="001840E8">
      <w:pPr>
        <w:pStyle w:val="FootnoteText"/>
      </w:pPr>
      <w:r w:rsidRPr="00391186">
        <w:rPr>
          <w:rStyle w:val="FootnoteReference"/>
        </w:rPr>
        <w:footnoteRef/>
      </w:r>
      <w:r>
        <w:t xml:space="preserve"> </w:t>
      </w:r>
      <w:proofErr w:type="spellStart"/>
      <w:r w:rsidRPr="00211354">
        <w:rPr>
          <w:lang w:val="en-US"/>
        </w:rPr>
        <w:t>Garin</w:t>
      </w:r>
      <w:proofErr w:type="spellEnd"/>
      <w:r w:rsidRPr="00211354">
        <w:rPr>
          <w:lang w:val="en-US"/>
        </w:rPr>
        <w:t xml:space="preserve">, </w:t>
      </w:r>
      <w:r w:rsidRPr="00211354">
        <w:rPr>
          <w:i/>
          <w:iCs/>
          <w:lang w:val="en-US"/>
        </w:rPr>
        <w:t xml:space="preserve">Il </w:t>
      </w:r>
      <w:proofErr w:type="spellStart"/>
      <w:r w:rsidRPr="00211354">
        <w:rPr>
          <w:i/>
          <w:iCs/>
          <w:lang w:val="en-US"/>
        </w:rPr>
        <w:t>pensiero</w:t>
      </w:r>
      <w:proofErr w:type="spellEnd"/>
      <w:r w:rsidRPr="00211354">
        <w:rPr>
          <w:i/>
          <w:iCs/>
          <w:lang w:val="en-US"/>
        </w:rPr>
        <w:t xml:space="preserve"> </w:t>
      </w:r>
      <w:proofErr w:type="spellStart"/>
      <w:r w:rsidRPr="00211354">
        <w:rPr>
          <w:i/>
          <w:iCs/>
          <w:lang w:val="en-US"/>
        </w:rPr>
        <w:t>pedagogico</w:t>
      </w:r>
      <w:proofErr w:type="spellEnd"/>
      <w:r w:rsidRPr="00211354">
        <w:rPr>
          <w:lang w:val="en-US"/>
        </w:rPr>
        <w:t>, 528–29.</w:t>
      </w:r>
    </w:p>
  </w:footnote>
  <w:footnote w:id="250">
    <w:p w14:paraId="0DA0C6F4" w14:textId="77777777" w:rsidR="00182EED" w:rsidRDefault="00182EED" w:rsidP="001840E8">
      <w:pPr>
        <w:pStyle w:val="FootnoteText"/>
      </w:pPr>
      <w:r w:rsidRPr="00391186">
        <w:rPr>
          <w:rStyle w:val="FootnoteReference"/>
        </w:rPr>
        <w:footnoteRef/>
      </w:r>
      <w:r>
        <w:t xml:space="preserve"> </w:t>
      </w:r>
      <w:r w:rsidRPr="00211354">
        <w:rPr>
          <w:lang w:val="en-US"/>
        </w:rPr>
        <w:t xml:space="preserve">Woodward, </w:t>
      </w:r>
      <w:r w:rsidRPr="00211354">
        <w:rPr>
          <w:i/>
          <w:iCs/>
          <w:lang w:val="en-US"/>
        </w:rPr>
        <w:t>Studies in Education</w:t>
      </w:r>
      <w:r w:rsidRPr="00211354">
        <w:rPr>
          <w:lang w:val="en-US"/>
        </w:rPr>
        <w:t>, 71, 74.</w:t>
      </w:r>
    </w:p>
  </w:footnote>
  <w:footnote w:id="251">
    <w:p w14:paraId="6BFD3C61" w14:textId="77777777" w:rsidR="00182EED" w:rsidRDefault="00182EED" w:rsidP="001840E8">
      <w:pPr>
        <w:pStyle w:val="FootnoteText"/>
      </w:pPr>
      <w:r w:rsidRPr="00391186">
        <w:rPr>
          <w:rStyle w:val="FootnoteReference"/>
        </w:rPr>
        <w:footnoteRef/>
      </w:r>
      <w:r>
        <w:t xml:space="preserve"> </w:t>
      </w:r>
      <w:r w:rsidRPr="00211354">
        <w:rPr>
          <w:lang w:val="en-US"/>
        </w:rPr>
        <w:t xml:space="preserve">James </w:t>
      </w:r>
      <w:proofErr w:type="spellStart"/>
      <w:r w:rsidRPr="00211354">
        <w:rPr>
          <w:lang w:val="en-US"/>
        </w:rPr>
        <w:t>Haar</w:t>
      </w:r>
      <w:proofErr w:type="spellEnd"/>
      <w:r w:rsidRPr="00211354">
        <w:rPr>
          <w:lang w:val="en-US"/>
        </w:rPr>
        <w:t xml:space="preserve">, “Some Introductory Remarks on Musical Pedagogy,” in </w:t>
      </w:r>
      <w:r w:rsidRPr="00211354">
        <w:rPr>
          <w:i/>
          <w:iCs/>
          <w:lang w:val="en-US"/>
        </w:rPr>
        <w:t>Music Education in the Middle Ages and the Renaissance</w:t>
      </w:r>
      <w:r w:rsidRPr="00211354">
        <w:rPr>
          <w:lang w:val="en-US"/>
        </w:rPr>
        <w:t xml:space="preserve">, ed. Susan </w:t>
      </w:r>
      <w:proofErr w:type="spellStart"/>
      <w:r w:rsidRPr="00211354">
        <w:rPr>
          <w:lang w:val="en-US"/>
        </w:rPr>
        <w:t>Forscher</w:t>
      </w:r>
      <w:proofErr w:type="spellEnd"/>
      <w:r w:rsidRPr="00211354">
        <w:rPr>
          <w:lang w:val="en-US"/>
        </w:rPr>
        <w:t xml:space="preserve"> Weiss, Russell E. Murray Jr, and Cynthia J. Cyrus (Bloomington and Indianapolis, IN: Indiana University Press, 2010), 4–6.</w:t>
      </w:r>
    </w:p>
  </w:footnote>
  <w:footnote w:id="252">
    <w:p w14:paraId="6D0248DA" w14:textId="77777777" w:rsidR="00182EED" w:rsidRDefault="00182EED" w:rsidP="001840E8">
      <w:pPr>
        <w:pStyle w:val="FootnoteText"/>
      </w:pPr>
      <w:r w:rsidRPr="00391186">
        <w:rPr>
          <w:rStyle w:val="FootnoteReference"/>
        </w:rPr>
        <w:footnoteRef/>
      </w:r>
      <w:r>
        <w:t xml:space="preserve"> </w:t>
      </w:r>
      <w:r w:rsidRPr="00211354">
        <w:rPr>
          <w:lang w:val="en-US"/>
        </w:rPr>
        <w:t>Ibid., 6</w:t>
      </w:r>
      <w:r>
        <w:rPr>
          <w:lang w:val="en-US"/>
        </w:rPr>
        <w:t>.</w:t>
      </w:r>
      <w:r w:rsidRPr="00211354">
        <w:rPr>
          <w:lang w:val="en-US"/>
        </w:rPr>
        <w:t xml:space="preserve"> On the </w:t>
      </w:r>
      <w:proofErr w:type="spellStart"/>
      <w:r w:rsidRPr="00211354">
        <w:rPr>
          <w:lang w:val="en-US"/>
        </w:rPr>
        <w:t>Guidonian</w:t>
      </w:r>
      <w:proofErr w:type="spellEnd"/>
      <w:r w:rsidRPr="00211354">
        <w:rPr>
          <w:lang w:val="en-US"/>
        </w:rPr>
        <w:t xml:space="preserve"> hand see also Susan </w:t>
      </w:r>
      <w:proofErr w:type="spellStart"/>
      <w:r w:rsidRPr="00211354">
        <w:rPr>
          <w:lang w:val="en-US"/>
        </w:rPr>
        <w:t>Forscher</w:t>
      </w:r>
      <w:proofErr w:type="spellEnd"/>
      <w:r w:rsidRPr="00211354">
        <w:rPr>
          <w:lang w:val="en-US"/>
        </w:rPr>
        <w:t xml:space="preserve"> Weiss, “Vandals, Students, or Scholars? Handwritten Clues in Renaissance Music Textbooks,” in </w:t>
      </w:r>
      <w:r w:rsidRPr="00211354">
        <w:rPr>
          <w:i/>
          <w:iCs/>
          <w:lang w:val="en-US"/>
        </w:rPr>
        <w:t>Music Education in the Middle Ages and the Renaissance</w:t>
      </w:r>
      <w:r w:rsidRPr="00211354">
        <w:rPr>
          <w:lang w:val="en-US"/>
        </w:rPr>
        <w:t xml:space="preserve">, ed. Russell E. Murray Jr., Susan </w:t>
      </w:r>
      <w:proofErr w:type="spellStart"/>
      <w:r w:rsidRPr="00211354">
        <w:rPr>
          <w:lang w:val="en-US"/>
        </w:rPr>
        <w:t>Forscher</w:t>
      </w:r>
      <w:proofErr w:type="spellEnd"/>
      <w:r w:rsidRPr="00211354">
        <w:rPr>
          <w:lang w:val="en-US"/>
        </w:rPr>
        <w:t xml:space="preserve"> Weiss, and Cynthia J. Cyrus (Bloomington and Indianapolis, IN: Indiana University Press, 2010), 207–8.</w:t>
      </w:r>
    </w:p>
  </w:footnote>
  <w:footnote w:id="253">
    <w:p w14:paraId="0BB1B787" w14:textId="77777777" w:rsidR="00182EED" w:rsidRDefault="00182EED" w:rsidP="001840E8">
      <w:pPr>
        <w:pStyle w:val="FootnoteText"/>
      </w:pPr>
      <w:r w:rsidRPr="00391186">
        <w:rPr>
          <w:rStyle w:val="FootnoteReference"/>
        </w:rPr>
        <w:footnoteRef/>
      </w:r>
      <w:r>
        <w:t xml:space="preserve"> </w:t>
      </w:r>
      <w:r w:rsidRPr="00211354">
        <w:rPr>
          <w:lang w:val="en-US"/>
        </w:rPr>
        <w:t>“</w:t>
      </w:r>
      <w:proofErr w:type="spellStart"/>
      <w:r w:rsidRPr="00211354">
        <w:rPr>
          <w:lang w:val="en-US"/>
        </w:rPr>
        <w:t>Nec</w:t>
      </w:r>
      <w:proofErr w:type="spellEnd"/>
      <w:r w:rsidRPr="00211354">
        <w:rPr>
          <w:lang w:val="en-US"/>
        </w:rPr>
        <w:t xml:space="preserve"> </w:t>
      </w:r>
      <w:proofErr w:type="spellStart"/>
      <w:r w:rsidRPr="00211354">
        <w:rPr>
          <w:lang w:val="en-US"/>
        </w:rPr>
        <w:t>atrocior</w:t>
      </w:r>
      <w:proofErr w:type="spellEnd"/>
      <w:r w:rsidRPr="00211354">
        <w:rPr>
          <w:lang w:val="en-US"/>
        </w:rPr>
        <w:t xml:space="preserve"> </w:t>
      </w:r>
      <w:proofErr w:type="spellStart"/>
      <w:r w:rsidRPr="00211354">
        <w:rPr>
          <w:lang w:val="en-US"/>
        </w:rPr>
        <w:t>iniuria</w:t>
      </w:r>
      <w:proofErr w:type="spellEnd"/>
      <w:r w:rsidRPr="00211354">
        <w:rPr>
          <w:lang w:val="en-US"/>
        </w:rPr>
        <w:t xml:space="preserve"> </w:t>
      </w:r>
      <w:proofErr w:type="spellStart"/>
      <w:r w:rsidRPr="00211354">
        <w:rPr>
          <w:lang w:val="en-US"/>
        </w:rPr>
        <w:t>musico</w:t>
      </w:r>
      <w:proofErr w:type="spellEnd"/>
      <w:r w:rsidRPr="00211354">
        <w:rPr>
          <w:lang w:val="en-US"/>
        </w:rPr>
        <w:t xml:space="preserve"> dicta </w:t>
      </w:r>
      <w:proofErr w:type="spellStart"/>
      <w:r w:rsidRPr="00211354">
        <w:rPr>
          <w:lang w:val="en-US"/>
        </w:rPr>
        <w:t>putetur</w:t>
      </w:r>
      <w:proofErr w:type="spellEnd"/>
      <w:r w:rsidRPr="00211354">
        <w:rPr>
          <w:lang w:val="en-US"/>
        </w:rPr>
        <w:t xml:space="preserve">, </w:t>
      </w:r>
      <w:proofErr w:type="spellStart"/>
      <w:r w:rsidRPr="00211354">
        <w:rPr>
          <w:lang w:val="en-US"/>
        </w:rPr>
        <w:t>quam</w:t>
      </w:r>
      <w:proofErr w:type="spellEnd"/>
      <w:r w:rsidRPr="00211354">
        <w:rPr>
          <w:lang w:val="en-US"/>
        </w:rPr>
        <w:t xml:space="preserve"> </w:t>
      </w:r>
      <w:proofErr w:type="spellStart"/>
      <w:r w:rsidRPr="00211354">
        <w:rPr>
          <w:lang w:val="en-US"/>
        </w:rPr>
        <w:t>si</w:t>
      </w:r>
      <w:proofErr w:type="spellEnd"/>
      <w:r w:rsidRPr="00211354">
        <w:rPr>
          <w:lang w:val="en-US"/>
        </w:rPr>
        <w:t xml:space="preserve"> </w:t>
      </w:r>
      <w:proofErr w:type="spellStart"/>
      <w:r w:rsidRPr="00211354">
        <w:rPr>
          <w:lang w:val="en-US"/>
        </w:rPr>
        <w:t>manum</w:t>
      </w:r>
      <w:proofErr w:type="spellEnd"/>
      <w:r w:rsidRPr="00211354">
        <w:rPr>
          <w:lang w:val="en-US"/>
        </w:rPr>
        <w:t xml:space="preserve"> </w:t>
      </w:r>
      <w:proofErr w:type="spellStart"/>
      <w:r w:rsidRPr="00211354">
        <w:rPr>
          <w:lang w:val="en-US"/>
        </w:rPr>
        <w:t>suam</w:t>
      </w:r>
      <w:proofErr w:type="spellEnd"/>
      <w:r w:rsidRPr="00211354">
        <w:rPr>
          <w:lang w:val="en-US"/>
        </w:rPr>
        <w:t xml:space="preserve"> </w:t>
      </w:r>
      <w:proofErr w:type="spellStart"/>
      <w:r w:rsidRPr="00211354">
        <w:rPr>
          <w:lang w:val="en-US"/>
        </w:rPr>
        <w:t>nescire</w:t>
      </w:r>
      <w:proofErr w:type="spellEnd"/>
      <w:r w:rsidRPr="00211354">
        <w:rPr>
          <w:lang w:val="en-US"/>
        </w:rPr>
        <w:t xml:space="preserve"> </w:t>
      </w:r>
      <w:proofErr w:type="spellStart"/>
      <w:r w:rsidRPr="00211354">
        <w:rPr>
          <w:lang w:val="en-US"/>
        </w:rPr>
        <w:t>dicatur</w:t>
      </w:r>
      <w:proofErr w:type="spellEnd"/>
      <w:r w:rsidRPr="00211354">
        <w:rPr>
          <w:lang w:val="en-US"/>
        </w:rPr>
        <w:t xml:space="preserve">.” Johannes Tinctoris, </w:t>
      </w:r>
      <w:proofErr w:type="spellStart"/>
      <w:r w:rsidRPr="00211354">
        <w:rPr>
          <w:i/>
          <w:iCs/>
          <w:lang w:val="en-US"/>
        </w:rPr>
        <w:t>Expositio</w:t>
      </w:r>
      <w:proofErr w:type="spellEnd"/>
      <w:r w:rsidRPr="00211354">
        <w:rPr>
          <w:i/>
          <w:iCs/>
          <w:lang w:val="en-US"/>
        </w:rPr>
        <w:t xml:space="preserve"> Manus </w:t>
      </w:r>
      <w:proofErr w:type="spellStart"/>
      <w:r w:rsidRPr="00211354">
        <w:rPr>
          <w:i/>
          <w:iCs/>
          <w:lang w:val="en-US"/>
        </w:rPr>
        <w:t>Secundum</w:t>
      </w:r>
      <w:proofErr w:type="spellEnd"/>
      <w:r w:rsidRPr="00211354">
        <w:rPr>
          <w:i/>
          <w:iCs/>
          <w:lang w:val="en-US"/>
        </w:rPr>
        <w:t xml:space="preserve"> </w:t>
      </w:r>
      <w:proofErr w:type="spellStart"/>
      <w:r w:rsidRPr="00211354">
        <w:rPr>
          <w:i/>
          <w:iCs/>
          <w:lang w:val="en-US"/>
        </w:rPr>
        <w:t>Magistrum</w:t>
      </w:r>
      <w:proofErr w:type="spellEnd"/>
      <w:r w:rsidRPr="00211354">
        <w:rPr>
          <w:i/>
          <w:iCs/>
          <w:lang w:val="en-US"/>
        </w:rPr>
        <w:t xml:space="preserve"> </w:t>
      </w:r>
      <w:proofErr w:type="spellStart"/>
      <w:r w:rsidRPr="00211354">
        <w:rPr>
          <w:i/>
          <w:iCs/>
          <w:lang w:val="en-US"/>
        </w:rPr>
        <w:t>Iohannem</w:t>
      </w:r>
      <w:proofErr w:type="spellEnd"/>
      <w:r w:rsidRPr="00211354">
        <w:rPr>
          <w:i/>
          <w:iCs/>
          <w:lang w:val="en-US"/>
        </w:rPr>
        <w:t xml:space="preserve"> Tinctoris in </w:t>
      </w:r>
      <w:proofErr w:type="spellStart"/>
      <w:r w:rsidRPr="00211354">
        <w:rPr>
          <w:i/>
          <w:iCs/>
          <w:lang w:val="en-US"/>
        </w:rPr>
        <w:t>Legibus</w:t>
      </w:r>
      <w:proofErr w:type="spellEnd"/>
      <w:r w:rsidRPr="00211354">
        <w:rPr>
          <w:i/>
          <w:iCs/>
          <w:lang w:val="en-US"/>
        </w:rPr>
        <w:t xml:space="preserve"> </w:t>
      </w:r>
      <w:proofErr w:type="spellStart"/>
      <w:r w:rsidRPr="00211354">
        <w:rPr>
          <w:i/>
          <w:iCs/>
          <w:lang w:val="en-US"/>
        </w:rPr>
        <w:t>Licentiatum</w:t>
      </w:r>
      <w:proofErr w:type="spellEnd"/>
      <w:r w:rsidRPr="00211354">
        <w:rPr>
          <w:i/>
          <w:iCs/>
          <w:lang w:val="en-US"/>
        </w:rPr>
        <w:t xml:space="preserve"> Ac Regis </w:t>
      </w:r>
      <w:proofErr w:type="spellStart"/>
      <w:r w:rsidRPr="00211354">
        <w:rPr>
          <w:i/>
          <w:iCs/>
          <w:lang w:val="en-US"/>
        </w:rPr>
        <w:t>Sicilie</w:t>
      </w:r>
      <w:proofErr w:type="spellEnd"/>
      <w:r w:rsidRPr="00211354">
        <w:rPr>
          <w:i/>
          <w:iCs/>
          <w:lang w:val="en-US"/>
        </w:rPr>
        <w:t xml:space="preserve"> </w:t>
      </w:r>
      <w:proofErr w:type="spellStart"/>
      <w:r w:rsidRPr="00211354">
        <w:rPr>
          <w:i/>
          <w:iCs/>
          <w:lang w:val="en-US"/>
        </w:rPr>
        <w:t>Capellanum</w:t>
      </w:r>
      <w:proofErr w:type="spellEnd"/>
      <w:r w:rsidRPr="00211354">
        <w:rPr>
          <w:lang w:val="en-US"/>
        </w:rPr>
        <w:t xml:space="preserve">, lines 15-17, accessed April 20, 2017, http://www.stoa.org/tinctoris/expositio_manus/expositio_manus.html; See also Albert Seay, “The </w:t>
      </w:r>
      <w:proofErr w:type="spellStart"/>
      <w:r w:rsidRPr="00211354">
        <w:rPr>
          <w:lang w:val="en-US"/>
        </w:rPr>
        <w:t>Expositio</w:t>
      </w:r>
      <w:proofErr w:type="spellEnd"/>
      <w:r w:rsidRPr="00211354">
        <w:rPr>
          <w:lang w:val="en-US"/>
        </w:rPr>
        <w:t xml:space="preserve"> Manus of Johannes Tinctoris,” </w:t>
      </w:r>
      <w:r w:rsidRPr="00211354">
        <w:rPr>
          <w:i/>
          <w:iCs/>
          <w:lang w:val="en-US"/>
        </w:rPr>
        <w:t>Journal of Music Theory</w:t>
      </w:r>
      <w:r w:rsidRPr="00211354">
        <w:rPr>
          <w:lang w:val="en-US"/>
        </w:rPr>
        <w:t xml:space="preserve"> 9, no. 2 (Winter 1965): 43; Susan </w:t>
      </w:r>
      <w:proofErr w:type="spellStart"/>
      <w:r w:rsidRPr="00211354">
        <w:rPr>
          <w:lang w:val="en-US"/>
        </w:rPr>
        <w:t>Forscher</w:t>
      </w:r>
      <w:proofErr w:type="spellEnd"/>
      <w:r w:rsidRPr="00211354">
        <w:rPr>
          <w:lang w:val="en-US"/>
        </w:rPr>
        <w:t xml:space="preserve"> Weiss, “</w:t>
      </w:r>
      <w:proofErr w:type="spellStart"/>
      <w:r w:rsidRPr="00211354">
        <w:rPr>
          <w:lang w:val="en-US"/>
        </w:rPr>
        <w:t>Disce</w:t>
      </w:r>
      <w:proofErr w:type="spellEnd"/>
      <w:r w:rsidRPr="00211354">
        <w:rPr>
          <w:lang w:val="en-US"/>
        </w:rPr>
        <w:t xml:space="preserve"> </w:t>
      </w:r>
      <w:proofErr w:type="spellStart"/>
      <w:r w:rsidRPr="00211354">
        <w:rPr>
          <w:lang w:val="en-US"/>
        </w:rPr>
        <w:t>Manum</w:t>
      </w:r>
      <w:proofErr w:type="spellEnd"/>
      <w:r w:rsidRPr="00211354">
        <w:rPr>
          <w:lang w:val="en-US"/>
        </w:rPr>
        <w:t xml:space="preserve"> </w:t>
      </w:r>
      <w:proofErr w:type="spellStart"/>
      <w:r w:rsidRPr="00211354">
        <w:rPr>
          <w:lang w:val="en-US"/>
        </w:rPr>
        <w:t>Tuam</w:t>
      </w:r>
      <w:proofErr w:type="spellEnd"/>
      <w:r w:rsidRPr="00211354">
        <w:rPr>
          <w:lang w:val="en-US"/>
        </w:rPr>
        <w:t xml:space="preserve"> Si Vis Bene </w:t>
      </w:r>
      <w:proofErr w:type="spellStart"/>
      <w:r w:rsidRPr="00211354">
        <w:rPr>
          <w:lang w:val="en-US"/>
        </w:rPr>
        <w:t>Discere</w:t>
      </w:r>
      <w:proofErr w:type="spellEnd"/>
      <w:r w:rsidRPr="00211354">
        <w:rPr>
          <w:lang w:val="en-US"/>
        </w:rPr>
        <w:t xml:space="preserve"> </w:t>
      </w:r>
      <w:proofErr w:type="spellStart"/>
      <w:r w:rsidRPr="00211354">
        <w:rPr>
          <w:lang w:val="en-US"/>
        </w:rPr>
        <w:t>Cantum</w:t>
      </w:r>
      <w:proofErr w:type="spellEnd"/>
      <w:r w:rsidRPr="00211354">
        <w:rPr>
          <w:lang w:val="en-US"/>
        </w:rPr>
        <w:t xml:space="preserve">: Symbols of Learning Music in Early Modern Europe,” </w:t>
      </w:r>
      <w:r w:rsidRPr="00211354">
        <w:rPr>
          <w:i/>
          <w:iCs/>
          <w:lang w:val="en-US"/>
        </w:rPr>
        <w:t>Music in Art</w:t>
      </w:r>
      <w:r w:rsidRPr="00211354">
        <w:rPr>
          <w:lang w:val="en-US"/>
        </w:rPr>
        <w:t xml:space="preserve"> 30, no. 1/2 (2005): 43.</w:t>
      </w:r>
    </w:p>
  </w:footnote>
  <w:footnote w:id="254">
    <w:p w14:paraId="3BDA71E9" w14:textId="77777777" w:rsidR="00182EED" w:rsidRPr="00D44767" w:rsidRDefault="00182EED" w:rsidP="001840E8">
      <w:pPr>
        <w:pStyle w:val="FootnoteText"/>
        <w:rPr>
          <w:szCs w:val="18"/>
        </w:rPr>
      </w:pPr>
      <w:r w:rsidRPr="00391186">
        <w:rPr>
          <w:rStyle w:val="FootnoteReference"/>
        </w:rPr>
        <w:footnoteRef/>
      </w:r>
      <w:r w:rsidRPr="00D44767">
        <w:rPr>
          <w:szCs w:val="18"/>
        </w:rPr>
        <w:t xml:space="preserve"> </w:t>
      </w:r>
      <w:proofErr w:type="spellStart"/>
      <w:r w:rsidRPr="00D44767">
        <w:rPr>
          <w:szCs w:val="18"/>
        </w:rPr>
        <w:t>Forscher</w:t>
      </w:r>
      <w:proofErr w:type="spellEnd"/>
      <w:r w:rsidRPr="00D44767">
        <w:rPr>
          <w:szCs w:val="18"/>
        </w:rPr>
        <w:t xml:space="preserve"> Weiss, “</w:t>
      </w:r>
      <w:proofErr w:type="spellStart"/>
      <w:r w:rsidRPr="00D44767">
        <w:rPr>
          <w:szCs w:val="18"/>
        </w:rPr>
        <w:t>Disce</w:t>
      </w:r>
      <w:proofErr w:type="spellEnd"/>
      <w:r w:rsidRPr="00D44767">
        <w:rPr>
          <w:szCs w:val="18"/>
        </w:rPr>
        <w:t xml:space="preserve"> </w:t>
      </w:r>
      <w:proofErr w:type="spellStart"/>
      <w:r w:rsidRPr="00D44767">
        <w:rPr>
          <w:szCs w:val="18"/>
        </w:rPr>
        <w:t>manum</w:t>
      </w:r>
      <w:proofErr w:type="spellEnd"/>
      <w:r w:rsidRPr="00D44767">
        <w:rPr>
          <w:szCs w:val="18"/>
        </w:rPr>
        <w:t xml:space="preserve"> </w:t>
      </w:r>
      <w:proofErr w:type="spellStart"/>
      <w:r w:rsidRPr="00D44767">
        <w:rPr>
          <w:szCs w:val="18"/>
        </w:rPr>
        <w:t>tuam</w:t>
      </w:r>
      <w:proofErr w:type="spellEnd"/>
      <w:r w:rsidRPr="00D44767">
        <w:rPr>
          <w:szCs w:val="18"/>
        </w:rPr>
        <w:t>”, 50.</w:t>
      </w:r>
    </w:p>
  </w:footnote>
  <w:footnote w:id="255">
    <w:p w14:paraId="4650D681" w14:textId="77777777" w:rsidR="00182EED" w:rsidRDefault="00182EED" w:rsidP="001840E8">
      <w:pPr>
        <w:pStyle w:val="FootnoteText"/>
      </w:pPr>
      <w:r w:rsidRPr="00391186">
        <w:rPr>
          <w:rStyle w:val="FootnoteReference"/>
        </w:rPr>
        <w:footnoteRef/>
      </w:r>
      <w:r>
        <w:t xml:space="preserve"> </w:t>
      </w:r>
      <w:proofErr w:type="spellStart"/>
      <w:r w:rsidRPr="00D44767">
        <w:rPr>
          <w:szCs w:val="18"/>
        </w:rPr>
        <w:t>Forscher</w:t>
      </w:r>
      <w:proofErr w:type="spellEnd"/>
      <w:r w:rsidRPr="00D44767">
        <w:rPr>
          <w:szCs w:val="18"/>
        </w:rPr>
        <w:t xml:space="preserve"> </w:t>
      </w:r>
      <w:r w:rsidRPr="00211354">
        <w:rPr>
          <w:lang w:val="en-US"/>
        </w:rPr>
        <w:t>Weiss, “</w:t>
      </w:r>
      <w:proofErr w:type="spellStart"/>
      <w:r w:rsidRPr="00211354">
        <w:rPr>
          <w:lang w:val="en-US"/>
        </w:rPr>
        <w:t>Disce</w:t>
      </w:r>
      <w:proofErr w:type="spellEnd"/>
      <w:r w:rsidRPr="00211354">
        <w:rPr>
          <w:lang w:val="en-US"/>
        </w:rPr>
        <w:t xml:space="preserve"> </w:t>
      </w:r>
      <w:proofErr w:type="spellStart"/>
      <w:r>
        <w:rPr>
          <w:lang w:val="en-US"/>
        </w:rPr>
        <w:t>m</w:t>
      </w:r>
      <w:r w:rsidRPr="00211354">
        <w:rPr>
          <w:lang w:val="en-US"/>
        </w:rPr>
        <w:t>anum</w:t>
      </w:r>
      <w:proofErr w:type="spellEnd"/>
      <w:r w:rsidRPr="00211354">
        <w:rPr>
          <w:lang w:val="en-US"/>
        </w:rPr>
        <w:t xml:space="preserve"> </w:t>
      </w:r>
      <w:proofErr w:type="spellStart"/>
      <w:r>
        <w:rPr>
          <w:lang w:val="en-US"/>
        </w:rPr>
        <w:t>t</w:t>
      </w:r>
      <w:r w:rsidRPr="00211354">
        <w:rPr>
          <w:lang w:val="en-US"/>
        </w:rPr>
        <w:t>uam</w:t>
      </w:r>
      <w:proofErr w:type="spellEnd"/>
      <w:r w:rsidRPr="00211354">
        <w:rPr>
          <w:lang w:val="en-US"/>
        </w:rPr>
        <w:t>,” 52–53.</w:t>
      </w:r>
    </w:p>
  </w:footnote>
  <w:footnote w:id="256">
    <w:p w14:paraId="2641EB0E" w14:textId="77777777" w:rsidR="00182EED" w:rsidRDefault="00182EED" w:rsidP="001840E8">
      <w:pPr>
        <w:pStyle w:val="FootnoteText"/>
      </w:pPr>
      <w:r w:rsidRPr="00391186">
        <w:rPr>
          <w:rStyle w:val="FootnoteReference"/>
        </w:rPr>
        <w:footnoteRef/>
      </w:r>
      <w:r>
        <w:t xml:space="preserve"> </w:t>
      </w:r>
      <w:r>
        <w:rPr>
          <w:noProof/>
        </w:rPr>
        <w:t>Ibid., 46.</w:t>
      </w:r>
    </w:p>
  </w:footnote>
  <w:footnote w:id="257">
    <w:p w14:paraId="49E349E8" w14:textId="77777777" w:rsidR="00182EED" w:rsidRDefault="00182EED" w:rsidP="001840E8">
      <w:pPr>
        <w:pStyle w:val="FootnoteText"/>
      </w:pPr>
      <w:r w:rsidRPr="00391186">
        <w:rPr>
          <w:rStyle w:val="FootnoteReference"/>
        </w:rPr>
        <w:footnoteRef/>
      </w:r>
      <w:r>
        <w:t xml:space="preserve"> </w:t>
      </w:r>
      <w:r w:rsidRPr="00211354">
        <w:t xml:space="preserve">Ann E. Moyer, “Introduction,” in Raffaele </w:t>
      </w:r>
      <w:proofErr w:type="spellStart"/>
      <w:r w:rsidRPr="00211354">
        <w:t>Brandolini</w:t>
      </w:r>
      <w:proofErr w:type="spellEnd"/>
      <w:r w:rsidRPr="00211354">
        <w:rPr>
          <w:i/>
          <w:iCs/>
        </w:rPr>
        <w:t xml:space="preserve">, On Music and Poetry (De </w:t>
      </w:r>
      <w:proofErr w:type="spellStart"/>
      <w:r w:rsidRPr="00211354">
        <w:rPr>
          <w:i/>
          <w:iCs/>
        </w:rPr>
        <w:t>Musica</w:t>
      </w:r>
      <w:proofErr w:type="spellEnd"/>
      <w:r w:rsidRPr="00211354">
        <w:rPr>
          <w:i/>
          <w:iCs/>
        </w:rPr>
        <w:t xml:space="preserve"> et </w:t>
      </w:r>
      <w:proofErr w:type="spellStart"/>
      <w:r w:rsidRPr="00211354">
        <w:rPr>
          <w:i/>
          <w:iCs/>
        </w:rPr>
        <w:t>Poetica</w:t>
      </w:r>
      <w:proofErr w:type="spellEnd"/>
      <w:r w:rsidRPr="00211354">
        <w:rPr>
          <w:i/>
          <w:iCs/>
        </w:rPr>
        <w:t>, 1513)</w:t>
      </w:r>
      <w:r w:rsidRPr="00211354">
        <w:t xml:space="preserve">, ed. and trans. Ann E. Moyer and Marc </w:t>
      </w:r>
      <w:proofErr w:type="spellStart"/>
      <w:r w:rsidRPr="00211354">
        <w:t>Laureys</w:t>
      </w:r>
      <w:proofErr w:type="spellEnd"/>
      <w:r w:rsidRPr="00211354">
        <w:t xml:space="preserve"> (Tempe, AZ: Arizona </w:t>
      </w:r>
      <w:proofErr w:type="spellStart"/>
      <w:r w:rsidRPr="00211354">
        <w:t>Center</w:t>
      </w:r>
      <w:proofErr w:type="spellEnd"/>
      <w:r w:rsidRPr="00211354">
        <w:t xml:space="preserve"> for Medieval and Renaissance Studies, 2001), xiii–xiv.</w:t>
      </w:r>
    </w:p>
  </w:footnote>
  <w:footnote w:id="258">
    <w:p w14:paraId="2F97309C" w14:textId="77777777" w:rsidR="00182EED" w:rsidRDefault="00182EED" w:rsidP="001840E8">
      <w:pPr>
        <w:pStyle w:val="FootnoteText"/>
      </w:pPr>
      <w:r w:rsidRPr="00391186">
        <w:rPr>
          <w:rStyle w:val="FootnoteReference"/>
        </w:rPr>
        <w:footnoteRef/>
      </w:r>
      <w:r>
        <w:t xml:space="preserve"> </w:t>
      </w:r>
      <w:r w:rsidRPr="002A403F">
        <w:rPr>
          <w:lang w:val="en-US"/>
        </w:rPr>
        <w:t>Ibid., xiii–xvi.</w:t>
      </w:r>
    </w:p>
  </w:footnote>
  <w:footnote w:id="259">
    <w:p w14:paraId="563096A7" w14:textId="77777777" w:rsidR="00182EED" w:rsidRDefault="00182EED" w:rsidP="001840E8">
      <w:pPr>
        <w:pStyle w:val="FootnoteText"/>
      </w:pPr>
      <w:r w:rsidRPr="00391186">
        <w:rPr>
          <w:rStyle w:val="FootnoteReference"/>
        </w:rPr>
        <w:footnoteRef/>
      </w:r>
      <w:r>
        <w:t xml:space="preserve"> </w:t>
      </w:r>
      <w:r w:rsidRPr="00A03040">
        <w:rPr>
          <w:lang w:val="en-US"/>
        </w:rPr>
        <w:t>“</w:t>
      </w:r>
      <w:proofErr w:type="spellStart"/>
      <w:r w:rsidRPr="00A03040">
        <w:rPr>
          <w:lang w:val="en-US"/>
        </w:rPr>
        <w:t>Id</w:t>
      </w:r>
      <w:proofErr w:type="spellEnd"/>
      <w:r w:rsidRPr="00A03040">
        <w:rPr>
          <w:lang w:val="en-US"/>
        </w:rPr>
        <w:t xml:space="preserve"> </w:t>
      </w:r>
      <w:proofErr w:type="spellStart"/>
      <w:r w:rsidRPr="00A03040">
        <w:rPr>
          <w:lang w:val="en-US"/>
        </w:rPr>
        <w:t>maiores</w:t>
      </w:r>
      <w:proofErr w:type="spellEnd"/>
      <w:r w:rsidRPr="00A03040">
        <w:rPr>
          <w:lang w:val="en-US"/>
        </w:rPr>
        <w:t xml:space="preserve"> </w:t>
      </w:r>
      <w:proofErr w:type="spellStart"/>
      <w:r w:rsidRPr="00A03040">
        <w:rPr>
          <w:lang w:val="en-US"/>
        </w:rPr>
        <w:t>nostri</w:t>
      </w:r>
      <w:proofErr w:type="spellEnd"/>
      <w:r w:rsidRPr="00A03040">
        <w:rPr>
          <w:lang w:val="en-US"/>
        </w:rPr>
        <w:t xml:space="preserve"> </w:t>
      </w:r>
      <w:proofErr w:type="spellStart"/>
      <w:r w:rsidRPr="00A03040">
        <w:rPr>
          <w:lang w:val="en-US"/>
        </w:rPr>
        <w:t>accuratissime</w:t>
      </w:r>
      <w:proofErr w:type="spellEnd"/>
      <w:r w:rsidRPr="00A03040">
        <w:rPr>
          <w:lang w:val="en-US"/>
        </w:rPr>
        <w:t xml:space="preserve"> </w:t>
      </w:r>
      <w:proofErr w:type="spellStart"/>
      <w:r w:rsidRPr="00A03040">
        <w:rPr>
          <w:lang w:val="en-US"/>
        </w:rPr>
        <w:t>conspicati</w:t>
      </w:r>
      <w:proofErr w:type="spellEnd"/>
      <w:r w:rsidRPr="00A03040">
        <w:rPr>
          <w:lang w:val="en-US"/>
        </w:rPr>
        <w:t xml:space="preserve"> liberos a se </w:t>
      </w:r>
      <w:proofErr w:type="spellStart"/>
      <w:r w:rsidRPr="00A03040">
        <w:rPr>
          <w:lang w:val="en-US"/>
        </w:rPr>
        <w:t>institutos</w:t>
      </w:r>
      <w:proofErr w:type="spellEnd"/>
      <w:r w:rsidRPr="00A03040">
        <w:rPr>
          <w:lang w:val="en-US"/>
        </w:rPr>
        <w:t xml:space="preserve"> </w:t>
      </w:r>
      <w:proofErr w:type="spellStart"/>
      <w:r w:rsidRPr="00A03040">
        <w:rPr>
          <w:lang w:val="en-US"/>
        </w:rPr>
        <w:t>huius</w:t>
      </w:r>
      <w:proofErr w:type="spellEnd"/>
      <w:r w:rsidRPr="00A03040">
        <w:rPr>
          <w:lang w:val="en-US"/>
        </w:rPr>
        <w:t xml:space="preserve"> </w:t>
      </w:r>
      <w:proofErr w:type="spellStart"/>
      <w:r w:rsidRPr="00A03040">
        <w:rPr>
          <w:lang w:val="en-US"/>
        </w:rPr>
        <w:t>artis</w:t>
      </w:r>
      <w:proofErr w:type="spellEnd"/>
      <w:r w:rsidRPr="00A03040">
        <w:rPr>
          <w:lang w:val="en-US"/>
        </w:rPr>
        <w:t xml:space="preserve"> </w:t>
      </w:r>
      <w:proofErr w:type="spellStart"/>
      <w:r w:rsidRPr="00A03040">
        <w:rPr>
          <w:lang w:val="en-US"/>
        </w:rPr>
        <w:t>expertes</w:t>
      </w:r>
      <w:proofErr w:type="spellEnd"/>
      <w:r w:rsidRPr="00A03040">
        <w:rPr>
          <w:lang w:val="en-US"/>
        </w:rPr>
        <w:t xml:space="preserve"> </w:t>
      </w:r>
      <w:proofErr w:type="spellStart"/>
      <w:r w:rsidRPr="00A03040">
        <w:rPr>
          <w:lang w:val="en-US"/>
        </w:rPr>
        <w:t>esse</w:t>
      </w:r>
      <w:proofErr w:type="spellEnd"/>
      <w:r w:rsidRPr="00A03040">
        <w:rPr>
          <w:lang w:val="en-US"/>
        </w:rPr>
        <w:t xml:space="preserve"> non </w:t>
      </w:r>
      <w:proofErr w:type="spellStart"/>
      <w:r w:rsidRPr="00A03040">
        <w:rPr>
          <w:lang w:val="en-US"/>
        </w:rPr>
        <w:t>permisere</w:t>
      </w:r>
      <w:proofErr w:type="spellEnd"/>
      <w:r w:rsidRPr="00A03040">
        <w:rPr>
          <w:lang w:val="en-US"/>
        </w:rPr>
        <w:t xml:space="preserve">.” Raffaele Lippo </w:t>
      </w:r>
      <w:proofErr w:type="spellStart"/>
      <w:r w:rsidRPr="00A03040">
        <w:rPr>
          <w:lang w:val="en-US"/>
        </w:rPr>
        <w:t>Brandolini</w:t>
      </w:r>
      <w:proofErr w:type="spellEnd"/>
      <w:r w:rsidRPr="00A03040">
        <w:rPr>
          <w:lang w:val="en-US"/>
        </w:rPr>
        <w:t xml:space="preserve">, </w:t>
      </w:r>
      <w:r w:rsidRPr="00A03040">
        <w:rPr>
          <w:i/>
          <w:iCs/>
          <w:lang w:val="en-US"/>
        </w:rPr>
        <w:t xml:space="preserve">On Music and Poetry (De </w:t>
      </w:r>
      <w:proofErr w:type="spellStart"/>
      <w:r w:rsidRPr="00A03040">
        <w:rPr>
          <w:i/>
          <w:iCs/>
          <w:lang w:val="en-US"/>
        </w:rPr>
        <w:t>Musica</w:t>
      </w:r>
      <w:proofErr w:type="spellEnd"/>
      <w:r w:rsidRPr="00A03040">
        <w:rPr>
          <w:i/>
          <w:iCs/>
          <w:lang w:val="en-US"/>
        </w:rPr>
        <w:t xml:space="preserve"> et </w:t>
      </w:r>
      <w:proofErr w:type="spellStart"/>
      <w:r w:rsidRPr="00A03040">
        <w:rPr>
          <w:i/>
          <w:iCs/>
          <w:lang w:val="en-US"/>
        </w:rPr>
        <w:t>Poetica</w:t>
      </w:r>
      <w:proofErr w:type="spellEnd"/>
      <w:r w:rsidRPr="00A03040">
        <w:rPr>
          <w:i/>
          <w:iCs/>
          <w:lang w:val="en-US"/>
        </w:rPr>
        <w:t>, 1513)</w:t>
      </w:r>
      <w:r w:rsidRPr="00A03040">
        <w:rPr>
          <w:lang w:val="en-US"/>
        </w:rPr>
        <w:t xml:space="preserve">, ed. and trans. Ann E. Moyer and Marc </w:t>
      </w:r>
      <w:proofErr w:type="spellStart"/>
      <w:r w:rsidRPr="00A03040">
        <w:rPr>
          <w:lang w:val="en-US"/>
        </w:rPr>
        <w:t>Laureys</w:t>
      </w:r>
      <w:proofErr w:type="spellEnd"/>
      <w:r w:rsidRPr="00A03040">
        <w:rPr>
          <w:lang w:val="en-US"/>
        </w:rPr>
        <w:t xml:space="preserve"> (Tempe, AZ: Arizona Center for Medieval and Renaissance Studies, 2001), 16. English translation: 17.</w:t>
      </w:r>
    </w:p>
  </w:footnote>
  <w:footnote w:id="260">
    <w:p w14:paraId="21107789" w14:textId="77777777" w:rsidR="00182EED" w:rsidRDefault="00182EED" w:rsidP="001840E8">
      <w:pPr>
        <w:pStyle w:val="FootnoteText"/>
      </w:pPr>
      <w:r w:rsidRPr="00391186">
        <w:rPr>
          <w:rStyle w:val="FootnoteReference"/>
        </w:rPr>
        <w:footnoteRef/>
      </w:r>
      <w:r>
        <w:t xml:space="preserve"> </w:t>
      </w:r>
      <w:r w:rsidRPr="002A403F">
        <w:rPr>
          <w:lang w:val="en-US"/>
        </w:rPr>
        <w:t>“</w:t>
      </w:r>
      <w:proofErr w:type="spellStart"/>
      <w:r w:rsidRPr="002A403F">
        <w:rPr>
          <w:lang w:val="en-US"/>
        </w:rPr>
        <w:t>Poetica</w:t>
      </w:r>
      <w:proofErr w:type="spellEnd"/>
      <w:r w:rsidRPr="002A403F">
        <w:rPr>
          <w:lang w:val="en-US"/>
        </w:rPr>
        <w:t xml:space="preserve"> </w:t>
      </w:r>
      <w:proofErr w:type="spellStart"/>
      <w:r w:rsidRPr="002A403F">
        <w:rPr>
          <w:lang w:val="en-US"/>
        </w:rPr>
        <w:t>venustate</w:t>
      </w:r>
      <w:proofErr w:type="spellEnd"/>
      <w:r w:rsidRPr="002A403F">
        <w:rPr>
          <w:lang w:val="en-US"/>
        </w:rPr>
        <w:t xml:space="preserve"> ac </w:t>
      </w:r>
      <w:proofErr w:type="spellStart"/>
      <w:r w:rsidRPr="002A403F">
        <w:rPr>
          <w:lang w:val="en-US"/>
        </w:rPr>
        <w:t>dignitatate</w:t>
      </w:r>
      <w:proofErr w:type="spellEnd"/>
      <w:r w:rsidRPr="002A403F">
        <w:rPr>
          <w:lang w:val="en-US"/>
        </w:rPr>
        <w:t xml:space="preserve"> … </w:t>
      </w:r>
      <w:proofErr w:type="spellStart"/>
      <w:r w:rsidRPr="002A403F">
        <w:rPr>
          <w:lang w:val="en-US"/>
        </w:rPr>
        <w:t>adolescientiam</w:t>
      </w:r>
      <w:proofErr w:type="spellEnd"/>
      <w:r w:rsidRPr="002A403F">
        <w:rPr>
          <w:lang w:val="en-US"/>
        </w:rPr>
        <w:t xml:space="preserve"> </w:t>
      </w:r>
      <w:proofErr w:type="spellStart"/>
      <w:r w:rsidRPr="002A403F">
        <w:rPr>
          <w:lang w:val="en-US"/>
        </w:rPr>
        <w:t>agit</w:t>
      </w:r>
      <w:proofErr w:type="spellEnd"/>
      <w:r w:rsidRPr="002A403F">
        <w:rPr>
          <w:lang w:val="en-US"/>
        </w:rPr>
        <w:t xml:space="preserve">, </w:t>
      </w:r>
      <w:proofErr w:type="spellStart"/>
      <w:r w:rsidRPr="002A403F">
        <w:rPr>
          <w:lang w:val="en-US"/>
        </w:rPr>
        <w:t>iuventutem</w:t>
      </w:r>
      <w:proofErr w:type="spellEnd"/>
      <w:r w:rsidRPr="002A403F">
        <w:rPr>
          <w:lang w:val="en-US"/>
        </w:rPr>
        <w:t xml:space="preserve"> </w:t>
      </w:r>
      <w:proofErr w:type="spellStart"/>
      <w:r w:rsidRPr="002A403F">
        <w:rPr>
          <w:lang w:val="en-US"/>
        </w:rPr>
        <w:t>exercet</w:t>
      </w:r>
      <w:proofErr w:type="spellEnd"/>
      <w:r w:rsidRPr="002A403F">
        <w:rPr>
          <w:lang w:val="en-US"/>
        </w:rPr>
        <w:t>.” Ibid., 80. English translation: 81.</w:t>
      </w:r>
    </w:p>
  </w:footnote>
  <w:footnote w:id="261">
    <w:p w14:paraId="0FC687B5" w14:textId="77777777" w:rsidR="00182EED" w:rsidRDefault="00182EED" w:rsidP="001840E8">
      <w:pPr>
        <w:pStyle w:val="FootnoteText"/>
      </w:pPr>
      <w:r w:rsidRPr="00391186">
        <w:rPr>
          <w:rStyle w:val="FootnoteReference"/>
        </w:rPr>
        <w:footnoteRef/>
      </w:r>
      <w:r>
        <w:t xml:space="preserve"> </w:t>
      </w:r>
      <w:r>
        <w:rPr>
          <w:lang w:val="en-US"/>
        </w:rPr>
        <w:t>“</w:t>
      </w:r>
      <w:r w:rsidRPr="00B15A10">
        <w:rPr>
          <w:lang w:val="en-US"/>
        </w:rPr>
        <w:t xml:space="preserve">La </w:t>
      </w:r>
      <w:proofErr w:type="spellStart"/>
      <w:r w:rsidRPr="00B15A10">
        <w:rPr>
          <w:lang w:val="en-US"/>
        </w:rPr>
        <w:t>primiera</w:t>
      </w:r>
      <w:proofErr w:type="spellEnd"/>
      <w:r w:rsidRPr="00B15A10">
        <w:rPr>
          <w:lang w:val="en-US"/>
        </w:rPr>
        <w:t xml:space="preserve"> </w:t>
      </w:r>
      <w:proofErr w:type="spellStart"/>
      <w:r w:rsidRPr="00B15A10">
        <w:rPr>
          <w:lang w:val="en-US"/>
        </w:rPr>
        <w:t>cosa</w:t>
      </w:r>
      <w:proofErr w:type="spellEnd"/>
      <w:r w:rsidRPr="00B15A10">
        <w:rPr>
          <w:lang w:val="en-US"/>
        </w:rPr>
        <w:t xml:space="preserve">, </w:t>
      </w:r>
      <w:proofErr w:type="spellStart"/>
      <w:r w:rsidRPr="00B15A10">
        <w:rPr>
          <w:lang w:val="en-US"/>
        </w:rPr>
        <w:t>che</w:t>
      </w:r>
      <w:proofErr w:type="spellEnd"/>
      <w:r w:rsidRPr="00B15A10">
        <w:rPr>
          <w:lang w:val="en-US"/>
        </w:rPr>
        <w:t xml:space="preserve"> </w:t>
      </w:r>
      <w:proofErr w:type="spellStart"/>
      <w:r w:rsidRPr="00B15A10">
        <w:rPr>
          <w:lang w:val="en-US"/>
        </w:rPr>
        <w:t>posta</w:t>
      </w:r>
      <w:proofErr w:type="spellEnd"/>
      <w:r w:rsidRPr="00B15A10">
        <w:rPr>
          <w:lang w:val="en-US"/>
        </w:rPr>
        <w:t xml:space="preserve"> </w:t>
      </w:r>
      <w:proofErr w:type="spellStart"/>
      <w:r w:rsidRPr="00B15A10">
        <w:rPr>
          <w:lang w:val="en-US"/>
        </w:rPr>
        <w:t>nella</w:t>
      </w:r>
      <w:proofErr w:type="spellEnd"/>
      <w:r w:rsidRPr="00B15A10">
        <w:rPr>
          <w:lang w:val="en-US"/>
        </w:rPr>
        <w:t xml:space="preserve"> bocca </w:t>
      </w:r>
      <w:proofErr w:type="spellStart"/>
      <w:r w:rsidRPr="00B15A10">
        <w:rPr>
          <w:lang w:val="en-US"/>
        </w:rPr>
        <w:t>rozza</w:t>
      </w:r>
      <w:proofErr w:type="spellEnd"/>
      <w:r w:rsidRPr="00B15A10">
        <w:rPr>
          <w:lang w:val="en-US"/>
        </w:rPr>
        <w:t xml:space="preserve"> di </w:t>
      </w:r>
      <w:proofErr w:type="spellStart"/>
      <w:r w:rsidRPr="00B15A10">
        <w:rPr>
          <w:lang w:val="en-US"/>
        </w:rPr>
        <w:t>fanciuletti</w:t>
      </w:r>
      <w:proofErr w:type="spellEnd"/>
      <w:r w:rsidRPr="00B15A10">
        <w:rPr>
          <w:lang w:val="en-US"/>
        </w:rPr>
        <w:t xml:space="preserve"> per </w:t>
      </w:r>
      <w:proofErr w:type="spellStart"/>
      <w:r w:rsidRPr="00B15A10">
        <w:rPr>
          <w:lang w:val="en-US"/>
        </w:rPr>
        <w:t>ordine</w:t>
      </w:r>
      <w:proofErr w:type="spellEnd"/>
      <w:r w:rsidRPr="00B15A10">
        <w:rPr>
          <w:lang w:val="en-US"/>
        </w:rPr>
        <w:t xml:space="preserve"> de’ </w:t>
      </w:r>
      <w:proofErr w:type="spellStart"/>
      <w:r w:rsidRPr="00B15A10">
        <w:rPr>
          <w:lang w:val="en-US"/>
        </w:rPr>
        <w:t>padri</w:t>
      </w:r>
      <w:proofErr w:type="spellEnd"/>
      <w:r w:rsidRPr="00B15A10">
        <w:rPr>
          <w:lang w:val="en-US"/>
        </w:rPr>
        <w:t xml:space="preserve"> </w:t>
      </w:r>
      <w:proofErr w:type="spellStart"/>
      <w:r w:rsidRPr="00B15A10">
        <w:rPr>
          <w:lang w:val="en-US"/>
        </w:rPr>
        <w:t>accorti</w:t>
      </w:r>
      <w:proofErr w:type="spellEnd"/>
      <w:r w:rsidRPr="00B15A10">
        <w:rPr>
          <w:lang w:val="en-US"/>
        </w:rPr>
        <w:t xml:space="preserve">, a de’ </w:t>
      </w:r>
      <w:proofErr w:type="spellStart"/>
      <w:r w:rsidRPr="00B15A10">
        <w:rPr>
          <w:lang w:val="en-US"/>
        </w:rPr>
        <w:t>maestri</w:t>
      </w:r>
      <w:proofErr w:type="spellEnd"/>
      <w:r w:rsidRPr="00B15A10">
        <w:rPr>
          <w:lang w:val="en-US"/>
        </w:rPr>
        <w:t xml:space="preserve"> </w:t>
      </w:r>
      <w:proofErr w:type="spellStart"/>
      <w:r w:rsidRPr="00B15A10">
        <w:rPr>
          <w:lang w:val="en-US"/>
        </w:rPr>
        <w:t>considerati</w:t>
      </w:r>
      <w:proofErr w:type="spellEnd"/>
      <w:r w:rsidRPr="00B15A10">
        <w:rPr>
          <w:lang w:val="en-US"/>
        </w:rPr>
        <w:t xml:space="preserve">, è la </w:t>
      </w:r>
      <w:proofErr w:type="spellStart"/>
      <w:r w:rsidRPr="00B15A10">
        <w:rPr>
          <w:lang w:val="en-US"/>
        </w:rPr>
        <w:t>musica</w:t>
      </w:r>
      <w:proofErr w:type="spellEnd"/>
      <w:r w:rsidRPr="00B15A10">
        <w:rPr>
          <w:lang w:val="en-US"/>
        </w:rPr>
        <w:t xml:space="preserve"> </w:t>
      </w:r>
      <w:proofErr w:type="spellStart"/>
      <w:r w:rsidRPr="00B15A10">
        <w:rPr>
          <w:lang w:val="en-US"/>
        </w:rPr>
        <w:t>veramente</w:t>
      </w:r>
      <w:proofErr w:type="spellEnd"/>
      <w:r w:rsidRPr="00B15A10">
        <w:rPr>
          <w:lang w:val="en-US"/>
        </w:rPr>
        <w:t xml:space="preserve"> ad imitation di </w:t>
      </w:r>
      <w:proofErr w:type="spellStart"/>
      <w:r w:rsidRPr="00B15A10">
        <w:rPr>
          <w:lang w:val="en-US"/>
        </w:rPr>
        <w:t>Chirone</w:t>
      </w:r>
      <w:proofErr w:type="spellEnd"/>
      <w:r w:rsidRPr="00B15A10">
        <w:rPr>
          <w:lang w:val="en-US"/>
        </w:rPr>
        <w:t xml:space="preserve"> </w:t>
      </w:r>
      <w:proofErr w:type="spellStart"/>
      <w:r w:rsidRPr="00B15A10">
        <w:rPr>
          <w:lang w:val="en-US"/>
        </w:rPr>
        <w:t>che</w:t>
      </w:r>
      <w:proofErr w:type="spellEnd"/>
      <w:r w:rsidRPr="00B15A10">
        <w:rPr>
          <w:lang w:val="en-US"/>
        </w:rPr>
        <w:t xml:space="preserve"> in </w:t>
      </w:r>
      <w:proofErr w:type="spellStart"/>
      <w:r w:rsidRPr="00B15A10">
        <w:rPr>
          <w:lang w:val="en-US"/>
        </w:rPr>
        <w:t>tal</w:t>
      </w:r>
      <w:proofErr w:type="spellEnd"/>
      <w:r w:rsidRPr="00B15A10">
        <w:rPr>
          <w:lang w:val="en-US"/>
        </w:rPr>
        <w:t xml:space="preserve"> </w:t>
      </w:r>
      <w:proofErr w:type="spellStart"/>
      <w:r w:rsidRPr="00B15A10">
        <w:rPr>
          <w:lang w:val="en-US"/>
        </w:rPr>
        <w:t>maniera</w:t>
      </w:r>
      <w:proofErr w:type="spellEnd"/>
      <w:r w:rsidRPr="00B15A10">
        <w:rPr>
          <w:lang w:val="en-US"/>
        </w:rPr>
        <w:t xml:space="preserve"> </w:t>
      </w:r>
      <w:proofErr w:type="spellStart"/>
      <w:r w:rsidRPr="00B15A10">
        <w:rPr>
          <w:lang w:val="en-US"/>
        </w:rPr>
        <w:t>allevò</w:t>
      </w:r>
      <w:proofErr w:type="spellEnd"/>
      <w:r w:rsidRPr="00B15A10">
        <w:rPr>
          <w:lang w:val="en-US"/>
        </w:rPr>
        <w:t xml:space="preserve"> </w:t>
      </w:r>
      <w:proofErr w:type="spellStart"/>
      <w:r w:rsidRPr="00B15A10">
        <w:rPr>
          <w:lang w:val="en-US"/>
        </w:rPr>
        <w:t>il</w:t>
      </w:r>
      <w:proofErr w:type="spellEnd"/>
      <w:r w:rsidRPr="00B15A10">
        <w:rPr>
          <w:lang w:val="en-US"/>
        </w:rPr>
        <w:t xml:space="preserve"> </w:t>
      </w:r>
      <w:proofErr w:type="spellStart"/>
      <w:r w:rsidRPr="00B15A10">
        <w:rPr>
          <w:lang w:val="en-US"/>
        </w:rPr>
        <w:t>valoroso</w:t>
      </w:r>
      <w:proofErr w:type="spellEnd"/>
      <w:r w:rsidRPr="00B15A10">
        <w:rPr>
          <w:lang w:val="en-US"/>
        </w:rPr>
        <w:t xml:space="preserve"> Achille.” Quoted in Franca </w:t>
      </w:r>
      <w:proofErr w:type="spellStart"/>
      <w:r w:rsidRPr="00B15A10">
        <w:rPr>
          <w:lang w:val="en-US"/>
        </w:rPr>
        <w:t>Trinchieri</w:t>
      </w:r>
      <w:proofErr w:type="spellEnd"/>
      <w:r w:rsidRPr="00B15A10">
        <w:rPr>
          <w:lang w:val="en-US"/>
        </w:rPr>
        <w:t xml:space="preserve"> </w:t>
      </w:r>
      <w:proofErr w:type="spellStart"/>
      <w:r w:rsidRPr="00B15A10">
        <w:rPr>
          <w:lang w:val="en-US"/>
        </w:rPr>
        <w:t>Camiz</w:t>
      </w:r>
      <w:proofErr w:type="spellEnd"/>
      <w:r w:rsidRPr="00B15A10">
        <w:rPr>
          <w:lang w:val="en-US"/>
        </w:rPr>
        <w:t xml:space="preserve">, “Music Settings to Poems by Michelangelo and Vittoria Colonna,” in </w:t>
      </w:r>
      <w:r w:rsidRPr="00B15A10">
        <w:rPr>
          <w:i/>
          <w:iCs/>
          <w:lang w:val="en-US"/>
        </w:rPr>
        <w:t xml:space="preserve">Art and Music in the Early Modern Period: Essays in Honor of Franca </w:t>
      </w:r>
      <w:proofErr w:type="spellStart"/>
      <w:r w:rsidRPr="00B15A10">
        <w:rPr>
          <w:i/>
          <w:iCs/>
          <w:lang w:val="en-US"/>
        </w:rPr>
        <w:t>Trinchieri</w:t>
      </w:r>
      <w:proofErr w:type="spellEnd"/>
      <w:r w:rsidRPr="00B15A10">
        <w:rPr>
          <w:i/>
          <w:iCs/>
          <w:lang w:val="en-US"/>
        </w:rPr>
        <w:t xml:space="preserve"> </w:t>
      </w:r>
      <w:proofErr w:type="spellStart"/>
      <w:r w:rsidRPr="00B15A10">
        <w:rPr>
          <w:i/>
          <w:iCs/>
          <w:lang w:val="en-US"/>
        </w:rPr>
        <w:t>Camiz</w:t>
      </w:r>
      <w:proofErr w:type="spellEnd"/>
      <w:r w:rsidRPr="00B15A10">
        <w:rPr>
          <w:lang w:val="en-US"/>
        </w:rPr>
        <w:t>, ed. Katherine McIver (</w:t>
      </w:r>
      <w:proofErr w:type="spellStart"/>
      <w:r w:rsidRPr="00B15A10">
        <w:rPr>
          <w:lang w:val="en-US"/>
        </w:rPr>
        <w:t>Farnham</w:t>
      </w:r>
      <w:proofErr w:type="spellEnd"/>
      <w:r w:rsidRPr="00B15A10">
        <w:rPr>
          <w:lang w:val="en-US"/>
        </w:rPr>
        <w:t>, Surrey, England; Burlington, VT: Ashgate, 2003), 382.</w:t>
      </w:r>
    </w:p>
  </w:footnote>
  <w:footnote w:id="262">
    <w:p w14:paraId="4E50E26D" w14:textId="77777777" w:rsidR="00182EED" w:rsidRPr="00EA64B2" w:rsidRDefault="00182EED" w:rsidP="001840E8">
      <w:pPr>
        <w:pStyle w:val="FootnoteText"/>
        <w:rPr>
          <w:noProof/>
        </w:rPr>
      </w:pPr>
      <w:r w:rsidRPr="00391186">
        <w:rPr>
          <w:rStyle w:val="FootnoteReference"/>
        </w:rPr>
        <w:footnoteRef/>
      </w:r>
      <w:r w:rsidRPr="00EA64B2">
        <w:rPr>
          <w:noProof/>
        </w:rPr>
        <w:t xml:space="preserve"> This passage from Tinctoris’ </w:t>
      </w:r>
      <w:r w:rsidRPr="00EA64B2">
        <w:rPr>
          <w:i/>
          <w:noProof/>
        </w:rPr>
        <w:t xml:space="preserve">De inventione et usu </w:t>
      </w:r>
      <w:r w:rsidRPr="00E6113E">
        <w:rPr>
          <w:i/>
          <w:noProof/>
        </w:rPr>
        <w:t>musice</w:t>
      </w:r>
      <w:r w:rsidRPr="00E6113E">
        <w:rPr>
          <w:noProof/>
        </w:rPr>
        <w:t xml:space="preserve"> is quoted in Chapter 3.2.1 of this thesis.</w:t>
      </w:r>
    </w:p>
  </w:footnote>
  <w:footnote w:id="263">
    <w:p w14:paraId="100B47DE" w14:textId="77777777" w:rsidR="00182EED" w:rsidRDefault="00182EED" w:rsidP="001840E8">
      <w:pPr>
        <w:pStyle w:val="FootnoteText"/>
      </w:pPr>
      <w:r w:rsidRPr="00391186">
        <w:rPr>
          <w:rStyle w:val="FootnoteReference"/>
        </w:rPr>
        <w:footnoteRef/>
      </w:r>
      <w:r>
        <w:t xml:space="preserve"> </w:t>
      </w:r>
      <w:r w:rsidRPr="00A03040">
        <w:rPr>
          <w:lang w:val="en-US"/>
        </w:rPr>
        <w:t xml:space="preserve">“A </w:t>
      </w:r>
      <w:proofErr w:type="spellStart"/>
      <w:r w:rsidRPr="00A03040">
        <w:rPr>
          <w:lang w:val="en-US"/>
        </w:rPr>
        <w:t>voi</w:t>
      </w:r>
      <w:proofErr w:type="spellEnd"/>
      <w:r w:rsidRPr="00A03040">
        <w:rPr>
          <w:lang w:val="en-US"/>
        </w:rPr>
        <w:t xml:space="preserve"> </w:t>
      </w:r>
      <w:proofErr w:type="spellStart"/>
      <w:r w:rsidRPr="00A03040">
        <w:rPr>
          <w:lang w:val="en-US"/>
        </w:rPr>
        <w:t>ricorro</w:t>
      </w:r>
      <w:proofErr w:type="spellEnd"/>
      <w:r w:rsidRPr="00A03040">
        <w:rPr>
          <w:lang w:val="en-US"/>
        </w:rPr>
        <w:t xml:space="preserve">, non </w:t>
      </w:r>
      <w:proofErr w:type="spellStart"/>
      <w:r w:rsidRPr="00A03040">
        <w:rPr>
          <w:lang w:val="en-US"/>
        </w:rPr>
        <w:t>avendo</w:t>
      </w:r>
      <w:proofErr w:type="spellEnd"/>
      <w:r w:rsidRPr="00A03040">
        <w:rPr>
          <w:lang w:val="en-US"/>
        </w:rPr>
        <w:t xml:space="preserve"> </w:t>
      </w:r>
      <w:proofErr w:type="spellStart"/>
      <w:r w:rsidRPr="00A03040">
        <w:rPr>
          <w:lang w:val="en-US"/>
        </w:rPr>
        <w:t>alcuno</w:t>
      </w:r>
      <w:proofErr w:type="spellEnd"/>
      <w:r w:rsidRPr="00A03040">
        <w:rPr>
          <w:lang w:val="en-US"/>
        </w:rPr>
        <w:t xml:space="preserve"> </w:t>
      </w:r>
      <w:proofErr w:type="spellStart"/>
      <w:r w:rsidRPr="00A03040">
        <w:rPr>
          <w:lang w:val="en-US"/>
        </w:rPr>
        <w:t>altro</w:t>
      </w:r>
      <w:proofErr w:type="spellEnd"/>
      <w:r w:rsidRPr="00A03040">
        <w:rPr>
          <w:lang w:val="en-US"/>
        </w:rPr>
        <w:t xml:space="preserve"> </w:t>
      </w:r>
      <w:proofErr w:type="spellStart"/>
      <w:r w:rsidRPr="00A03040">
        <w:rPr>
          <w:lang w:val="en-US"/>
        </w:rPr>
        <w:t>protreptore</w:t>
      </w:r>
      <w:proofErr w:type="spellEnd"/>
      <w:r w:rsidRPr="00A03040">
        <w:rPr>
          <w:lang w:val="en-US"/>
        </w:rPr>
        <w:t xml:space="preserve">, e come </w:t>
      </w:r>
      <w:proofErr w:type="spellStart"/>
      <w:r w:rsidRPr="00A03040">
        <w:rPr>
          <w:lang w:val="en-US"/>
        </w:rPr>
        <w:t>servitore</w:t>
      </w:r>
      <w:proofErr w:type="spellEnd"/>
      <w:r w:rsidRPr="00A03040">
        <w:rPr>
          <w:lang w:val="en-US"/>
        </w:rPr>
        <w:t xml:space="preserve"> </w:t>
      </w:r>
      <w:proofErr w:type="spellStart"/>
      <w:r w:rsidRPr="00A03040">
        <w:rPr>
          <w:lang w:val="en-US"/>
        </w:rPr>
        <w:t>dela</w:t>
      </w:r>
      <w:proofErr w:type="spellEnd"/>
      <w:r w:rsidRPr="00A03040">
        <w:rPr>
          <w:lang w:val="en-US"/>
        </w:rPr>
        <w:t xml:space="preserve"> casa </w:t>
      </w:r>
      <w:proofErr w:type="spellStart"/>
      <w:r w:rsidRPr="00A03040">
        <w:rPr>
          <w:lang w:val="en-US"/>
        </w:rPr>
        <w:t>vostra</w:t>
      </w:r>
      <w:proofErr w:type="spellEnd"/>
      <w:r w:rsidRPr="00A03040">
        <w:rPr>
          <w:lang w:val="en-US"/>
        </w:rPr>
        <w:t xml:space="preserve"> </w:t>
      </w:r>
      <w:proofErr w:type="spellStart"/>
      <w:r w:rsidRPr="00A03040">
        <w:rPr>
          <w:lang w:val="en-US"/>
        </w:rPr>
        <w:t>che</w:t>
      </w:r>
      <w:proofErr w:type="spellEnd"/>
      <w:r w:rsidRPr="00A03040">
        <w:rPr>
          <w:lang w:val="en-US"/>
        </w:rPr>
        <w:t xml:space="preserve"> </w:t>
      </w:r>
      <w:proofErr w:type="spellStart"/>
      <w:r w:rsidRPr="00A03040">
        <w:rPr>
          <w:lang w:val="en-US"/>
        </w:rPr>
        <w:t>sempre</w:t>
      </w:r>
      <w:proofErr w:type="spellEnd"/>
      <w:r w:rsidRPr="00A03040">
        <w:rPr>
          <w:lang w:val="en-US"/>
        </w:rPr>
        <w:t xml:space="preserve"> son </w:t>
      </w:r>
      <w:proofErr w:type="spellStart"/>
      <w:r w:rsidRPr="00A03040">
        <w:rPr>
          <w:lang w:val="en-US"/>
        </w:rPr>
        <w:t>stato</w:t>
      </w:r>
      <w:proofErr w:type="spellEnd"/>
      <w:r w:rsidRPr="00A03040">
        <w:rPr>
          <w:lang w:val="en-US"/>
        </w:rPr>
        <w:t xml:space="preserve"> e </w:t>
      </w:r>
      <w:proofErr w:type="spellStart"/>
      <w:r w:rsidRPr="00A03040">
        <w:rPr>
          <w:lang w:val="en-US"/>
        </w:rPr>
        <w:t>sono</w:t>
      </w:r>
      <w:proofErr w:type="spellEnd"/>
      <w:r w:rsidRPr="00A03040">
        <w:rPr>
          <w:lang w:val="en-US"/>
        </w:rPr>
        <w:t xml:space="preserve">; </w:t>
      </w:r>
      <w:proofErr w:type="spellStart"/>
      <w:r w:rsidRPr="00A03040">
        <w:rPr>
          <w:lang w:val="en-US"/>
        </w:rPr>
        <w:t>perché</w:t>
      </w:r>
      <w:proofErr w:type="spellEnd"/>
      <w:r w:rsidRPr="00A03040">
        <w:rPr>
          <w:lang w:val="en-US"/>
        </w:rPr>
        <w:t xml:space="preserve"> </w:t>
      </w:r>
      <w:proofErr w:type="spellStart"/>
      <w:r w:rsidRPr="00A03040">
        <w:rPr>
          <w:lang w:val="en-US"/>
        </w:rPr>
        <w:t>anchora</w:t>
      </w:r>
      <w:proofErr w:type="spellEnd"/>
      <w:r w:rsidRPr="00A03040">
        <w:rPr>
          <w:lang w:val="en-US"/>
        </w:rPr>
        <w:t xml:space="preserve"> </w:t>
      </w:r>
      <w:proofErr w:type="spellStart"/>
      <w:r w:rsidRPr="00A03040">
        <w:rPr>
          <w:lang w:val="en-US"/>
        </w:rPr>
        <w:t>essendo</w:t>
      </w:r>
      <w:proofErr w:type="spellEnd"/>
      <w:r w:rsidRPr="00A03040">
        <w:rPr>
          <w:lang w:val="en-US"/>
        </w:rPr>
        <w:t xml:space="preserve"> </w:t>
      </w:r>
      <w:proofErr w:type="spellStart"/>
      <w:r w:rsidRPr="00A03040">
        <w:rPr>
          <w:lang w:val="en-US"/>
        </w:rPr>
        <w:t>io</w:t>
      </w:r>
      <w:proofErr w:type="spellEnd"/>
      <w:r w:rsidRPr="00A03040">
        <w:rPr>
          <w:lang w:val="en-US"/>
        </w:rPr>
        <w:t xml:space="preserve"> </w:t>
      </w:r>
      <w:proofErr w:type="spellStart"/>
      <w:r w:rsidRPr="00A03040">
        <w:rPr>
          <w:lang w:val="en-US"/>
        </w:rPr>
        <w:t>stato</w:t>
      </w:r>
      <w:proofErr w:type="spellEnd"/>
      <w:r w:rsidRPr="00A03040">
        <w:rPr>
          <w:lang w:val="en-US"/>
        </w:rPr>
        <w:t xml:space="preserve"> vostro maestro </w:t>
      </w:r>
      <w:proofErr w:type="spellStart"/>
      <w:r w:rsidRPr="00A03040">
        <w:rPr>
          <w:lang w:val="en-US"/>
        </w:rPr>
        <w:t>dela</w:t>
      </w:r>
      <w:proofErr w:type="spellEnd"/>
      <w:r w:rsidRPr="00A03040">
        <w:rPr>
          <w:lang w:val="en-US"/>
        </w:rPr>
        <w:t xml:space="preserve"> viola.” Quoted in </w:t>
      </w:r>
      <w:proofErr w:type="spellStart"/>
      <w:r w:rsidRPr="00A03040">
        <w:rPr>
          <w:lang w:val="en-US"/>
        </w:rPr>
        <w:t>D’Accone</w:t>
      </w:r>
      <w:proofErr w:type="spellEnd"/>
      <w:r w:rsidRPr="00A03040">
        <w:rPr>
          <w:lang w:val="en-US"/>
        </w:rPr>
        <w:t xml:space="preserve">, “Lorenzo </w:t>
      </w:r>
      <w:proofErr w:type="spellStart"/>
      <w:r w:rsidRPr="00A03040">
        <w:rPr>
          <w:lang w:val="en-US"/>
        </w:rPr>
        <w:t>il</w:t>
      </w:r>
      <w:proofErr w:type="spellEnd"/>
      <w:r w:rsidRPr="00A03040">
        <w:rPr>
          <w:lang w:val="en-US"/>
        </w:rPr>
        <w:t xml:space="preserve"> Magnifico e la </w:t>
      </w:r>
      <w:proofErr w:type="spellStart"/>
      <w:r w:rsidRPr="00A03040">
        <w:rPr>
          <w:lang w:val="en-US"/>
        </w:rPr>
        <w:t>musica</w:t>
      </w:r>
      <w:proofErr w:type="spellEnd"/>
      <w:r w:rsidRPr="00A03040">
        <w:rPr>
          <w:lang w:val="en-US"/>
        </w:rPr>
        <w:t>,” 234.</w:t>
      </w:r>
    </w:p>
  </w:footnote>
  <w:footnote w:id="264">
    <w:p w14:paraId="1BD0C214" w14:textId="653724B0" w:rsidR="00182EED" w:rsidRDefault="00182EED" w:rsidP="001840E8">
      <w:pPr>
        <w:pStyle w:val="FootnoteText"/>
      </w:pPr>
      <w:r w:rsidRPr="00391186">
        <w:rPr>
          <w:rStyle w:val="FootnoteReference"/>
        </w:rPr>
        <w:footnoteRef/>
      </w:r>
      <w:r>
        <w:t xml:space="preserve"> </w:t>
      </w:r>
      <w:r w:rsidRPr="00B97718">
        <w:rPr>
          <w:lang w:val="en-US"/>
        </w:rPr>
        <w:t xml:space="preserve">“Nella </w:t>
      </w:r>
      <w:proofErr w:type="spellStart"/>
      <w:r w:rsidRPr="00B97718">
        <w:rPr>
          <w:lang w:val="en-US"/>
        </w:rPr>
        <w:t>chamera</w:t>
      </w:r>
      <w:proofErr w:type="spellEnd"/>
      <w:r w:rsidRPr="00B97718">
        <w:rPr>
          <w:lang w:val="en-US"/>
        </w:rPr>
        <w:t xml:space="preserve"> </w:t>
      </w:r>
      <w:proofErr w:type="spellStart"/>
      <w:r w:rsidRPr="00B97718">
        <w:rPr>
          <w:lang w:val="en-US"/>
        </w:rPr>
        <w:t>delle</w:t>
      </w:r>
      <w:proofErr w:type="spellEnd"/>
      <w:r w:rsidRPr="00B97718">
        <w:rPr>
          <w:lang w:val="en-US"/>
        </w:rPr>
        <w:t xml:space="preserve"> due </w:t>
      </w:r>
      <w:proofErr w:type="spellStart"/>
      <w:r w:rsidRPr="00B97718">
        <w:rPr>
          <w:lang w:val="en-US"/>
        </w:rPr>
        <w:t>letta</w:t>
      </w:r>
      <w:proofErr w:type="spellEnd"/>
      <w:r w:rsidRPr="00B97718">
        <w:rPr>
          <w:lang w:val="en-US"/>
        </w:rPr>
        <w:t xml:space="preserve">: un </w:t>
      </w:r>
      <w:proofErr w:type="spellStart"/>
      <w:r w:rsidRPr="00B97718">
        <w:rPr>
          <w:lang w:val="en-US"/>
        </w:rPr>
        <w:t>orghano</w:t>
      </w:r>
      <w:proofErr w:type="spellEnd"/>
      <w:r w:rsidRPr="00B97718">
        <w:rPr>
          <w:lang w:val="en-US"/>
        </w:rPr>
        <w:t xml:space="preserve"> di carta </w:t>
      </w:r>
      <w:proofErr w:type="spellStart"/>
      <w:r w:rsidRPr="00B97718">
        <w:rPr>
          <w:lang w:val="en-US"/>
        </w:rPr>
        <w:t>impastata</w:t>
      </w:r>
      <w:proofErr w:type="spellEnd"/>
      <w:r w:rsidRPr="00B97718">
        <w:rPr>
          <w:lang w:val="en-US"/>
        </w:rPr>
        <w:t xml:space="preserve"> … un </w:t>
      </w:r>
      <w:proofErr w:type="spellStart"/>
      <w:r w:rsidRPr="00B97718">
        <w:rPr>
          <w:lang w:val="en-US"/>
        </w:rPr>
        <w:t>orghano</w:t>
      </w:r>
      <w:proofErr w:type="spellEnd"/>
      <w:r w:rsidRPr="00B97718">
        <w:rPr>
          <w:lang w:val="en-US"/>
        </w:rPr>
        <w:t xml:space="preserve"> di carta </w:t>
      </w:r>
      <w:proofErr w:type="spellStart"/>
      <w:r w:rsidRPr="00B97718">
        <w:rPr>
          <w:lang w:val="en-US"/>
        </w:rPr>
        <w:t>fatto</w:t>
      </w:r>
      <w:proofErr w:type="spellEnd"/>
      <w:r w:rsidRPr="00B97718">
        <w:rPr>
          <w:lang w:val="en-US"/>
        </w:rPr>
        <w:t xml:space="preserve"> a </w:t>
      </w:r>
      <w:proofErr w:type="spellStart"/>
      <w:r w:rsidRPr="00B97718">
        <w:rPr>
          <w:lang w:val="en-US"/>
        </w:rPr>
        <w:t>chiocciola</w:t>
      </w:r>
      <w:proofErr w:type="spellEnd"/>
      <w:r w:rsidRPr="00B97718">
        <w:rPr>
          <w:lang w:val="en-US"/>
        </w:rPr>
        <w:t xml:space="preserve"> … un </w:t>
      </w:r>
      <w:proofErr w:type="spellStart"/>
      <w:r w:rsidRPr="00B97718">
        <w:rPr>
          <w:lang w:val="en-US"/>
        </w:rPr>
        <w:t>orghano</w:t>
      </w:r>
      <w:proofErr w:type="spellEnd"/>
      <w:r w:rsidRPr="00B97718">
        <w:rPr>
          <w:lang w:val="en-US"/>
        </w:rPr>
        <w:t xml:space="preserve"> di </w:t>
      </w:r>
      <w:proofErr w:type="spellStart"/>
      <w:r w:rsidRPr="00B97718">
        <w:rPr>
          <w:lang w:val="en-US"/>
        </w:rPr>
        <w:t>legname</w:t>
      </w:r>
      <w:proofErr w:type="spellEnd"/>
      <w:r w:rsidRPr="00B97718">
        <w:rPr>
          <w:lang w:val="en-US"/>
        </w:rPr>
        <w:t xml:space="preserve"> e di </w:t>
      </w:r>
      <w:proofErr w:type="spellStart"/>
      <w:r w:rsidRPr="00B97718">
        <w:rPr>
          <w:lang w:val="en-US"/>
        </w:rPr>
        <w:t>stagno</w:t>
      </w:r>
      <w:proofErr w:type="spellEnd"/>
      <w:r w:rsidRPr="00B97718">
        <w:rPr>
          <w:lang w:val="en-US"/>
        </w:rPr>
        <w:t xml:space="preserve"> e chon grave </w:t>
      </w:r>
      <w:proofErr w:type="spellStart"/>
      <w:r w:rsidRPr="00B97718">
        <w:rPr>
          <w:lang w:val="en-US"/>
        </w:rPr>
        <w:t>chordo</w:t>
      </w:r>
      <w:proofErr w:type="spellEnd"/>
      <w:r w:rsidRPr="00B97718">
        <w:rPr>
          <w:lang w:val="en-US"/>
        </w:rPr>
        <w:t xml:space="preserve"> … un </w:t>
      </w:r>
      <w:proofErr w:type="spellStart"/>
      <w:r w:rsidRPr="00B97718">
        <w:rPr>
          <w:lang w:val="en-US"/>
        </w:rPr>
        <w:t>orghano</w:t>
      </w:r>
      <w:proofErr w:type="spellEnd"/>
      <w:r w:rsidRPr="00B97718">
        <w:rPr>
          <w:lang w:val="en-US"/>
        </w:rPr>
        <w:t xml:space="preserve"> di </w:t>
      </w:r>
      <w:proofErr w:type="spellStart"/>
      <w:r w:rsidRPr="00B97718">
        <w:rPr>
          <w:lang w:val="en-US"/>
        </w:rPr>
        <w:t>channa</w:t>
      </w:r>
      <w:proofErr w:type="spellEnd"/>
      <w:r w:rsidRPr="00B97718">
        <w:rPr>
          <w:lang w:val="en-US"/>
        </w:rPr>
        <w:t xml:space="preserve">, a una </w:t>
      </w:r>
      <w:proofErr w:type="spellStart"/>
      <w:r w:rsidRPr="00B97718">
        <w:rPr>
          <w:lang w:val="en-US"/>
        </w:rPr>
        <w:t>channa</w:t>
      </w:r>
      <w:proofErr w:type="spellEnd"/>
      <w:r w:rsidRPr="00B97718">
        <w:rPr>
          <w:lang w:val="en-US"/>
        </w:rPr>
        <w:t xml:space="preserve"> per </w:t>
      </w:r>
      <w:proofErr w:type="spellStart"/>
      <w:r w:rsidRPr="00B97718">
        <w:rPr>
          <w:lang w:val="en-US"/>
        </w:rPr>
        <w:t>tasto</w:t>
      </w:r>
      <w:proofErr w:type="spellEnd"/>
      <w:r w:rsidRPr="00B97718">
        <w:rPr>
          <w:lang w:val="en-US"/>
        </w:rPr>
        <w:t xml:space="preserve"> semplice … un </w:t>
      </w:r>
      <w:proofErr w:type="spellStart"/>
      <w:r w:rsidRPr="00B97718">
        <w:rPr>
          <w:lang w:val="en-US"/>
        </w:rPr>
        <w:t>organetto</w:t>
      </w:r>
      <w:proofErr w:type="spellEnd"/>
      <w:r w:rsidRPr="00B97718">
        <w:rPr>
          <w:lang w:val="en-US"/>
        </w:rPr>
        <w:t xml:space="preserve"> a una mano, di </w:t>
      </w:r>
      <w:proofErr w:type="spellStart"/>
      <w:r w:rsidRPr="00B97718">
        <w:rPr>
          <w:lang w:val="en-US"/>
        </w:rPr>
        <w:t>stagno</w:t>
      </w:r>
      <w:proofErr w:type="spellEnd"/>
      <w:r w:rsidRPr="00B97718">
        <w:rPr>
          <w:lang w:val="en-US"/>
        </w:rPr>
        <w:t xml:space="preserve"> … </w:t>
      </w:r>
      <w:proofErr w:type="spellStart"/>
      <w:r w:rsidRPr="00B97718">
        <w:rPr>
          <w:lang w:val="en-US"/>
        </w:rPr>
        <w:t>uno</w:t>
      </w:r>
      <w:proofErr w:type="spellEnd"/>
      <w:r w:rsidRPr="00B97718">
        <w:rPr>
          <w:lang w:val="en-US"/>
        </w:rPr>
        <w:t xml:space="preserve"> </w:t>
      </w:r>
      <w:proofErr w:type="spellStart"/>
      <w:r w:rsidRPr="00B97718">
        <w:rPr>
          <w:lang w:val="en-US"/>
        </w:rPr>
        <w:t>gravicembolo</w:t>
      </w:r>
      <w:proofErr w:type="spellEnd"/>
      <w:r w:rsidRPr="00B97718">
        <w:rPr>
          <w:lang w:val="en-US"/>
        </w:rPr>
        <w:t xml:space="preserve"> </w:t>
      </w:r>
      <w:proofErr w:type="spellStart"/>
      <w:r w:rsidRPr="00B97718">
        <w:rPr>
          <w:lang w:val="en-US"/>
        </w:rPr>
        <w:t>ch’a</w:t>
      </w:r>
      <w:proofErr w:type="spellEnd"/>
      <w:r w:rsidRPr="00B97718">
        <w:rPr>
          <w:lang w:val="en-US"/>
        </w:rPr>
        <w:t xml:space="preserve"> a </w:t>
      </w:r>
      <w:proofErr w:type="spellStart"/>
      <w:r w:rsidRPr="00B97718">
        <w:rPr>
          <w:lang w:val="en-US"/>
        </w:rPr>
        <w:t>servire</w:t>
      </w:r>
      <w:proofErr w:type="spellEnd"/>
      <w:r w:rsidRPr="00B97718">
        <w:rPr>
          <w:lang w:val="en-US"/>
        </w:rPr>
        <w:t xml:space="preserve"> </w:t>
      </w:r>
      <w:proofErr w:type="spellStart"/>
      <w:r w:rsidRPr="00B97718">
        <w:rPr>
          <w:lang w:val="en-US"/>
        </w:rPr>
        <w:t>anche</w:t>
      </w:r>
      <w:proofErr w:type="spellEnd"/>
      <w:r w:rsidRPr="00B97718">
        <w:rPr>
          <w:lang w:val="en-US"/>
        </w:rPr>
        <w:t xml:space="preserve"> a </w:t>
      </w:r>
      <w:proofErr w:type="spellStart"/>
      <w:r w:rsidRPr="00B97718">
        <w:rPr>
          <w:lang w:val="en-US"/>
        </w:rPr>
        <w:t>orghano</w:t>
      </w:r>
      <w:proofErr w:type="spellEnd"/>
      <w:r w:rsidRPr="00B97718">
        <w:rPr>
          <w:lang w:val="en-US"/>
        </w:rPr>
        <w:t xml:space="preserve">, </w:t>
      </w:r>
      <w:proofErr w:type="spellStart"/>
      <w:r w:rsidRPr="00B97718">
        <w:rPr>
          <w:lang w:val="en-US"/>
        </w:rPr>
        <w:t>mancavi</w:t>
      </w:r>
      <w:proofErr w:type="spellEnd"/>
      <w:r w:rsidRPr="00B97718">
        <w:rPr>
          <w:lang w:val="en-US"/>
        </w:rPr>
        <w:t xml:space="preserve"> le </w:t>
      </w:r>
      <w:proofErr w:type="spellStart"/>
      <w:r w:rsidRPr="00B97718">
        <w:rPr>
          <w:lang w:val="en-US"/>
        </w:rPr>
        <w:t>channe</w:t>
      </w:r>
      <w:proofErr w:type="spellEnd"/>
      <w:r w:rsidRPr="00B97718">
        <w:rPr>
          <w:lang w:val="en-US"/>
        </w:rPr>
        <w:t xml:space="preserve"> …</w:t>
      </w:r>
      <w:proofErr w:type="spellStart"/>
      <w:r w:rsidRPr="00B97718">
        <w:rPr>
          <w:lang w:val="en-US"/>
        </w:rPr>
        <w:t>uno</w:t>
      </w:r>
      <w:proofErr w:type="spellEnd"/>
      <w:r w:rsidRPr="00B97718">
        <w:rPr>
          <w:lang w:val="en-US"/>
        </w:rPr>
        <w:t xml:space="preserve"> </w:t>
      </w:r>
      <w:proofErr w:type="spellStart"/>
      <w:r w:rsidRPr="00B97718">
        <w:rPr>
          <w:lang w:val="en-US"/>
        </w:rPr>
        <w:t>gravicembolo</w:t>
      </w:r>
      <w:proofErr w:type="spellEnd"/>
      <w:r w:rsidRPr="00B97718">
        <w:rPr>
          <w:lang w:val="en-US"/>
        </w:rPr>
        <w:t xml:space="preserve"> </w:t>
      </w:r>
      <w:proofErr w:type="spellStart"/>
      <w:r w:rsidRPr="00B97718">
        <w:rPr>
          <w:lang w:val="en-US"/>
        </w:rPr>
        <w:t>scempio</w:t>
      </w:r>
      <w:proofErr w:type="spellEnd"/>
      <w:r w:rsidRPr="00B97718">
        <w:rPr>
          <w:lang w:val="en-US"/>
        </w:rPr>
        <w:t xml:space="preserve">, </w:t>
      </w:r>
      <w:proofErr w:type="spellStart"/>
      <w:r w:rsidRPr="00B97718">
        <w:rPr>
          <w:lang w:val="en-US"/>
        </w:rPr>
        <w:t>cholle</w:t>
      </w:r>
      <w:proofErr w:type="spellEnd"/>
      <w:r w:rsidRPr="00B97718">
        <w:rPr>
          <w:lang w:val="en-US"/>
        </w:rPr>
        <w:t xml:space="preserve"> tire … </w:t>
      </w:r>
      <w:proofErr w:type="spellStart"/>
      <w:r w:rsidRPr="00B97718">
        <w:rPr>
          <w:lang w:val="en-US"/>
        </w:rPr>
        <w:t>uno</w:t>
      </w:r>
      <w:proofErr w:type="spellEnd"/>
      <w:r w:rsidRPr="00B97718">
        <w:rPr>
          <w:lang w:val="en-US"/>
        </w:rPr>
        <w:t xml:space="preserve"> </w:t>
      </w:r>
      <w:proofErr w:type="spellStart"/>
      <w:r w:rsidRPr="00B97718">
        <w:rPr>
          <w:lang w:val="en-US"/>
        </w:rPr>
        <w:t>gravicembolo</w:t>
      </w:r>
      <w:proofErr w:type="spellEnd"/>
      <w:r w:rsidRPr="00B97718">
        <w:rPr>
          <w:lang w:val="en-US"/>
        </w:rPr>
        <w:t xml:space="preserve"> doppio, </w:t>
      </w:r>
      <w:proofErr w:type="spellStart"/>
      <w:r w:rsidRPr="00B97718">
        <w:rPr>
          <w:lang w:val="en-US"/>
        </w:rPr>
        <w:t>cholle</w:t>
      </w:r>
      <w:proofErr w:type="spellEnd"/>
      <w:r w:rsidRPr="00B97718">
        <w:rPr>
          <w:lang w:val="en-US"/>
        </w:rPr>
        <w:t xml:space="preserve"> tire … </w:t>
      </w:r>
      <w:proofErr w:type="spellStart"/>
      <w:r w:rsidRPr="00B97718">
        <w:rPr>
          <w:lang w:val="en-US"/>
        </w:rPr>
        <w:t>dua</w:t>
      </w:r>
      <w:proofErr w:type="spellEnd"/>
      <w:r w:rsidRPr="00B97718">
        <w:rPr>
          <w:lang w:val="en-US"/>
        </w:rPr>
        <w:t xml:space="preserve"> </w:t>
      </w:r>
      <w:proofErr w:type="spellStart"/>
      <w:r w:rsidRPr="00B97718">
        <w:rPr>
          <w:lang w:val="en-US"/>
        </w:rPr>
        <w:t>gravicembali</w:t>
      </w:r>
      <w:proofErr w:type="spellEnd"/>
      <w:r w:rsidRPr="00B97718">
        <w:rPr>
          <w:lang w:val="en-US"/>
        </w:rPr>
        <w:t xml:space="preserve"> </w:t>
      </w:r>
      <w:proofErr w:type="spellStart"/>
      <w:r w:rsidRPr="00B97718">
        <w:rPr>
          <w:lang w:val="en-US"/>
        </w:rPr>
        <w:t>scempi</w:t>
      </w:r>
      <w:proofErr w:type="spellEnd"/>
      <w:r w:rsidRPr="00B97718">
        <w:rPr>
          <w:lang w:val="en-US"/>
        </w:rPr>
        <w:t xml:space="preserve">, </w:t>
      </w:r>
      <w:proofErr w:type="spellStart"/>
      <w:r w:rsidRPr="00B97718">
        <w:rPr>
          <w:lang w:val="en-US"/>
        </w:rPr>
        <w:t>picholi</w:t>
      </w:r>
      <w:proofErr w:type="spellEnd"/>
      <w:r w:rsidRPr="00B97718">
        <w:rPr>
          <w:lang w:val="en-US"/>
        </w:rPr>
        <w:t xml:space="preserve"> … </w:t>
      </w:r>
      <w:proofErr w:type="spellStart"/>
      <w:r w:rsidRPr="00B97718">
        <w:rPr>
          <w:lang w:val="en-US"/>
        </w:rPr>
        <w:t>tre</w:t>
      </w:r>
      <w:proofErr w:type="spellEnd"/>
      <w:r w:rsidRPr="00B97718">
        <w:rPr>
          <w:lang w:val="en-US"/>
        </w:rPr>
        <w:t xml:space="preserve"> </w:t>
      </w:r>
      <w:proofErr w:type="spellStart"/>
      <w:r w:rsidRPr="00B97718">
        <w:rPr>
          <w:lang w:val="en-US"/>
        </w:rPr>
        <w:t>gravichordi</w:t>
      </w:r>
      <w:proofErr w:type="spellEnd"/>
      <w:r w:rsidRPr="00B97718">
        <w:rPr>
          <w:lang w:val="en-US"/>
        </w:rPr>
        <w:t xml:space="preserve"> … una </w:t>
      </w:r>
      <w:proofErr w:type="spellStart"/>
      <w:r w:rsidRPr="00B97718">
        <w:rPr>
          <w:lang w:val="en-US"/>
        </w:rPr>
        <w:t>vivuola</w:t>
      </w:r>
      <w:proofErr w:type="spellEnd"/>
      <w:r w:rsidRPr="00B97718">
        <w:rPr>
          <w:lang w:val="en-US"/>
        </w:rPr>
        <w:t xml:space="preserve"> </w:t>
      </w:r>
      <w:proofErr w:type="spellStart"/>
      <w:r w:rsidRPr="00B97718">
        <w:rPr>
          <w:lang w:val="en-US"/>
        </w:rPr>
        <w:t>cho</w:t>
      </w:r>
      <w:proofErr w:type="spellEnd"/>
      <w:r w:rsidRPr="00B97718">
        <w:rPr>
          <w:lang w:val="en-US"/>
        </w:rPr>
        <w:t xml:space="preserve">’ </w:t>
      </w:r>
      <w:proofErr w:type="spellStart"/>
      <w:r w:rsidRPr="00B97718">
        <w:rPr>
          <w:lang w:val="en-US"/>
        </w:rPr>
        <w:t>tasti</w:t>
      </w:r>
      <w:proofErr w:type="spellEnd"/>
      <w:r w:rsidRPr="00B97718">
        <w:rPr>
          <w:lang w:val="en-US"/>
        </w:rPr>
        <w:t xml:space="preserve">, a </w:t>
      </w:r>
      <w:proofErr w:type="spellStart"/>
      <w:r w:rsidRPr="00B97718">
        <w:rPr>
          <w:lang w:val="en-US"/>
        </w:rPr>
        <w:t>uso</w:t>
      </w:r>
      <w:proofErr w:type="spellEnd"/>
      <w:r w:rsidRPr="00B97718">
        <w:rPr>
          <w:lang w:val="en-US"/>
        </w:rPr>
        <w:t xml:space="preserve"> di </w:t>
      </w:r>
      <w:proofErr w:type="spellStart"/>
      <w:r w:rsidRPr="00B97718">
        <w:rPr>
          <w:lang w:val="en-US"/>
        </w:rPr>
        <w:t>monachordo</w:t>
      </w:r>
      <w:proofErr w:type="spellEnd"/>
      <w:r w:rsidRPr="00B97718">
        <w:rPr>
          <w:lang w:val="en-US"/>
        </w:rPr>
        <w:t xml:space="preserve"> … una </w:t>
      </w:r>
      <w:proofErr w:type="spellStart"/>
      <w:r w:rsidRPr="00B97718">
        <w:rPr>
          <w:lang w:val="en-US"/>
        </w:rPr>
        <w:t>arpe</w:t>
      </w:r>
      <w:proofErr w:type="spellEnd"/>
      <w:r w:rsidRPr="00B97718">
        <w:rPr>
          <w:lang w:val="en-US"/>
        </w:rPr>
        <w:t xml:space="preserve"> a quattro </w:t>
      </w:r>
      <w:proofErr w:type="spellStart"/>
      <w:r w:rsidRPr="00B97718">
        <w:rPr>
          <w:lang w:val="en-US"/>
        </w:rPr>
        <w:t>filari</w:t>
      </w:r>
      <w:proofErr w:type="spellEnd"/>
      <w:r w:rsidRPr="00B97718">
        <w:rPr>
          <w:lang w:val="en-US"/>
        </w:rPr>
        <w:t xml:space="preserve"> … </w:t>
      </w:r>
      <w:proofErr w:type="spellStart"/>
      <w:r w:rsidRPr="00B97718">
        <w:rPr>
          <w:lang w:val="en-US"/>
        </w:rPr>
        <w:t>uno</w:t>
      </w:r>
      <w:proofErr w:type="spellEnd"/>
      <w:r w:rsidRPr="00B97718">
        <w:rPr>
          <w:lang w:val="en-US"/>
        </w:rPr>
        <w:t xml:space="preserve"> </w:t>
      </w:r>
      <w:proofErr w:type="spellStart"/>
      <w:r w:rsidRPr="00B97718">
        <w:rPr>
          <w:lang w:val="en-US"/>
        </w:rPr>
        <w:t>liuto</w:t>
      </w:r>
      <w:proofErr w:type="spellEnd"/>
      <w:r w:rsidRPr="00B97718">
        <w:rPr>
          <w:lang w:val="en-US"/>
        </w:rPr>
        <w:t xml:space="preserve"> </w:t>
      </w:r>
      <w:proofErr w:type="spellStart"/>
      <w:r w:rsidRPr="00B97718">
        <w:rPr>
          <w:lang w:val="en-US"/>
        </w:rPr>
        <w:t>grande</w:t>
      </w:r>
      <w:proofErr w:type="spellEnd"/>
      <w:r w:rsidRPr="00B97718">
        <w:rPr>
          <w:lang w:val="en-US"/>
        </w:rPr>
        <w:t xml:space="preserve"> … </w:t>
      </w:r>
      <w:proofErr w:type="spellStart"/>
      <w:r w:rsidRPr="00B97718">
        <w:rPr>
          <w:lang w:val="en-US"/>
        </w:rPr>
        <w:t>uno</w:t>
      </w:r>
      <w:proofErr w:type="spellEnd"/>
      <w:r w:rsidRPr="00B97718">
        <w:rPr>
          <w:lang w:val="en-US"/>
        </w:rPr>
        <w:t xml:space="preserve"> </w:t>
      </w:r>
      <w:proofErr w:type="spellStart"/>
      <w:r w:rsidRPr="00B97718">
        <w:rPr>
          <w:lang w:val="en-US"/>
        </w:rPr>
        <w:t>liuto</w:t>
      </w:r>
      <w:proofErr w:type="spellEnd"/>
      <w:r w:rsidRPr="00B97718">
        <w:rPr>
          <w:lang w:val="en-US"/>
        </w:rPr>
        <w:t xml:space="preserve"> </w:t>
      </w:r>
      <w:proofErr w:type="spellStart"/>
      <w:r w:rsidRPr="00B97718">
        <w:rPr>
          <w:lang w:val="en-US"/>
        </w:rPr>
        <w:t>rotto</w:t>
      </w:r>
      <w:proofErr w:type="spellEnd"/>
      <w:r w:rsidRPr="00B97718">
        <w:rPr>
          <w:lang w:val="en-US"/>
        </w:rPr>
        <w:t xml:space="preserve"> … </w:t>
      </w:r>
      <w:proofErr w:type="spellStart"/>
      <w:r w:rsidRPr="00B97718">
        <w:rPr>
          <w:lang w:val="en-US"/>
        </w:rPr>
        <w:t>tre</w:t>
      </w:r>
      <w:proofErr w:type="spellEnd"/>
      <w:r w:rsidRPr="00B97718">
        <w:rPr>
          <w:lang w:val="en-US"/>
        </w:rPr>
        <w:t xml:space="preserve"> </w:t>
      </w:r>
      <w:proofErr w:type="spellStart"/>
      <w:r w:rsidRPr="00B97718">
        <w:rPr>
          <w:lang w:val="en-US"/>
        </w:rPr>
        <w:t>vivuole</w:t>
      </w:r>
      <w:proofErr w:type="spellEnd"/>
      <w:r w:rsidRPr="00B97718">
        <w:rPr>
          <w:lang w:val="en-US"/>
        </w:rPr>
        <w:t xml:space="preserve"> </w:t>
      </w:r>
      <w:proofErr w:type="spellStart"/>
      <w:r w:rsidRPr="00B97718">
        <w:rPr>
          <w:lang w:val="en-US"/>
        </w:rPr>
        <w:t>grandi</w:t>
      </w:r>
      <w:proofErr w:type="spellEnd"/>
      <w:r w:rsidRPr="00B97718">
        <w:rPr>
          <w:lang w:val="en-US"/>
        </w:rPr>
        <w:t xml:space="preserve"> … </w:t>
      </w:r>
      <w:proofErr w:type="spellStart"/>
      <w:r w:rsidRPr="00B97718">
        <w:rPr>
          <w:lang w:val="en-US"/>
        </w:rPr>
        <w:t>uno</w:t>
      </w:r>
      <w:proofErr w:type="spellEnd"/>
      <w:r w:rsidRPr="00B97718">
        <w:rPr>
          <w:lang w:val="en-US"/>
        </w:rPr>
        <w:t xml:space="preserve"> </w:t>
      </w:r>
      <w:proofErr w:type="spellStart"/>
      <w:r w:rsidRPr="00B97718">
        <w:rPr>
          <w:lang w:val="en-US"/>
        </w:rPr>
        <w:t>giuocho</w:t>
      </w:r>
      <w:proofErr w:type="spellEnd"/>
      <w:r w:rsidRPr="00B97718">
        <w:rPr>
          <w:lang w:val="en-US"/>
        </w:rPr>
        <w:t xml:space="preserve"> di </w:t>
      </w:r>
      <w:proofErr w:type="spellStart"/>
      <w:r w:rsidRPr="00B97718">
        <w:rPr>
          <w:lang w:val="en-US"/>
        </w:rPr>
        <w:t>zufoli</w:t>
      </w:r>
      <w:proofErr w:type="spellEnd"/>
      <w:r w:rsidRPr="00B97718">
        <w:rPr>
          <w:lang w:val="en-US"/>
        </w:rPr>
        <w:t xml:space="preserve"> a </w:t>
      </w:r>
      <w:proofErr w:type="spellStart"/>
      <w:r w:rsidRPr="00B97718">
        <w:rPr>
          <w:lang w:val="en-US"/>
        </w:rPr>
        <w:t>uso</w:t>
      </w:r>
      <w:proofErr w:type="spellEnd"/>
      <w:r w:rsidRPr="00B97718">
        <w:rPr>
          <w:lang w:val="en-US"/>
        </w:rPr>
        <w:t xml:space="preserve"> di </w:t>
      </w:r>
      <w:proofErr w:type="spellStart"/>
      <w:r w:rsidRPr="00B97718">
        <w:rPr>
          <w:lang w:val="en-US"/>
        </w:rPr>
        <w:t>pifferi</w:t>
      </w:r>
      <w:proofErr w:type="spellEnd"/>
      <w:r w:rsidRPr="00B97718">
        <w:rPr>
          <w:lang w:val="en-US"/>
        </w:rPr>
        <w:t xml:space="preserve">, </w:t>
      </w:r>
      <w:proofErr w:type="spellStart"/>
      <w:r w:rsidRPr="00B97718">
        <w:rPr>
          <w:lang w:val="en-US"/>
        </w:rPr>
        <w:t>cholle</w:t>
      </w:r>
      <w:proofErr w:type="spellEnd"/>
      <w:r w:rsidRPr="00B97718">
        <w:rPr>
          <w:lang w:val="en-US"/>
        </w:rPr>
        <w:t xml:space="preserve"> </w:t>
      </w:r>
      <w:proofErr w:type="spellStart"/>
      <w:r w:rsidRPr="00B97718">
        <w:rPr>
          <w:lang w:val="en-US"/>
        </w:rPr>
        <w:t>ghiere</w:t>
      </w:r>
      <w:proofErr w:type="spellEnd"/>
      <w:r w:rsidRPr="00B97718">
        <w:rPr>
          <w:lang w:val="en-US"/>
        </w:rPr>
        <w:t xml:space="preserve"> </w:t>
      </w:r>
      <w:proofErr w:type="spellStart"/>
      <w:r w:rsidRPr="00B97718">
        <w:rPr>
          <w:lang w:val="en-US"/>
        </w:rPr>
        <w:t>nere</w:t>
      </w:r>
      <w:proofErr w:type="spellEnd"/>
      <w:r w:rsidRPr="00B97718">
        <w:rPr>
          <w:lang w:val="en-US"/>
        </w:rPr>
        <w:t xml:space="preserve"> e </w:t>
      </w:r>
      <w:proofErr w:type="spellStart"/>
      <w:r w:rsidRPr="00B97718">
        <w:rPr>
          <w:lang w:val="en-US"/>
        </w:rPr>
        <w:t>bianche</w:t>
      </w:r>
      <w:proofErr w:type="spellEnd"/>
      <w:r w:rsidRPr="00B97718">
        <w:rPr>
          <w:lang w:val="en-US"/>
        </w:rPr>
        <w:t xml:space="preserve">, </w:t>
      </w:r>
      <w:proofErr w:type="spellStart"/>
      <w:r w:rsidRPr="00B97718">
        <w:rPr>
          <w:lang w:val="en-US"/>
        </w:rPr>
        <w:t>sono</w:t>
      </w:r>
      <w:proofErr w:type="spellEnd"/>
      <w:r w:rsidRPr="00B97718">
        <w:rPr>
          <w:lang w:val="en-US"/>
        </w:rPr>
        <w:t xml:space="preserve"> </w:t>
      </w:r>
      <w:proofErr w:type="spellStart"/>
      <w:r w:rsidRPr="00B97718">
        <w:rPr>
          <w:lang w:val="en-US"/>
        </w:rPr>
        <w:t>zufali</w:t>
      </w:r>
      <w:proofErr w:type="spellEnd"/>
      <w:r w:rsidRPr="00B97718">
        <w:rPr>
          <w:lang w:val="en-US"/>
        </w:rPr>
        <w:t xml:space="preserve"> cinque … </w:t>
      </w:r>
      <w:proofErr w:type="spellStart"/>
      <w:r w:rsidRPr="00B97718">
        <w:rPr>
          <w:lang w:val="en-US"/>
        </w:rPr>
        <w:t>tre</w:t>
      </w:r>
      <w:proofErr w:type="spellEnd"/>
      <w:r w:rsidRPr="00B97718">
        <w:rPr>
          <w:lang w:val="en-US"/>
        </w:rPr>
        <w:t xml:space="preserve"> </w:t>
      </w:r>
      <w:proofErr w:type="spellStart"/>
      <w:r w:rsidRPr="00B97718">
        <w:rPr>
          <w:lang w:val="en-US"/>
        </w:rPr>
        <w:t>zufoli</w:t>
      </w:r>
      <w:proofErr w:type="spellEnd"/>
      <w:r w:rsidRPr="00B97718">
        <w:rPr>
          <w:lang w:val="en-US"/>
        </w:rPr>
        <w:t xml:space="preserve"> chon </w:t>
      </w:r>
      <w:proofErr w:type="spellStart"/>
      <w:r w:rsidRPr="00B97718">
        <w:rPr>
          <w:lang w:val="en-US"/>
        </w:rPr>
        <w:t>ghiere</w:t>
      </w:r>
      <w:proofErr w:type="spellEnd"/>
      <w:r w:rsidRPr="00B97718">
        <w:rPr>
          <w:lang w:val="en-US"/>
        </w:rPr>
        <w:t xml:space="preserve"> </w:t>
      </w:r>
      <w:proofErr w:type="spellStart"/>
      <w:r w:rsidRPr="00B97718">
        <w:rPr>
          <w:lang w:val="en-US"/>
        </w:rPr>
        <w:t>d’argento</w:t>
      </w:r>
      <w:proofErr w:type="spellEnd"/>
      <w:r w:rsidRPr="00B97718">
        <w:rPr>
          <w:lang w:val="en-US"/>
        </w:rPr>
        <w:t xml:space="preserve">”. Quoted in ibid., 229–30 n.26. I thank Dr Tim Shephard for his advice on the identification of the musical instruments in this and in the following inventories; see Maria </w:t>
      </w:r>
      <w:proofErr w:type="spellStart"/>
      <w:r w:rsidRPr="00B97718">
        <w:rPr>
          <w:lang w:val="en-US"/>
        </w:rPr>
        <w:t>DePrano</w:t>
      </w:r>
      <w:proofErr w:type="spellEnd"/>
      <w:r w:rsidRPr="00B97718">
        <w:rPr>
          <w:lang w:val="en-US"/>
        </w:rPr>
        <w:t>, “</w:t>
      </w:r>
      <w:r w:rsidRPr="00B97718">
        <w:rPr>
          <w:i/>
          <w:iCs/>
          <w:lang w:val="en-US"/>
        </w:rPr>
        <w:t xml:space="preserve">Chi </w:t>
      </w:r>
      <w:proofErr w:type="spellStart"/>
      <w:r w:rsidRPr="00B97718">
        <w:rPr>
          <w:i/>
          <w:iCs/>
          <w:lang w:val="en-US"/>
        </w:rPr>
        <w:t>Vuol</w:t>
      </w:r>
      <w:proofErr w:type="spellEnd"/>
      <w:r w:rsidRPr="00B97718">
        <w:rPr>
          <w:i/>
          <w:iCs/>
          <w:lang w:val="en-US"/>
        </w:rPr>
        <w:t xml:space="preserve"> </w:t>
      </w:r>
      <w:proofErr w:type="spellStart"/>
      <w:r w:rsidRPr="00B97718">
        <w:rPr>
          <w:i/>
          <w:iCs/>
          <w:lang w:val="en-US"/>
        </w:rPr>
        <w:t>Esser</w:t>
      </w:r>
      <w:proofErr w:type="spellEnd"/>
      <w:r w:rsidRPr="00B97718">
        <w:rPr>
          <w:i/>
          <w:iCs/>
          <w:lang w:val="en-US"/>
        </w:rPr>
        <w:t xml:space="preserve"> </w:t>
      </w:r>
      <w:proofErr w:type="spellStart"/>
      <w:r w:rsidRPr="00B97718">
        <w:rPr>
          <w:i/>
          <w:iCs/>
          <w:lang w:val="en-US"/>
        </w:rPr>
        <w:t>Lieto</w:t>
      </w:r>
      <w:proofErr w:type="spellEnd"/>
      <w:r w:rsidRPr="00B97718">
        <w:rPr>
          <w:i/>
          <w:iCs/>
          <w:lang w:val="en-US"/>
        </w:rPr>
        <w:t>, Sia</w:t>
      </w:r>
      <w:r w:rsidRPr="00B97718">
        <w:rPr>
          <w:lang w:val="en-US"/>
        </w:rPr>
        <w:t xml:space="preserve">: Objects of </w:t>
      </w:r>
      <w:proofErr w:type="spellStart"/>
      <w:r w:rsidRPr="00B97718">
        <w:rPr>
          <w:lang w:val="en-US"/>
        </w:rPr>
        <w:t>Enterteinment</w:t>
      </w:r>
      <w:proofErr w:type="spellEnd"/>
      <w:r w:rsidRPr="00B97718">
        <w:rPr>
          <w:lang w:val="en-US"/>
        </w:rPr>
        <w:t xml:space="preserve"> in the Tornabuoni Palace in Florence,” in </w:t>
      </w:r>
      <w:r w:rsidRPr="00B97718">
        <w:rPr>
          <w:i/>
          <w:iCs/>
          <w:lang w:val="en-US"/>
        </w:rPr>
        <w:t>The Early Modern Italian Domestic Interior, 1400-1700: Objects, Spaces, Domesticities</w:t>
      </w:r>
      <w:r w:rsidRPr="00B97718">
        <w:rPr>
          <w:lang w:val="en-US"/>
        </w:rPr>
        <w:t xml:space="preserve">, ed. Elizabeth Carroll </w:t>
      </w:r>
      <w:proofErr w:type="spellStart"/>
      <w:r w:rsidRPr="00B97718">
        <w:rPr>
          <w:lang w:val="en-US"/>
        </w:rPr>
        <w:t>Consavari</w:t>
      </w:r>
      <w:proofErr w:type="spellEnd"/>
      <w:r w:rsidRPr="00B97718">
        <w:rPr>
          <w:lang w:val="en-US"/>
        </w:rPr>
        <w:t>, Stephanie R Miller, and Erin J Campbell</w:t>
      </w:r>
      <w:r>
        <w:rPr>
          <w:lang w:val="en-US"/>
        </w:rPr>
        <w:t xml:space="preserve"> (</w:t>
      </w:r>
      <w:proofErr w:type="spellStart"/>
      <w:r w:rsidRPr="00BE4A64">
        <w:rPr>
          <w:lang w:val="en-US"/>
        </w:rPr>
        <w:t>Farnham</w:t>
      </w:r>
      <w:proofErr w:type="spellEnd"/>
      <w:r w:rsidRPr="00BE4A64">
        <w:rPr>
          <w:lang w:val="en-US"/>
        </w:rPr>
        <w:t>, Surrey: Ashgate</w:t>
      </w:r>
      <w:r>
        <w:rPr>
          <w:lang w:val="en-US"/>
        </w:rPr>
        <w:t>,</w:t>
      </w:r>
      <w:r w:rsidRPr="00BE4A64">
        <w:rPr>
          <w:lang w:val="en-US"/>
        </w:rPr>
        <w:t xml:space="preserve"> 2013</w:t>
      </w:r>
      <w:r>
        <w:rPr>
          <w:lang w:val="en-US"/>
        </w:rPr>
        <w:t>)</w:t>
      </w:r>
      <w:r w:rsidRPr="00B97718">
        <w:rPr>
          <w:lang w:val="en-US"/>
        </w:rPr>
        <w:t>, 133 for a different identification of the instruments.</w:t>
      </w:r>
    </w:p>
  </w:footnote>
  <w:footnote w:id="265">
    <w:p w14:paraId="32B2361C" w14:textId="77777777" w:rsidR="00182EED" w:rsidRDefault="00182EED" w:rsidP="001840E8">
      <w:pPr>
        <w:pStyle w:val="FootnoteText"/>
      </w:pPr>
      <w:r w:rsidRPr="00391186">
        <w:rPr>
          <w:rStyle w:val="FootnoteReference"/>
        </w:rPr>
        <w:footnoteRef/>
      </w:r>
      <w:r>
        <w:t xml:space="preserve"> </w:t>
      </w:r>
      <w:r w:rsidRPr="00CC4C98">
        <w:rPr>
          <w:lang w:val="en-US"/>
        </w:rPr>
        <w:t xml:space="preserve">"1a </w:t>
      </w:r>
      <w:proofErr w:type="spellStart"/>
      <w:r w:rsidRPr="00CC4C98">
        <w:rPr>
          <w:lang w:val="en-US"/>
        </w:rPr>
        <w:t>viuola</w:t>
      </w:r>
      <w:proofErr w:type="spellEnd"/>
      <w:r w:rsidRPr="00CC4C98">
        <w:rPr>
          <w:lang w:val="en-US"/>
        </w:rPr>
        <w:t xml:space="preserve"> con </w:t>
      </w:r>
      <w:proofErr w:type="spellStart"/>
      <w:r w:rsidRPr="00CC4C98">
        <w:rPr>
          <w:lang w:val="en-US"/>
        </w:rPr>
        <w:t>l’archetto</w:t>
      </w:r>
      <w:proofErr w:type="spellEnd"/>
      <w:r w:rsidRPr="00CC4C98">
        <w:rPr>
          <w:lang w:val="en-US"/>
        </w:rPr>
        <w:t xml:space="preserve">, 2 </w:t>
      </w:r>
      <w:proofErr w:type="spellStart"/>
      <w:r w:rsidRPr="00CC4C98">
        <w:rPr>
          <w:lang w:val="en-US"/>
        </w:rPr>
        <w:t>zufoli</w:t>
      </w:r>
      <w:proofErr w:type="spellEnd"/>
      <w:r w:rsidRPr="00CC4C98">
        <w:rPr>
          <w:lang w:val="en-US"/>
        </w:rPr>
        <w:t xml:space="preserve"> da </w:t>
      </w:r>
      <w:proofErr w:type="spellStart"/>
      <w:r w:rsidRPr="00CC4C98">
        <w:rPr>
          <w:lang w:val="en-US"/>
        </w:rPr>
        <w:t>suonare</w:t>
      </w:r>
      <w:proofErr w:type="spellEnd"/>
      <w:r w:rsidRPr="00CC4C98">
        <w:rPr>
          <w:lang w:val="en-US"/>
        </w:rPr>
        <w:t xml:space="preserve">, 1° </w:t>
      </w:r>
      <w:proofErr w:type="spellStart"/>
      <w:r w:rsidRPr="00CC4C98">
        <w:rPr>
          <w:lang w:val="en-US"/>
        </w:rPr>
        <w:t>chorno</w:t>
      </w:r>
      <w:proofErr w:type="spellEnd"/>
      <w:r w:rsidRPr="00CC4C98">
        <w:rPr>
          <w:lang w:val="en-US"/>
        </w:rPr>
        <w:t xml:space="preserve"> </w:t>
      </w:r>
      <w:proofErr w:type="spellStart"/>
      <w:r w:rsidRPr="00CC4C98">
        <w:rPr>
          <w:lang w:val="en-US"/>
        </w:rPr>
        <w:t>d’osso</w:t>
      </w:r>
      <w:proofErr w:type="spellEnd"/>
      <w:r w:rsidRPr="00CC4C98">
        <w:rPr>
          <w:lang w:val="en-US"/>
        </w:rPr>
        <w:t xml:space="preserve"> con </w:t>
      </w:r>
      <w:proofErr w:type="spellStart"/>
      <w:r w:rsidRPr="00CC4C98">
        <w:rPr>
          <w:lang w:val="en-US"/>
        </w:rPr>
        <w:t>lavori</w:t>
      </w:r>
      <w:proofErr w:type="spellEnd"/>
      <w:r w:rsidRPr="00CC4C98">
        <w:rPr>
          <w:lang w:val="en-US"/>
        </w:rPr>
        <w:t xml:space="preserve"> … 1a </w:t>
      </w:r>
      <w:proofErr w:type="spellStart"/>
      <w:r w:rsidRPr="00CC4C98">
        <w:rPr>
          <w:lang w:val="en-US"/>
        </w:rPr>
        <w:t>arpa</w:t>
      </w:r>
      <w:proofErr w:type="spellEnd"/>
      <w:r w:rsidRPr="00CC4C98">
        <w:rPr>
          <w:lang w:val="en-US"/>
        </w:rPr>
        <w:t xml:space="preserve"> </w:t>
      </w:r>
      <w:proofErr w:type="spellStart"/>
      <w:r w:rsidRPr="00CC4C98">
        <w:rPr>
          <w:lang w:val="en-US"/>
        </w:rPr>
        <w:t>grande</w:t>
      </w:r>
      <w:proofErr w:type="spellEnd"/>
      <w:r w:rsidRPr="00CC4C98">
        <w:rPr>
          <w:lang w:val="en-US"/>
        </w:rPr>
        <w:t xml:space="preserve"> da </w:t>
      </w:r>
      <w:proofErr w:type="spellStart"/>
      <w:r w:rsidRPr="00CC4C98">
        <w:rPr>
          <w:lang w:val="en-US"/>
        </w:rPr>
        <w:t>sonare</w:t>
      </w:r>
      <w:proofErr w:type="spellEnd"/>
      <w:r w:rsidRPr="00CC4C98">
        <w:rPr>
          <w:lang w:val="en-US"/>
        </w:rPr>
        <w:t xml:space="preserve"> … 1a </w:t>
      </w:r>
      <w:proofErr w:type="spellStart"/>
      <w:r w:rsidRPr="00CC4C98">
        <w:rPr>
          <w:lang w:val="en-US"/>
        </w:rPr>
        <w:t>viuola</w:t>
      </w:r>
      <w:proofErr w:type="spellEnd"/>
      <w:r w:rsidRPr="00CC4C98">
        <w:rPr>
          <w:lang w:val="en-US"/>
        </w:rPr>
        <w:t xml:space="preserve"> da </w:t>
      </w:r>
      <w:proofErr w:type="spellStart"/>
      <w:r w:rsidRPr="00CC4C98">
        <w:rPr>
          <w:lang w:val="en-US"/>
        </w:rPr>
        <w:t>sonare</w:t>
      </w:r>
      <w:proofErr w:type="spellEnd"/>
      <w:r w:rsidRPr="00CC4C98">
        <w:rPr>
          <w:lang w:val="en-US"/>
        </w:rPr>
        <w:t xml:space="preserve">.” Quoted in </w:t>
      </w:r>
      <w:proofErr w:type="spellStart"/>
      <w:r w:rsidRPr="00CC4C98">
        <w:rPr>
          <w:lang w:val="en-US"/>
        </w:rPr>
        <w:t>DePrano</w:t>
      </w:r>
      <w:proofErr w:type="spellEnd"/>
      <w:r w:rsidRPr="00CC4C98">
        <w:rPr>
          <w:lang w:val="en-US"/>
        </w:rPr>
        <w:t xml:space="preserve">, “Chi </w:t>
      </w:r>
      <w:proofErr w:type="spellStart"/>
      <w:r w:rsidRPr="00CC4C98">
        <w:rPr>
          <w:lang w:val="en-US"/>
        </w:rPr>
        <w:t>Vuol</w:t>
      </w:r>
      <w:proofErr w:type="spellEnd"/>
      <w:r w:rsidRPr="00CC4C98">
        <w:rPr>
          <w:lang w:val="en-US"/>
        </w:rPr>
        <w:t xml:space="preserve"> </w:t>
      </w:r>
      <w:proofErr w:type="spellStart"/>
      <w:r w:rsidRPr="00CC4C98">
        <w:rPr>
          <w:lang w:val="en-US"/>
        </w:rPr>
        <w:t>Esser</w:t>
      </w:r>
      <w:proofErr w:type="spellEnd"/>
      <w:r w:rsidRPr="00CC4C98">
        <w:rPr>
          <w:lang w:val="en-US"/>
        </w:rPr>
        <w:t xml:space="preserve"> </w:t>
      </w:r>
      <w:proofErr w:type="spellStart"/>
      <w:r w:rsidRPr="00CC4C98">
        <w:rPr>
          <w:lang w:val="en-US"/>
        </w:rPr>
        <w:t>Lieto</w:t>
      </w:r>
      <w:proofErr w:type="spellEnd"/>
      <w:r w:rsidRPr="00CC4C98">
        <w:rPr>
          <w:lang w:val="en-US"/>
        </w:rPr>
        <w:t>, Sia,” 134.</w:t>
      </w:r>
    </w:p>
  </w:footnote>
  <w:footnote w:id="266">
    <w:p w14:paraId="79D29687" w14:textId="77777777" w:rsidR="00182EED" w:rsidRDefault="00182EED" w:rsidP="001840E8">
      <w:pPr>
        <w:pStyle w:val="FootnoteText"/>
      </w:pPr>
      <w:r w:rsidRPr="00391186">
        <w:rPr>
          <w:rStyle w:val="FootnoteReference"/>
        </w:rPr>
        <w:footnoteRef/>
      </w:r>
      <w:r>
        <w:t xml:space="preserve"> </w:t>
      </w:r>
      <w:r w:rsidRPr="00133716">
        <w:rPr>
          <w:lang w:val="en-US"/>
        </w:rPr>
        <w:t xml:space="preserve">“1° </w:t>
      </w:r>
      <w:proofErr w:type="spellStart"/>
      <w:r w:rsidRPr="00133716">
        <w:rPr>
          <w:lang w:val="en-US"/>
        </w:rPr>
        <w:t>monachordo</w:t>
      </w:r>
      <w:proofErr w:type="spellEnd"/>
      <w:r w:rsidRPr="00133716">
        <w:rPr>
          <w:lang w:val="en-US"/>
        </w:rPr>
        <w:t xml:space="preserve"> </w:t>
      </w:r>
      <w:proofErr w:type="spellStart"/>
      <w:r w:rsidRPr="00133716">
        <w:rPr>
          <w:lang w:val="en-US"/>
        </w:rPr>
        <w:t>cho</w:t>
      </w:r>
      <w:proofErr w:type="spellEnd"/>
      <w:r w:rsidRPr="00133716">
        <w:rPr>
          <w:lang w:val="en-US"/>
        </w:rPr>
        <w:t xml:space="preserve">’ la </w:t>
      </w:r>
      <w:proofErr w:type="spellStart"/>
      <w:r w:rsidRPr="00133716">
        <w:rPr>
          <w:lang w:val="en-US"/>
        </w:rPr>
        <w:t>chassa</w:t>
      </w:r>
      <w:proofErr w:type="spellEnd"/>
      <w:r w:rsidRPr="00133716">
        <w:rPr>
          <w:lang w:val="en-US"/>
        </w:rPr>
        <w:t xml:space="preserve">, un </w:t>
      </w:r>
      <w:proofErr w:type="spellStart"/>
      <w:r w:rsidRPr="00133716">
        <w:rPr>
          <w:lang w:val="en-US"/>
        </w:rPr>
        <w:t>paio</w:t>
      </w:r>
      <w:proofErr w:type="spellEnd"/>
      <w:r w:rsidRPr="00133716">
        <w:rPr>
          <w:lang w:val="en-US"/>
        </w:rPr>
        <w:t xml:space="preserve"> </w:t>
      </w:r>
      <w:proofErr w:type="spellStart"/>
      <w:r w:rsidRPr="00133716">
        <w:rPr>
          <w:lang w:val="en-US"/>
        </w:rPr>
        <w:t>d’orghanetti</w:t>
      </w:r>
      <w:proofErr w:type="spellEnd"/>
      <w:r w:rsidRPr="00133716">
        <w:rPr>
          <w:lang w:val="en-US"/>
        </w:rPr>
        <w:t xml:space="preserve"> </w:t>
      </w:r>
      <w:proofErr w:type="spellStart"/>
      <w:r w:rsidRPr="00133716">
        <w:rPr>
          <w:lang w:val="en-US"/>
        </w:rPr>
        <w:t>cho</w:t>
      </w:r>
      <w:proofErr w:type="spellEnd"/>
      <w:r w:rsidRPr="00133716">
        <w:rPr>
          <w:lang w:val="en-US"/>
        </w:rPr>
        <w:t xml:space="preserve"> la </w:t>
      </w:r>
      <w:proofErr w:type="spellStart"/>
      <w:r w:rsidRPr="00133716">
        <w:rPr>
          <w:lang w:val="en-US"/>
        </w:rPr>
        <w:t>chassa</w:t>
      </w:r>
      <w:proofErr w:type="spellEnd"/>
      <w:r w:rsidRPr="00133716">
        <w:rPr>
          <w:lang w:val="en-US"/>
        </w:rPr>
        <w:t xml:space="preserve">”; “1° </w:t>
      </w:r>
      <w:proofErr w:type="spellStart"/>
      <w:r w:rsidRPr="00133716">
        <w:rPr>
          <w:lang w:val="en-US"/>
        </w:rPr>
        <w:t>monachordo</w:t>
      </w:r>
      <w:proofErr w:type="spellEnd"/>
      <w:r w:rsidRPr="00133716">
        <w:rPr>
          <w:lang w:val="en-US"/>
        </w:rPr>
        <w:t xml:space="preserve"> dipinto bello cholla </w:t>
      </w:r>
      <w:proofErr w:type="spellStart"/>
      <w:r w:rsidRPr="00133716">
        <w:rPr>
          <w:lang w:val="en-US"/>
        </w:rPr>
        <w:t>chassa</w:t>
      </w:r>
      <w:proofErr w:type="spellEnd"/>
      <w:r w:rsidRPr="00133716">
        <w:rPr>
          <w:lang w:val="en-US"/>
        </w:rPr>
        <w:t xml:space="preserve">”; “1° </w:t>
      </w:r>
      <w:proofErr w:type="spellStart"/>
      <w:r w:rsidRPr="00133716">
        <w:rPr>
          <w:lang w:val="en-US"/>
        </w:rPr>
        <w:t>paio</w:t>
      </w:r>
      <w:proofErr w:type="spellEnd"/>
      <w:r w:rsidRPr="00133716">
        <w:rPr>
          <w:lang w:val="en-US"/>
        </w:rPr>
        <w:t xml:space="preserve"> </w:t>
      </w:r>
      <w:proofErr w:type="spellStart"/>
      <w:r w:rsidRPr="00133716">
        <w:rPr>
          <w:lang w:val="en-US"/>
        </w:rPr>
        <w:t>d’orghani</w:t>
      </w:r>
      <w:proofErr w:type="spellEnd"/>
      <w:r w:rsidRPr="00133716">
        <w:rPr>
          <w:lang w:val="en-US"/>
        </w:rPr>
        <w:t xml:space="preserve"> </w:t>
      </w:r>
      <w:proofErr w:type="spellStart"/>
      <w:r w:rsidRPr="00133716">
        <w:rPr>
          <w:lang w:val="en-US"/>
        </w:rPr>
        <w:t>grandi</w:t>
      </w:r>
      <w:proofErr w:type="spellEnd"/>
      <w:r w:rsidRPr="00133716">
        <w:rPr>
          <w:lang w:val="en-US"/>
        </w:rPr>
        <w:t xml:space="preserve">”; “1° </w:t>
      </w:r>
      <w:proofErr w:type="spellStart"/>
      <w:r w:rsidRPr="00133716">
        <w:rPr>
          <w:lang w:val="en-US"/>
        </w:rPr>
        <w:t>libro</w:t>
      </w:r>
      <w:proofErr w:type="spellEnd"/>
      <w:r w:rsidRPr="00133716">
        <w:rPr>
          <w:lang w:val="en-US"/>
        </w:rPr>
        <w:t xml:space="preserve"> di </w:t>
      </w:r>
      <w:proofErr w:type="spellStart"/>
      <w:r w:rsidRPr="00133716">
        <w:rPr>
          <w:lang w:val="en-US"/>
        </w:rPr>
        <w:t>musicha</w:t>
      </w:r>
      <w:proofErr w:type="spellEnd"/>
      <w:r w:rsidRPr="00133716">
        <w:rPr>
          <w:lang w:val="en-US"/>
        </w:rPr>
        <w:t xml:space="preserve">. 1° </w:t>
      </w:r>
      <w:proofErr w:type="spellStart"/>
      <w:r w:rsidRPr="00133716">
        <w:rPr>
          <w:lang w:val="en-US"/>
        </w:rPr>
        <w:t>libro</w:t>
      </w:r>
      <w:proofErr w:type="spellEnd"/>
      <w:r w:rsidRPr="00133716">
        <w:rPr>
          <w:lang w:val="en-US"/>
        </w:rPr>
        <w:t xml:space="preserve"> di </w:t>
      </w:r>
      <w:proofErr w:type="spellStart"/>
      <w:r w:rsidRPr="00133716">
        <w:rPr>
          <w:lang w:val="en-US"/>
        </w:rPr>
        <w:t>chanto</w:t>
      </w:r>
      <w:proofErr w:type="spellEnd"/>
      <w:r w:rsidRPr="00133716">
        <w:rPr>
          <w:lang w:val="en-US"/>
        </w:rPr>
        <w:t xml:space="preserve"> </w:t>
      </w:r>
      <w:proofErr w:type="spellStart"/>
      <w:r w:rsidRPr="00133716">
        <w:rPr>
          <w:lang w:val="en-US"/>
        </w:rPr>
        <w:t>fighurato</w:t>
      </w:r>
      <w:proofErr w:type="spellEnd"/>
      <w:r w:rsidRPr="00133716">
        <w:rPr>
          <w:lang w:val="en-US"/>
        </w:rPr>
        <w:t>”. Quoted in ibid., 134 nn.77–79.</w:t>
      </w:r>
    </w:p>
  </w:footnote>
  <w:footnote w:id="267">
    <w:p w14:paraId="1EE5A864" w14:textId="77777777" w:rsidR="00182EED" w:rsidRDefault="00182EED" w:rsidP="001840E8">
      <w:pPr>
        <w:pStyle w:val="FootnoteText"/>
      </w:pPr>
      <w:r w:rsidRPr="00391186">
        <w:rPr>
          <w:rStyle w:val="FootnoteReference"/>
        </w:rPr>
        <w:footnoteRef/>
      </w:r>
      <w:r>
        <w:t xml:space="preserve"> </w:t>
      </w:r>
      <w:r w:rsidRPr="00FF5C44">
        <w:rPr>
          <w:lang w:val="en-US"/>
        </w:rPr>
        <w:t xml:space="preserve">Flora Dennis, “When Is a Room a Music Room? Sounds, Spaces, and Objects in Non-Courtly Italian Interiors,” in </w:t>
      </w:r>
      <w:r w:rsidRPr="00FF5C44">
        <w:rPr>
          <w:i/>
          <w:iCs/>
          <w:lang w:val="en-US"/>
        </w:rPr>
        <w:t>The Music Room in Early Modern France and Italy: Sound, Space and Object</w:t>
      </w:r>
      <w:r w:rsidRPr="00FF5C44">
        <w:rPr>
          <w:lang w:val="en-US"/>
        </w:rPr>
        <w:t>, ed. Deborah Howard and Laura Moretti (Oxford: Published for the British Academy by Oxford University Press, 2012), 42.</w:t>
      </w:r>
    </w:p>
  </w:footnote>
  <w:footnote w:id="268">
    <w:p w14:paraId="6B79B4CE" w14:textId="77777777" w:rsidR="00182EED" w:rsidRDefault="00182EED" w:rsidP="001840E8">
      <w:pPr>
        <w:pStyle w:val="FootnoteText"/>
      </w:pPr>
      <w:r w:rsidRPr="00391186">
        <w:rPr>
          <w:rStyle w:val="FootnoteReference"/>
        </w:rPr>
        <w:footnoteRef/>
      </w:r>
      <w:r>
        <w:t xml:space="preserve"> </w:t>
      </w:r>
      <w:r w:rsidRPr="00FF5C44">
        <w:rPr>
          <w:lang w:val="en-US"/>
        </w:rPr>
        <w:t xml:space="preserve">Stephanie R Miller, “Parenting in the Palazzo: Images and Artifacts of Children in the Italian Renaissance Home,” in </w:t>
      </w:r>
      <w:r w:rsidRPr="00FF5C44">
        <w:rPr>
          <w:i/>
          <w:iCs/>
          <w:lang w:val="en-US"/>
        </w:rPr>
        <w:t>The Early Modern Italian Domestic Interior, 1400-1700: Objects, Spaces, Domesticities</w:t>
      </w:r>
      <w:r w:rsidRPr="00FF5C44">
        <w:rPr>
          <w:lang w:val="en-US"/>
        </w:rPr>
        <w:t xml:space="preserve">, ed. Elizabeth Carroll </w:t>
      </w:r>
      <w:proofErr w:type="spellStart"/>
      <w:r w:rsidRPr="00FF5C44">
        <w:rPr>
          <w:lang w:val="en-US"/>
        </w:rPr>
        <w:t>Consavari</w:t>
      </w:r>
      <w:proofErr w:type="spellEnd"/>
      <w:r w:rsidRPr="00FF5C44">
        <w:rPr>
          <w:lang w:val="en-US"/>
        </w:rPr>
        <w:t>, Stephanie R Miller, and Erin J Campbell (</w:t>
      </w:r>
      <w:proofErr w:type="spellStart"/>
      <w:r w:rsidRPr="00FF5C44">
        <w:rPr>
          <w:lang w:val="en-US"/>
        </w:rPr>
        <w:t>Farnham</w:t>
      </w:r>
      <w:proofErr w:type="spellEnd"/>
      <w:r w:rsidRPr="00FF5C44">
        <w:rPr>
          <w:lang w:val="en-US"/>
        </w:rPr>
        <w:t>: Ashgate, 2014), 78–79.</w:t>
      </w:r>
    </w:p>
  </w:footnote>
  <w:footnote w:id="269">
    <w:p w14:paraId="371A30AF" w14:textId="77777777" w:rsidR="00182EED" w:rsidRDefault="00182EED" w:rsidP="001840E8">
      <w:pPr>
        <w:pStyle w:val="FootnoteText"/>
      </w:pPr>
      <w:r w:rsidRPr="00391186">
        <w:rPr>
          <w:rStyle w:val="FootnoteReference"/>
        </w:rPr>
        <w:footnoteRef/>
      </w:r>
      <w:r>
        <w:t xml:space="preserve"> </w:t>
      </w:r>
      <w:proofErr w:type="spellStart"/>
      <w:r w:rsidRPr="00133716">
        <w:rPr>
          <w:lang w:val="en-US"/>
        </w:rPr>
        <w:t>DePrano</w:t>
      </w:r>
      <w:proofErr w:type="spellEnd"/>
      <w:r w:rsidRPr="00133716">
        <w:rPr>
          <w:lang w:val="en-US"/>
        </w:rPr>
        <w:t xml:space="preserve">, “Chi </w:t>
      </w:r>
      <w:proofErr w:type="spellStart"/>
      <w:r w:rsidRPr="00133716">
        <w:rPr>
          <w:lang w:val="en-US"/>
        </w:rPr>
        <w:t>Vuol</w:t>
      </w:r>
      <w:proofErr w:type="spellEnd"/>
      <w:r w:rsidRPr="00133716">
        <w:rPr>
          <w:lang w:val="en-US"/>
        </w:rPr>
        <w:t xml:space="preserve"> </w:t>
      </w:r>
      <w:proofErr w:type="spellStart"/>
      <w:r w:rsidRPr="00133716">
        <w:rPr>
          <w:lang w:val="en-US"/>
        </w:rPr>
        <w:t>Esser</w:t>
      </w:r>
      <w:proofErr w:type="spellEnd"/>
      <w:r w:rsidRPr="00133716">
        <w:rPr>
          <w:lang w:val="en-US"/>
        </w:rPr>
        <w:t xml:space="preserve"> </w:t>
      </w:r>
      <w:proofErr w:type="spellStart"/>
      <w:r w:rsidRPr="00133716">
        <w:rPr>
          <w:lang w:val="en-US"/>
        </w:rPr>
        <w:t>Lieto</w:t>
      </w:r>
      <w:proofErr w:type="spellEnd"/>
      <w:r w:rsidRPr="00133716">
        <w:rPr>
          <w:lang w:val="en-US"/>
        </w:rPr>
        <w:t>, Sia,” 129.</w:t>
      </w:r>
    </w:p>
  </w:footnote>
  <w:footnote w:id="270">
    <w:p w14:paraId="02CA6825" w14:textId="77777777" w:rsidR="00182EED" w:rsidRDefault="00182EED" w:rsidP="001840E8">
      <w:pPr>
        <w:pStyle w:val="FootnoteText"/>
      </w:pPr>
      <w:r w:rsidRPr="00391186">
        <w:rPr>
          <w:rStyle w:val="FootnoteReference"/>
        </w:rPr>
        <w:footnoteRef/>
      </w:r>
      <w:r>
        <w:t xml:space="preserve"> </w:t>
      </w:r>
      <w:r w:rsidRPr="00FF5C44">
        <w:rPr>
          <w:lang w:val="en-US"/>
        </w:rPr>
        <w:t>Richard J. Agee, “</w:t>
      </w:r>
      <w:proofErr w:type="spellStart"/>
      <w:r w:rsidRPr="00FF5C44">
        <w:rPr>
          <w:lang w:val="en-US"/>
        </w:rPr>
        <w:t>Ruberto</w:t>
      </w:r>
      <w:proofErr w:type="spellEnd"/>
      <w:r w:rsidRPr="00FF5C44">
        <w:rPr>
          <w:lang w:val="en-US"/>
        </w:rPr>
        <w:t xml:space="preserve"> </w:t>
      </w:r>
      <w:proofErr w:type="spellStart"/>
      <w:r w:rsidRPr="00FF5C44">
        <w:rPr>
          <w:lang w:val="en-US"/>
        </w:rPr>
        <w:t>Strozzi</w:t>
      </w:r>
      <w:proofErr w:type="spellEnd"/>
      <w:r w:rsidRPr="00FF5C44">
        <w:rPr>
          <w:lang w:val="en-US"/>
        </w:rPr>
        <w:t xml:space="preserve"> and the Early Madrigal,” </w:t>
      </w:r>
      <w:r w:rsidRPr="00FF5C44">
        <w:rPr>
          <w:i/>
          <w:iCs/>
          <w:lang w:val="en-US"/>
        </w:rPr>
        <w:t>Journal of the American Musicological Society</w:t>
      </w:r>
      <w:r w:rsidRPr="00FF5C44">
        <w:rPr>
          <w:lang w:val="en-US"/>
        </w:rPr>
        <w:t xml:space="preserve"> 36, no. 1 (1983): 5; Richard J. Agee, “Filippo </w:t>
      </w:r>
      <w:proofErr w:type="spellStart"/>
      <w:r w:rsidRPr="00FF5C44">
        <w:rPr>
          <w:lang w:val="en-US"/>
        </w:rPr>
        <w:t>Strozzi</w:t>
      </w:r>
      <w:proofErr w:type="spellEnd"/>
      <w:r w:rsidRPr="00FF5C44">
        <w:rPr>
          <w:lang w:val="en-US"/>
        </w:rPr>
        <w:t xml:space="preserve"> and the Early Madrigal,” </w:t>
      </w:r>
      <w:r w:rsidRPr="00FF5C44">
        <w:rPr>
          <w:i/>
          <w:iCs/>
          <w:lang w:val="en-US"/>
        </w:rPr>
        <w:t>Journal of the American Musicological Society</w:t>
      </w:r>
      <w:r w:rsidRPr="00FF5C44">
        <w:rPr>
          <w:lang w:val="en-US"/>
        </w:rPr>
        <w:t xml:space="preserve"> 38, no. 2 (1985): 228; see also Dennis, “Music,” 238.</w:t>
      </w:r>
    </w:p>
  </w:footnote>
  <w:footnote w:id="271">
    <w:p w14:paraId="2A09FA42" w14:textId="77777777" w:rsidR="00182EED" w:rsidRDefault="00182EED" w:rsidP="001840E8">
      <w:pPr>
        <w:pStyle w:val="FootnoteText"/>
      </w:pPr>
      <w:r w:rsidRPr="00391186">
        <w:rPr>
          <w:rStyle w:val="FootnoteReference"/>
        </w:rPr>
        <w:footnoteRef/>
      </w:r>
      <w:r>
        <w:t xml:space="preserve"> </w:t>
      </w:r>
      <w:r w:rsidRPr="00CC4C98">
        <w:rPr>
          <w:lang w:val="en-US"/>
        </w:rPr>
        <w:t xml:space="preserve">Mario Ruffini, “Savonarola e la </w:t>
      </w:r>
      <w:proofErr w:type="spellStart"/>
      <w:r w:rsidRPr="00CC4C98">
        <w:rPr>
          <w:lang w:val="en-US"/>
        </w:rPr>
        <w:t>musica</w:t>
      </w:r>
      <w:proofErr w:type="spellEnd"/>
      <w:r w:rsidRPr="00CC4C98">
        <w:rPr>
          <w:lang w:val="en-US"/>
        </w:rPr>
        <w:t xml:space="preserve">: </w:t>
      </w:r>
      <w:proofErr w:type="spellStart"/>
      <w:r w:rsidRPr="00CC4C98">
        <w:rPr>
          <w:lang w:val="en-US"/>
        </w:rPr>
        <w:t>dalla</w:t>
      </w:r>
      <w:proofErr w:type="spellEnd"/>
      <w:r w:rsidRPr="00CC4C98">
        <w:rPr>
          <w:lang w:val="en-US"/>
        </w:rPr>
        <w:t xml:space="preserve"> lauda al Novecento,” in </w:t>
      </w:r>
      <w:r w:rsidRPr="00CC4C98">
        <w:rPr>
          <w:i/>
          <w:iCs/>
          <w:lang w:val="en-US"/>
        </w:rPr>
        <w:t xml:space="preserve">La </w:t>
      </w:r>
      <w:proofErr w:type="spellStart"/>
      <w:r w:rsidRPr="00CC4C98">
        <w:rPr>
          <w:i/>
          <w:iCs/>
          <w:lang w:val="en-US"/>
        </w:rPr>
        <w:t>figura</w:t>
      </w:r>
      <w:proofErr w:type="spellEnd"/>
      <w:r w:rsidRPr="00CC4C98">
        <w:rPr>
          <w:i/>
          <w:iCs/>
          <w:lang w:val="en-US"/>
        </w:rPr>
        <w:t xml:space="preserve"> de </w:t>
      </w:r>
      <w:proofErr w:type="spellStart"/>
      <w:r w:rsidRPr="00CC4C98">
        <w:rPr>
          <w:i/>
          <w:iCs/>
          <w:lang w:val="en-US"/>
        </w:rPr>
        <w:t>Jerónimo</w:t>
      </w:r>
      <w:proofErr w:type="spellEnd"/>
      <w:r w:rsidRPr="00CC4C98">
        <w:rPr>
          <w:i/>
          <w:iCs/>
          <w:lang w:val="en-US"/>
        </w:rPr>
        <w:t xml:space="preserve"> Savonarola O.P. y </w:t>
      </w:r>
      <w:proofErr w:type="spellStart"/>
      <w:r w:rsidRPr="00CC4C98">
        <w:rPr>
          <w:i/>
          <w:iCs/>
          <w:lang w:val="en-US"/>
        </w:rPr>
        <w:t>su</w:t>
      </w:r>
      <w:proofErr w:type="spellEnd"/>
      <w:r w:rsidRPr="00CC4C98">
        <w:rPr>
          <w:i/>
          <w:iCs/>
          <w:lang w:val="en-US"/>
        </w:rPr>
        <w:t xml:space="preserve"> </w:t>
      </w:r>
      <w:proofErr w:type="spellStart"/>
      <w:r w:rsidRPr="00CC4C98">
        <w:rPr>
          <w:i/>
          <w:iCs/>
          <w:lang w:val="en-US"/>
        </w:rPr>
        <w:t>influencia</w:t>
      </w:r>
      <w:proofErr w:type="spellEnd"/>
      <w:r w:rsidRPr="00CC4C98">
        <w:rPr>
          <w:i/>
          <w:iCs/>
          <w:lang w:val="en-US"/>
        </w:rPr>
        <w:t xml:space="preserve"> </w:t>
      </w:r>
      <w:proofErr w:type="spellStart"/>
      <w:r w:rsidRPr="00CC4C98">
        <w:rPr>
          <w:i/>
          <w:iCs/>
          <w:lang w:val="en-US"/>
        </w:rPr>
        <w:t>en</w:t>
      </w:r>
      <w:proofErr w:type="spellEnd"/>
      <w:r w:rsidRPr="00CC4C98">
        <w:rPr>
          <w:i/>
          <w:iCs/>
          <w:lang w:val="en-US"/>
        </w:rPr>
        <w:t xml:space="preserve"> </w:t>
      </w:r>
      <w:proofErr w:type="spellStart"/>
      <w:r w:rsidRPr="00CC4C98">
        <w:rPr>
          <w:i/>
          <w:iCs/>
          <w:lang w:val="en-US"/>
        </w:rPr>
        <w:t>España</w:t>
      </w:r>
      <w:proofErr w:type="spellEnd"/>
      <w:r w:rsidRPr="00CC4C98">
        <w:rPr>
          <w:i/>
          <w:iCs/>
          <w:lang w:val="en-US"/>
        </w:rPr>
        <w:t xml:space="preserve"> y Europa: </w:t>
      </w:r>
      <w:proofErr w:type="spellStart"/>
      <w:r w:rsidRPr="00CC4C98">
        <w:rPr>
          <w:i/>
          <w:iCs/>
          <w:lang w:val="en-US"/>
        </w:rPr>
        <w:t>actas</w:t>
      </w:r>
      <w:proofErr w:type="spellEnd"/>
      <w:r w:rsidRPr="00CC4C98">
        <w:rPr>
          <w:i/>
          <w:iCs/>
          <w:lang w:val="en-US"/>
        </w:rPr>
        <w:t xml:space="preserve"> del </w:t>
      </w:r>
      <w:proofErr w:type="spellStart"/>
      <w:r w:rsidRPr="00CC4C98">
        <w:rPr>
          <w:i/>
          <w:iCs/>
          <w:lang w:val="en-US"/>
        </w:rPr>
        <w:t>Congreso</w:t>
      </w:r>
      <w:proofErr w:type="spellEnd"/>
      <w:r w:rsidRPr="00CC4C98">
        <w:rPr>
          <w:i/>
          <w:iCs/>
          <w:lang w:val="en-US"/>
        </w:rPr>
        <w:t xml:space="preserve"> </w:t>
      </w:r>
      <w:proofErr w:type="spellStart"/>
      <w:r w:rsidRPr="00CC4C98">
        <w:rPr>
          <w:i/>
          <w:iCs/>
          <w:lang w:val="en-US"/>
        </w:rPr>
        <w:t>Internacional</w:t>
      </w:r>
      <w:proofErr w:type="spellEnd"/>
      <w:r w:rsidRPr="00CC4C98">
        <w:rPr>
          <w:i/>
          <w:iCs/>
          <w:lang w:val="en-US"/>
        </w:rPr>
        <w:t>, Valencia, 22-26 mayo 2000</w:t>
      </w:r>
      <w:r w:rsidRPr="00CC4C98">
        <w:rPr>
          <w:lang w:val="en-US"/>
        </w:rPr>
        <w:t xml:space="preserve">, ed. Donald Weinstein, </w:t>
      </w:r>
      <w:proofErr w:type="spellStart"/>
      <w:r w:rsidRPr="00CC4C98">
        <w:rPr>
          <w:lang w:val="en-US"/>
        </w:rPr>
        <w:t>Júlia</w:t>
      </w:r>
      <w:proofErr w:type="spellEnd"/>
      <w:r w:rsidRPr="00CC4C98">
        <w:rPr>
          <w:lang w:val="en-US"/>
        </w:rPr>
        <w:t xml:space="preserve"> </w:t>
      </w:r>
      <w:proofErr w:type="spellStart"/>
      <w:r w:rsidRPr="00CC4C98">
        <w:rPr>
          <w:lang w:val="en-US"/>
        </w:rPr>
        <w:t>Benavent</w:t>
      </w:r>
      <w:proofErr w:type="spellEnd"/>
      <w:r w:rsidRPr="00CC4C98">
        <w:rPr>
          <w:lang w:val="en-US"/>
        </w:rPr>
        <w:t xml:space="preserve"> </w:t>
      </w:r>
      <w:proofErr w:type="spellStart"/>
      <w:r w:rsidRPr="00CC4C98">
        <w:rPr>
          <w:lang w:val="en-US"/>
        </w:rPr>
        <w:t>i</w:t>
      </w:r>
      <w:proofErr w:type="spellEnd"/>
      <w:r w:rsidRPr="00CC4C98">
        <w:rPr>
          <w:lang w:val="en-US"/>
        </w:rPr>
        <w:t xml:space="preserve"> </w:t>
      </w:r>
      <w:proofErr w:type="spellStart"/>
      <w:r w:rsidRPr="00CC4C98">
        <w:rPr>
          <w:lang w:val="en-US"/>
        </w:rPr>
        <w:t>Benavent</w:t>
      </w:r>
      <w:proofErr w:type="spellEnd"/>
      <w:r w:rsidRPr="00CC4C98">
        <w:rPr>
          <w:lang w:val="en-US"/>
        </w:rPr>
        <w:t xml:space="preserve">, and J. Inés Rodríguez Gómez (Florence: </w:t>
      </w:r>
      <w:proofErr w:type="spellStart"/>
      <w:r w:rsidRPr="00CC4C98">
        <w:rPr>
          <w:lang w:val="en-US"/>
        </w:rPr>
        <w:t>Edizioni</w:t>
      </w:r>
      <w:proofErr w:type="spellEnd"/>
      <w:r w:rsidRPr="00CC4C98">
        <w:rPr>
          <w:lang w:val="en-US"/>
        </w:rPr>
        <w:t xml:space="preserve"> del </w:t>
      </w:r>
      <w:proofErr w:type="spellStart"/>
      <w:r w:rsidRPr="00CC4C98">
        <w:rPr>
          <w:lang w:val="en-US"/>
        </w:rPr>
        <w:t>Galluzzo</w:t>
      </w:r>
      <w:proofErr w:type="spellEnd"/>
      <w:r w:rsidRPr="00CC4C98">
        <w:rPr>
          <w:lang w:val="en-US"/>
        </w:rPr>
        <w:t xml:space="preserve"> per la Fondazione Ezio </w:t>
      </w:r>
      <w:proofErr w:type="spellStart"/>
      <w:r w:rsidRPr="00CC4C98">
        <w:rPr>
          <w:lang w:val="en-US"/>
        </w:rPr>
        <w:t>Franceschini</w:t>
      </w:r>
      <w:proofErr w:type="spellEnd"/>
      <w:r w:rsidRPr="00CC4C98">
        <w:rPr>
          <w:lang w:val="en-US"/>
        </w:rPr>
        <w:t>, 2004), 100.</w:t>
      </w:r>
    </w:p>
  </w:footnote>
  <w:footnote w:id="272">
    <w:p w14:paraId="5BD26CE6" w14:textId="77777777" w:rsidR="00182EED" w:rsidRDefault="00182EED" w:rsidP="001840E8">
      <w:pPr>
        <w:pStyle w:val="FootnoteText"/>
      </w:pPr>
      <w:r w:rsidRPr="00391186">
        <w:rPr>
          <w:rStyle w:val="FootnoteReference"/>
        </w:rPr>
        <w:footnoteRef/>
      </w:r>
      <w:r>
        <w:t xml:space="preserve"> </w:t>
      </w:r>
      <w:r w:rsidRPr="00824392">
        <w:rPr>
          <w:lang w:val="en-US"/>
        </w:rPr>
        <w:t xml:space="preserve">Haas, </w:t>
      </w:r>
      <w:r w:rsidRPr="00824392">
        <w:rPr>
          <w:i/>
          <w:iCs/>
          <w:lang w:val="en-US"/>
        </w:rPr>
        <w:t>The Renaissance Man and His Children</w:t>
      </w:r>
      <w:r w:rsidRPr="00824392">
        <w:rPr>
          <w:lang w:val="en-US"/>
        </w:rPr>
        <w:t>, 141.</w:t>
      </w:r>
    </w:p>
  </w:footnote>
  <w:footnote w:id="273">
    <w:p w14:paraId="32A8A9DE" w14:textId="77777777" w:rsidR="00182EED" w:rsidRDefault="00182EED" w:rsidP="001840E8">
      <w:pPr>
        <w:pStyle w:val="FootnoteText"/>
      </w:pPr>
      <w:r w:rsidRPr="00391186">
        <w:rPr>
          <w:rStyle w:val="FootnoteReference"/>
        </w:rPr>
        <w:footnoteRef/>
      </w:r>
      <w:r>
        <w:t xml:space="preserve"> </w:t>
      </w:r>
      <w:r w:rsidRPr="00133716">
        <w:rPr>
          <w:lang w:val="en-US"/>
        </w:rPr>
        <w:t xml:space="preserve">Brenda </w:t>
      </w:r>
      <w:proofErr w:type="spellStart"/>
      <w:r w:rsidRPr="00133716">
        <w:rPr>
          <w:lang w:val="en-US"/>
        </w:rPr>
        <w:t>Preyer</w:t>
      </w:r>
      <w:proofErr w:type="spellEnd"/>
      <w:r w:rsidRPr="00133716">
        <w:rPr>
          <w:lang w:val="en-US"/>
        </w:rPr>
        <w:t xml:space="preserve">, “The Florentine Casa,” in </w:t>
      </w:r>
      <w:r w:rsidRPr="00133716">
        <w:rPr>
          <w:i/>
          <w:iCs/>
          <w:lang w:val="en-US"/>
        </w:rPr>
        <w:t>At Home in Renaissance Italy</w:t>
      </w:r>
      <w:r w:rsidRPr="00133716">
        <w:rPr>
          <w:lang w:val="en-US"/>
        </w:rPr>
        <w:t xml:space="preserve">, ed. Marta </w:t>
      </w:r>
      <w:proofErr w:type="spellStart"/>
      <w:r w:rsidRPr="00133716">
        <w:rPr>
          <w:lang w:val="en-US"/>
        </w:rPr>
        <w:t>Ajmar-Wollheim</w:t>
      </w:r>
      <w:proofErr w:type="spellEnd"/>
      <w:r w:rsidRPr="00133716">
        <w:rPr>
          <w:lang w:val="en-US"/>
        </w:rPr>
        <w:t xml:space="preserve"> and Flora Dennis (London: V&amp;A Publications, 2006), 41; </w:t>
      </w:r>
      <w:proofErr w:type="spellStart"/>
      <w:r w:rsidRPr="00133716">
        <w:rPr>
          <w:lang w:val="en-US"/>
        </w:rPr>
        <w:t>DePrano</w:t>
      </w:r>
      <w:proofErr w:type="spellEnd"/>
      <w:r w:rsidRPr="00133716">
        <w:rPr>
          <w:lang w:val="en-US"/>
        </w:rPr>
        <w:t xml:space="preserve">, “Chi </w:t>
      </w:r>
      <w:proofErr w:type="spellStart"/>
      <w:r w:rsidRPr="00133716">
        <w:rPr>
          <w:lang w:val="en-US"/>
        </w:rPr>
        <w:t>Vuol</w:t>
      </w:r>
      <w:proofErr w:type="spellEnd"/>
      <w:r w:rsidRPr="00133716">
        <w:rPr>
          <w:lang w:val="en-US"/>
        </w:rPr>
        <w:t xml:space="preserve"> </w:t>
      </w:r>
      <w:proofErr w:type="spellStart"/>
      <w:r w:rsidRPr="00133716">
        <w:rPr>
          <w:lang w:val="en-US"/>
        </w:rPr>
        <w:t>Esser</w:t>
      </w:r>
      <w:proofErr w:type="spellEnd"/>
      <w:r w:rsidRPr="00133716">
        <w:rPr>
          <w:lang w:val="en-US"/>
        </w:rPr>
        <w:t xml:space="preserve"> </w:t>
      </w:r>
      <w:proofErr w:type="spellStart"/>
      <w:r w:rsidRPr="00133716">
        <w:rPr>
          <w:lang w:val="en-US"/>
        </w:rPr>
        <w:t>Lieto</w:t>
      </w:r>
      <w:proofErr w:type="spellEnd"/>
      <w:r w:rsidRPr="00133716">
        <w:rPr>
          <w:lang w:val="en-US"/>
        </w:rPr>
        <w:t>, Sia,” 135.</w:t>
      </w:r>
    </w:p>
  </w:footnote>
  <w:footnote w:id="274">
    <w:p w14:paraId="0B897C39" w14:textId="77777777" w:rsidR="00182EED" w:rsidRDefault="00182EED" w:rsidP="001840E8">
      <w:pPr>
        <w:pStyle w:val="FootnoteText"/>
      </w:pPr>
      <w:r w:rsidRPr="00391186">
        <w:rPr>
          <w:rStyle w:val="FootnoteReference"/>
        </w:rPr>
        <w:footnoteRef/>
      </w:r>
      <w:r>
        <w:t xml:space="preserve"> </w:t>
      </w:r>
      <w:proofErr w:type="spellStart"/>
      <w:r w:rsidRPr="00824392">
        <w:rPr>
          <w:lang w:val="en-US"/>
        </w:rPr>
        <w:t>Preyer</w:t>
      </w:r>
      <w:proofErr w:type="spellEnd"/>
      <w:r w:rsidRPr="00824392">
        <w:rPr>
          <w:lang w:val="en-US"/>
        </w:rPr>
        <w:t>, “The Florentine Casa,” 44.</w:t>
      </w:r>
    </w:p>
  </w:footnote>
  <w:footnote w:id="275">
    <w:p w14:paraId="346F50A1" w14:textId="77777777" w:rsidR="00182EED" w:rsidRDefault="00182EED" w:rsidP="001840E8">
      <w:pPr>
        <w:pStyle w:val="FootnoteText"/>
      </w:pPr>
      <w:r w:rsidRPr="00391186">
        <w:rPr>
          <w:rStyle w:val="FootnoteReference"/>
        </w:rPr>
        <w:footnoteRef/>
      </w:r>
      <w:r>
        <w:t xml:space="preserve"> </w:t>
      </w:r>
      <w:r w:rsidRPr="00824392">
        <w:rPr>
          <w:lang w:val="en-US"/>
        </w:rPr>
        <w:t>Quoted in Dennis, “Music,” 233.</w:t>
      </w:r>
    </w:p>
  </w:footnote>
  <w:footnote w:id="276">
    <w:p w14:paraId="2D74F3A0" w14:textId="77777777" w:rsidR="00182EED" w:rsidRDefault="00182EED" w:rsidP="001840E8">
      <w:pPr>
        <w:pStyle w:val="FootnoteText"/>
      </w:pPr>
      <w:r w:rsidRPr="00391186">
        <w:rPr>
          <w:rStyle w:val="FootnoteReference"/>
        </w:rPr>
        <w:footnoteRef/>
      </w:r>
      <w:r>
        <w:t xml:space="preserve"> </w:t>
      </w:r>
      <w:r>
        <w:rPr>
          <w:noProof/>
        </w:rPr>
        <w:t>Ibid.</w:t>
      </w:r>
    </w:p>
  </w:footnote>
  <w:footnote w:id="277">
    <w:p w14:paraId="7AB3115F" w14:textId="77777777" w:rsidR="00182EED" w:rsidRDefault="00182EED" w:rsidP="001840E8">
      <w:pPr>
        <w:pStyle w:val="FootnoteText"/>
      </w:pPr>
      <w:r w:rsidRPr="00391186">
        <w:rPr>
          <w:rStyle w:val="FootnoteReference"/>
        </w:rPr>
        <w:footnoteRef/>
      </w:r>
      <w:r>
        <w:t xml:space="preserve"> </w:t>
      </w:r>
      <w:r>
        <w:rPr>
          <w:noProof/>
        </w:rPr>
        <w:t>Ibid., 229.</w:t>
      </w:r>
    </w:p>
  </w:footnote>
  <w:footnote w:id="278">
    <w:p w14:paraId="42AE57F5" w14:textId="77777777" w:rsidR="00182EED" w:rsidRDefault="00182EED" w:rsidP="00EA4F92">
      <w:pPr>
        <w:pStyle w:val="FootnoteText"/>
      </w:pPr>
      <w:r>
        <w:rPr>
          <w:rStyle w:val="FootnoteReference"/>
        </w:rPr>
        <w:footnoteRef/>
      </w:r>
      <w:r>
        <w:t xml:space="preserve"> Sydney Joseph </w:t>
      </w:r>
      <w:proofErr w:type="spellStart"/>
      <w:r>
        <w:t>Freedberg</w:t>
      </w:r>
      <w:proofErr w:type="spellEnd"/>
      <w:r>
        <w:t xml:space="preserve">, </w:t>
      </w:r>
      <w:r w:rsidRPr="00096812">
        <w:rPr>
          <w:i/>
          <w:iCs/>
        </w:rPr>
        <w:t>Painting in Italy, 1500 to 1600</w:t>
      </w:r>
      <w:r>
        <w:t xml:space="preserve"> (</w:t>
      </w:r>
      <w:r w:rsidRPr="00C0751C">
        <w:t>New Haven, Conn.</w:t>
      </w:r>
      <w:r>
        <w:t xml:space="preserve"> and</w:t>
      </w:r>
      <w:r w:rsidRPr="00C0751C">
        <w:t xml:space="preserve"> London: Yale University Press</w:t>
      </w:r>
      <w:r>
        <w:t>,</w:t>
      </w:r>
      <w:r w:rsidRPr="00C0751C">
        <w:t xml:space="preserve"> 1993</w:t>
      </w:r>
      <w:r>
        <w:t>), 534.</w:t>
      </w:r>
    </w:p>
  </w:footnote>
  <w:footnote w:id="279">
    <w:p w14:paraId="50306036" w14:textId="77777777" w:rsidR="00182EED" w:rsidRPr="005F2B7C" w:rsidRDefault="00182EED">
      <w:pPr>
        <w:pStyle w:val="FootnoteText"/>
      </w:pPr>
      <w:r>
        <w:rPr>
          <w:rStyle w:val="FootnoteReference"/>
        </w:rPr>
        <w:footnoteRef/>
      </w:r>
      <w:r>
        <w:t xml:space="preserve"> Maria H. </w:t>
      </w:r>
      <w:proofErr w:type="spellStart"/>
      <w:r>
        <w:t>Loh</w:t>
      </w:r>
      <w:proofErr w:type="spellEnd"/>
      <w:r>
        <w:t xml:space="preserve">, </w:t>
      </w:r>
      <w:r>
        <w:rPr>
          <w:i/>
          <w:iCs/>
        </w:rPr>
        <w:t>Titian Remade: Repetition and the transformation of Early Modern Italian art</w:t>
      </w:r>
      <w:r>
        <w:t xml:space="preserve"> (Los Angeles: Getty Research Institute, 2007), 20.</w:t>
      </w:r>
    </w:p>
  </w:footnote>
  <w:footnote w:id="280">
    <w:p w14:paraId="6AE7D7E6" w14:textId="77777777" w:rsidR="00182EED" w:rsidRPr="0084585B" w:rsidRDefault="00182EED">
      <w:pPr>
        <w:pStyle w:val="FootnoteText"/>
      </w:pPr>
      <w:r>
        <w:rPr>
          <w:rStyle w:val="FootnoteReference"/>
        </w:rPr>
        <w:footnoteRef/>
      </w:r>
      <w:r>
        <w:t xml:space="preserve"> Several versions of this composition are known. Two versions of Titian’s </w:t>
      </w:r>
      <w:r>
        <w:rPr>
          <w:i/>
          <w:iCs/>
        </w:rPr>
        <w:t>Venus with an Organist</w:t>
      </w:r>
      <w:r>
        <w:t xml:space="preserve"> from ca. 1545-50 are kept in the Museo del Prado, </w:t>
      </w:r>
      <w:proofErr w:type="spellStart"/>
      <w:r>
        <w:t>Madri</w:t>
      </w:r>
      <w:proofErr w:type="spellEnd"/>
      <w:r>
        <w:t xml:space="preserve">, while a third one is at the </w:t>
      </w:r>
      <w:proofErr w:type="spellStart"/>
      <w:r w:rsidRPr="00672384">
        <w:t>Gemäldegalerie</w:t>
      </w:r>
      <w:proofErr w:type="spellEnd"/>
      <w:r>
        <w:t xml:space="preserve"> in </w:t>
      </w:r>
      <w:r w:rsidRPr="00672384">
        <w:t>Berlin</w:t>
      </w:r>
      <w:r>
        <w:t xml:space="preserve">. One version of </w:t>
      </w:r>
      <w:r>
        <w:rPr>
          <w:i/>
          <w:iCs/>
        </w:rPr>
        <w:t>Venus with a Lutenist</w:t>
      </w:r>
      <w:r>
        <w:t xml:space="preserve"> from 1555-65 is kept at the Fitzwilliam Museum in Cambridge, while a later version from 1565-70 is at the Metropolitan Museum, New York.</w:t>
      </w:r>
    </w:p>
  </w:footnote>
  <w:footnote w:id="281">
    <w:p w14:paraId="5B527C0D" w14:textId="35879CCA" w:rsidR="00182EED" w:rsidRPr="00E40373" w:rsidRDefault="00182EED" w:rsidP="001832E3">
      <w:pPr>
        <w:pStyle w:val="FootnoteText"/>
      </w:pPr>
      <w:r>
        <w:rPr>
          <w:rStyle w:val="FootnoteReference"/>
        </w:rPr>
        <w:footnoteRef/>
      </w:r>
      <w:r>
        <w:t xml:space="preserve"> </w:t>
      </w:r>
      <w:proofErr w:type="spellStart"/>
      <w:r>
        <w:t>Loh</w:t>
      </w:r>
      <w:proofErr w:type="spellEnd"/>
      <w:r>
        <w:t xml:space="preserve">, </w:t>
      </w:r>
      <w:r>
        <w:rPr>
          <w:i/>
          <w:iCs/>
        </w:rPr>
        <w:t>Titian Remade</w:t>
      </w:r>
      <w:r>
        <w:t xml:space="preserve">, 40-42. On the sensorial engagement and erotism in Titian’s paintings see Marlene Eberhart, “Sensing, Time and the Aural Imagination in Titian's ‘Venus with Organist and Dog,’” </w:t>
      </w:r>
      <w:proofErr w:type="spellStart"/>
      <w:r w:rsidRPr="0084585B">
        <w:rPr>
          <w:i/>
          <w:iCs/>
        </w:rPr>
        <w:t>Artibus</w:t>
      </w:r>
      <w:proofErr w:type="spellEnd"/>
      <w:r w:rsidRPr="0084585B">
        <w:rPr>
          <w:i/>
          <w:iCs/>
        </w:rPr>
        <w:t xml:space="preserve"> et </w:t>
      </w:r>
      <w:proofErr w:type="spellStart"/>
      <w:r w:rsidRPr="0084585B">
        <w:rPr>
          <w:i/>
          <w:iCs/>
        </w:rPr>
        <w:t>Historiae</w:t>
      </w:r>
      <w:proofErr w:type="spellEnd"/>
      <w:r>
        <w:t>, Vol. 33, No. 65 (2012</w:t>
      </w:r>
      <w:r w:rsidRPr="00337056">
        <w:t>): 79-95, esp</w:t>
      </w:r>
      <w:r>
        <w:t xml:space="preserve">. 86-87. See also </w:t>
      </w:r>
      <w:r w:rsidRPr="0065120F">
        <w:t xml:space="preserve">Katherine McIver, “Visual pleasures, sensual sounds: Music, morality, and sexuality in paintings by Titian,” in </w:t>
      </w:r>
      <w:r w:rsidRPr="0065120F">
        <w:rPr>
          <w:i/>
          <w:iCs/>
        </w:rPr>
        <w:t>Sexualities, Textualities, Art and Music in Early Modern Italy</w:t>
      </w:r>
      <w:r w:rsidRPr="0065120F">
        <w:t>, eds. Melanie L. Marshall, Linda L. Carroll, and Katherine A. McIver</w:t>
      </w:r>
      <w:r>
        <w:t xml:space="preserve"> (</w:t>
      </w:r>
      <w:r w:rsidRPr="0065120F">
        <w:t>Farnham, England: Ashgate, 2014)</w:t>
      </w:r>
      <w:r>
        <w:t>, 13-21.</w:t>
      </w:r>
    </w:p>
  </w:footnote>
  <w:footnote w:id="282">
    <w:p w14:paraId="066DF557" w14:textId="77777777" w:rsidR="00182EED" w:rsidRPr="005240C5" w:rsidRDefault="00182EED">
      <w:pPr>
        <w:pStyle w:val="FootnoteText"/>
      </w:pPr>
      <w:r>
        <w:rPr>
          <w:rStyle w:val="FootnoteReference"/>
        </w:rPr>
        <w:footnoteRef/>
      </w:r>
      <w:r>
        <w:t xml:space="preserve"> The addition of a viol in the paintings of </w:t>
      </w:r>
      <w:r>
        <w:rPr>
          <w:i/>
          <w:iCs/>
        </w:rPr>
        <w:t>Venus with a Lutenist</w:t>
      </w:r>
      <w:r>
        <w:t xml:space="preserve"> may also be interpreted as reinforcing the lascivious reading, as suggested in </w:t>
      </w:r>
      <w:proofErr w:type="spellStart"/>
      <w:r w:rsidRPr="004D6470">
        <w:t>Malachai</w:t>
      </w:r>
      <w:proofErr w:type="spellEnd"/>
      <w:r w:rsidRPr="004D6470">
        <w:t xml:space="preserve"> </w:t>
      </w:r>
      <w:proofErr w:type="spellStart"/>
      <w:r w:rsidRPr="004D6470">
        <w:t>Komanoff</w:t>
      </w:r>
      <w:proofErr w:type="spellEnd"/>
      <w:r w:rsidRPr="004D6470">
        <w:t xml:space="preserve"> Bandy, “‘With The Base Viall Placed Between My </w:t>
      </w:r>
      <w:proofErr w:type="spellStart"/>
      <w:r w:rsidRPr="004D6470">
        <w:t>Thighes</w:t>
      </w:r>
      <w:proofErr w:type="spellEnd"/>
      <w:r w:rsidRPr="004D6470">
        <w:t>’: Musical Instruments and Sexual Subtext in Titian’s Venus with Musician Series,” paper presented at the Music and Visual Culture in Renaissance Italy Conference, Sheffield, 13-15 June 2019.</w:t>
      </w:r>
    </w:p>
  </w:footnote>
  <w:footnote w:id="283">
    <w:p w14:paraId="4369AC53" w14:textId="77777777" w:rsidR="00182EED" w:rsidRDefault="00182EED" w:rsidP="001840E8">
      <w:pPr>
        <w:pStyle w:val="FootnoteText"/>
      </w:pPr>
      <w:r w:rsidRPr="00391186">
        <w:rPr>
          <w:rStyle w:val="FootnoteReference"/>
        </w:rPr>
        <w:footnoteRef/>
      </w:r>
      <w:r>
        <w:t xml:space="preserve"> </w:t>
      </w:r>
      <w:r w:rsidRPr="00824392">
        <w:t>Victor Coelho, “</w:t>
      </w:r>
      <w:proofErr w:type="spellStart"/>
      <w:r w:rsidRPr="00824392">
        <w:t>Bronzino’s</w:t>
      </w:r>
      <w:proofErr w:type="spellEnd"/>
      <w:r w:rsidRPr="00824392">
        <w:t xml:space="preserve"> Lute Player: Music and Youth Culture in Renaissance Florence,” in </w:t>
      </w:r>
      <w:r w:rsidRPr="00824392">
        <w:rPr>
          <w:i/>
          <w:iCs/>
        </w:rPr>
        <w:t xml:space="preserve">Renaissance Studies in </w:t>
      </w:r>
      <w:proofErr w:type="spellStart"/>
      <w:r w:rsidRPr="00824392">
        <w:rPr>
          <w:i/>
          <w:iCs/>
        </w:rPr>
        <w:t>Honor</w:t>
      </w:r>
      <w:proofErr w:type="spellEnd"/>
      <w:r w:rsidRPr="00824392">
        <w:rPr>
          <w:i/>
          <w:iCs/>
        </w:rPr>
        <w:t xml:space="preserve"> of Joseph Connors</w:t>
      </w:r>
      <w:r w:rsidRPr="00824392">
        <w:t xml:space="preserve">, ed. </w:t>
      </w:r>
      <w:proofErr w:type="spellStart"/>
      <w:r w:rsidRPr="00824392">
        <w:t>Machtelt</w:t>
      </w:r>
      <w:proofErr w:type="spellEnd"/>
      <w:r w:rsidRPr="00824392">
        <w:t xml:space="preserve"> </w:t>
      </w:r>
      <w:proofErr w:type="spellStart"/>
      <w:r w:rsidRPr="00824392">
        <w:t>Israëls</w:t>
      </w:r>
      <w:proofErr w:type="spellEnd"/>
      <w:r w:rsidRPr="00824392">
        <w:t xml:space="preserve">, Louis Alexander Waldman, and Guido </w:t>
      </w:r>
      <w:proofErr w:type="spellStart"/>
      <w:r w:rsidRPr="00824392">
        <w:t>Beltramini</w:t>
      </w:r>
      <w:proofErr w:type="spellEnd"/>
      <w:r w:rsidRPr="00824392">
        <w:t xml:space="preserve"> (Florence: Villa I </w:t>
      </w:r>
      <w:proofErr w:type="spellStart"/>
      <w:r w:rsidRPr="00824392">
        <w:t>Tatti</w:t>
      </w:r>
      <w:proofErr w:type="spellEnd"/>
      <w:r w:rsidRPr="00824392">
        <w:t xml:space="preserve">, The Harvard University </w:t>
      </w:r>
      <w:proofErr w:type="spellStart"/>
      <w:r w:rsidRPr="00824392">
        <w:t>Center</w:t>
      </w:r>
      <w:proofErr w:type="spellEnd"/>
      <w:r w:rsidRPr="00824392">
        <w:t xml:space="preserve"> for Italian Renaissance Studies, 2013), 655–56.</w:t>
      </w:r>
    </w:p>
  </w:footnote>
  <w:footnote w:id="284">
    <w:p w14:paraId="4804BBF3" w14:textId="77777777" w:rsidR="00182EED" w:rsidRDefault="00182EED" w:rsidP="001840E8">
      <w:pPr>
        <w:pStyle w:val="FootnoteText"/>
      </w:pPr>
      <w:r w:rsidRPr="00391186">
        <w:rPr>
          <w:rStyle w:val="FootnoteReference"/>
        </w:rPr>
        <w:footnoteRef/>
      </w:r>
      <w:r>
        <w:t xml:space="preserve"> Several other portraits of lutenists from the Florentine area could be added, such as that by Tuscan School in the Wallace collection (inv. </w:t>
      </w:r>
      <w:r w:rsidRPr="00F5145B">
        <w:t>P542</w:t>
      </w:r>
      <w:r>
        <w:t xml:space="preserve">) from 1540-1560, and that by </w:t>
      </w:r>
      <w:proofErr w:type="spellStart"/>
      <w:r>
        <w:t>Pontormo</w:t>
      </w:r>
      <w:proofErr w:type="spellEnd"/>
      <w:r>
        <w:t xml:space="preserve"> in the </w:t>
      </w:r>
      <w:proofErr w:type="spellStart"/>
      <w:r w:rsidRPr="00305D78">
        <w:t>Lingenauber</w:t>
      </w:r>
      <w:proofErr w:type="spellEnd"/>
      <w:r w:rsidRPr="00305D78">
        <w:t xml:space="preserve"> Collection</w:t>
      </w:r>
      <w:r>
        <w:t xml:space="preserve"> from 1530-40.</w:t>
      </w:r>
    </w:p>
  </w:footnote>
  <w:footnote w:id="285">
    <w:p w14:paraId="78AB4446" w14:textId="77777777" w:rsidR="00182EED" w:rsidRDefault="00182EED" w:rsidP="001840E8">
      <w:pPr>
        <w:pStyle w:val="FootnoteText"/>
      </w:pPr>
      <w:r w:rsidRPr="00391186">
        <w:rPr>
          <w:rStyle w:val="FootnoteReference"/>
        </w:rPr>
        <w:footnoteRef/>
      </w:r>
      <w:r>
        <w:t xml:space="preserve"> </w:t>
      </w:r>
      <w:r w:rsidRPr="00824392">
        <w:rPr>
          <w:lang w:val="en-US"/>
        </w:rPr>
        <w:t xml:space="preserve">For the identification of the sitters see Michael Jaffe, “Pesaro Family Portraits: Pordenone, Lotto and Titian,” </w:t>
      </w:r>
      <w:r w:rsidRPr="00824392">
        <w:rPr>
          <w:i/>
          <w:iCs/>
          <w:lang w:val="en-US"/>
        </w:rPr>
        <w:t>The Burlington Magazine</w:t>
      </w:r>
      <w:r w:rsidRPr="00824392">
        <w:rPr>
          <w:lang w:val="en-US"/>
        </w:rPr>
        <w:t xml:space="preserve"> 113, no. 825 (1971): 700.</w:t>
      </w:r>
    </w:p>
  </w:footnote>
  <w:footnote w:id="286">
    <w:p w14:paraId="5D6719F4" w14:textId="77777777" w:rsidR="00182EED" w:rsidRDefault="00182EED" w:rsidP="001840E8">
      <w:pPr>
        <w:pStyle w:val="FootnoteText"/>
      </w:pPr>
      <w:r w:rsidRPr="00391186">
        <w:rPr>
          <w:rStyle w:val="FootnoteReference"/>
        </w:rPr>
        <w:footnoteRef/>
      </w:r>
      <w:r>
        <w:t xml:space="preserve"> </w:t>
      </w:r>
      <w:r>
        <w:rPr>
          <w:noProof/>
        </w:rPr>
        <w:t>Ibid., 696.</w:t>
      </w:r>
    </w:p>
  </w:footnote>
  <w:footnote w:id="287">
    <w:p w14:paraId="575B8E77" w14:textId="77777777" w:rsidR="00182EED" w:rsidRDefault="00182EED" w:rsidP="001840E8">
      <w:pPr>
        <w:pStyle w:val="FootnoteText"/>
      </w:pPr>
      <w:r w:rsidRPr="00391186">
        <w:rPr>
          <w:rStyle w:val="FootnoteReference"/>
        </w:rPr>
        <w:footnoteRef/>
      </w:r>
      <w:r>
        <w:t xml:space="preserve"> </w:t>
      </w:r>
      <w:r>
        <w:rPr>
          <w:noProof/>
        </w:rPr>
        <w:t>Ibid., 700.</w:t>
      </w:r>
    </w:p>
  </w:footnote>
  <w:footnote w:id="288">
    <w:p w14:paraId="6E75497D" w14:textId="77777777" w:rsidR="00182EED" w:rsidRPr="006F23F7" w:rsidRDefault="00182EED" w:rsidP="008A116C">
      <w:pPr>
        <w:pStyle w:val="FootnoteText"/>
        <w:rPr>
          <w:szCs w:val="18"/>
        </w:rPr>
      </w:pPr>
      <w:r w:rsidRPr="00073E38">
        <w:rPr>
          <w:rStyle w:val="FootnoteReference"/>
        </w:rPr>
        <w:footnoteRef/>
      </w:r>
      <w:r w:rsidRPr="006F23F7">
        <w:rPr>
          <w:szCs w:val="18"/>
        </w:rPr>
        <w:t xml:space="preserve"> </w:t>
      </w:r>
      <w:r w:rsidRPr="00230640">
        <w:rPr>
          <w:lang w:val="en-US"/>
        </w:rPr>
        <w:t xml:space="preserve">See, among others, Allen Duston and Arnold </w:t>
      </w:r>
      <w:proofErr w:type="spellStart"/>
      <w:r w:rsidRPr="00230640">
        <w:rPr>
          <w:lang w:val="en-US"/>
        </w:rPr>
        <w:t>Nesselrath</w:t>
      </w:r>
      <w:proofErr w:type="spellEnd"/>
      <w:r w:rsidRPr="00230640">
        <w:rPr>
          <w:lang w:val="en-US"/>
        </w:rPr>
        <w:t xml:space="preserve">, </w:t>
      </w:r>
      <w:r w:rsidRPr="00230640">
        <w:rPr>
          <w:i/>
          <w:iCs/>
          <w:lang w:val="en-US"/>
        </w:rPr>
        <w:t>Angels from the Vatican: The Invisible Made Visible</w:t>
      </w:r>
      <w:r w:rsidRPr="00230640">
        <w:rPr>
          <w:lang w:val="en-US"/>
        </w:rPr>
        <w:t xml:space="preserve"> (Alexandria, Va.: Art Services International, 1998); Francesco </w:t>
      </w:r>
      <w:proofErr w:type="spellStart"/>
      <w:r w:rsidRPr="00230640">
        <w:rPr>
          <w:lang w:val="en-US"/>
        </w:rPr>
        <w:t>Buranelli</w:t>
      </w:r>
      <w:proofErr w:type="spellEnd"/>
      <w:r w:rsidRPr="00230640">
        <w:rPr>
          <w:lang w:val="en-US"/>
        </w:rPr>
        <w:t xml:space="preserve">, </w:t>
      </w:r>
      <w:r w:rsidRPr="00230640">
        <w:rPr>
          <w:i/>
          <w:iCs/>
          <w:lang w:val="en-US"/>
        </w:rPr>
        <w:t>Between God and Man: Angels in Italian Art</w:t>
      </w:r>
      <w:r w:rsidRPr="00230640">
        <w:rPr>
          <w:lang w:val="en-US"/>
        </w:rPr>
        <w:t xml:space="preserve">, ed. Robin C. </w:t>
      </w:r>
      <w:proofErr w:type="spellStart"/>
      <w:r w:rsidRPr="00230640">
        <w:rPr>
          <w:lang w:val="en-US"/>
        </w:rPr>
        <w:t>Dietrick</w:t>
      </w:r>
      <w:proofErr w:type="spellEnd"/>
      <w:r w:rsidRPr="00230640">
        <w:rPr>
          <w:lang w:val="en-US"/>
        </w:rPr>
        <w:t xml:space="preserve"> (Jackson, Miss.: Mississippi Museum of Art, 2008); Richard </w:t>
      </w:r>
      <w:proofErr w:type="spellStart"/>
      <w:r w:rsidRPr="00230640">
        <w:rPr>
          <w:lang w:val="en-US"/>
        </w:rPr>
        <w:t>Rastall</w:t>
      </w:r>
      <w:proofErr w:type="spellEnd"/>
      <w:r w:rsidRPr="00230640">
        <w:rPr>
          <w:lang w:val="en-US"/>
        </w:rPr>
        <w:t xml:space="preserve">, “Heaven: The Musical Repertory,” in </w:t>
      </w:r>
      <w:r w:rsidRPr="00230640">
        <w:rPr>
          <w:i/>
          <w:iCs/>
          <w:lang w:val="en-US"/>
        </w:rPr>
        <w:t>The Iconography of Heaven</w:t>
      </w:r>
      <w:r w:rsidRPr="00230640">
        <w:rPr>
          <w:lang w:val="en-US"/>
        </w:rPr>
        <w:t xml:space="preserve">, ed. Clifford Davidson (Kalamazoo, Mich.: Medieval Institute Publications, Western Michigan University, 1994), 162–96; Marco </w:t>
      </w:r>
      <w:proofErr w:type="spellStart"/>
      <w:r w:rsidRPr="00230640">
        <w:rPr>
          <w:lang w:val="en-US"/>
        </w:rPr>
        <w:t>Bussagli</w:t>
      </w:r>
      <w:proofErr w:type="spellEnd"/>
      <w:r w:rsidRPr="00230640">
        <w:rPr>
          <w:lang w:val="en-US"/>
        </w:rPr>
        <w:t xml:space="preserve">, </w:t>
      </w:r>
      <w:r w:rsidRPr="00230640">
        <w:rPr>
          <w:i/>
          <w:iCs/>
          <w:lang w:val="en-US"/>
        </w:rPr>
        <w:t xml:space="preserve">Storia </w:t>
      </w:r>
      <w:proofErr w:type="spellStart"/>
      <w:r w:rsidRPr="00230640">
        <w:rPr>
          <w:i/>
          <w:iCs/>
          <w:lang w:val="en-US"/>
        </w:rPr>
        <w:t>degli</w:t>
      </w:r>
      <w:proofErr w:type="spellEnd"/>
      <w:r w:rsidRPr="00230640">
        <w:rPr>
          <w:i/>
          <w:iCs/>
          <w:lang w:val="en-US"/>
        </w:rPr>
        <w:t xml:space="preserve"> </w:t>
      </w:r>
      <w:proofErr w:type="spellStart"/>
      <w:r w:rsidRPr="00230640">
        <w:rPr>
          <w:i/>
          <w:iCs/>
          <w:lang w:val="en-US"/>
        </w:rPr>
        <w:t>angeli</w:t>
      </w:r>
      <w:proofErr w:type="spellEnd"/>
      <w:r w:rsidRPr="00230640">
        <w:rPr>
          <w:i/>
          <w:iCs/>
          <w:lang w:val="en-US"/>
        </w:rPr>
        <w:t xml:space="preserve">: </w:t>
      </w:r>
      <w:proofErr w:type="spellStart"/>
      <w:r w:rsidRPr="00230640">
        <w:rPr>
          <w:i/>
          <w:iCs/>
          <w:lang w:val="en-US"/>
        </w:rPr>
        <w:t>racconto</w:t>
      </w:r>
      <w:proofErr w:type="spellEnd"/>
      <w:r w:rsidRPr="00230640">
        <w:rPr>
          <w:i/>
          <w:iCs/>
          <w:lang w:val="en-US"/>
        </w:rPr>
        <w:t xml:space="preserve"> di </w:t>
      </w:r>
      <w:proofErr w:type="spellStart"/>
      <w:r w:rsidRPr="00230640">
        <w:rPr>
          <w:i/>
          <w:iCs/>
          <w:lang w:val="en-US"/>
        </w:rPr>
        <w:t>immagini</w:t>
      </w:r>
      <w:proofErr w:type="spellEnd"/>
      <w:r w:rsidRPr="00230640">
        <w:rPr>
          <w:i/>
          <w:iCs/>
          <w:lang w:val="en-US"/>
        </w:rPr>
        <w:t xml:space="preserve"> e di </w:t>
      </w:r>
      <w:proofErr w:type="spellStart"/>
      <w:r w:rsidRPr="00230640">
        <w:rPr>
          <w:i/>
          <w:iCs/>
          <w:lang w:val="en-US"/>
        </w:rPr>
        <w:t>idee</w:t>
      </w:r>
      <w:proofErr w:type="spellEnd"/>
      <w:r w:rsidRPr="00230640">
        <w:rPr>
          <w:lang w:val="en-US"/>
        </w:rPr>
        <w:t xml:space="preserve"> (Milano: </w:t>
      </w:r>
      <w:proofErr w:type="spellStart"/>
      <w:r w:rsidRPr="00230640">
        <w:rPr>
          <w:lang w:val="en-US"/>
        </w:rPr>
        <w:t>Rusconi</w:t>
      </w:r>
      <w:proofErr w:type="spellEnd"/>
      <w:r w:rsidRPr="00230640">
        <w:rPr>
          <w:lang w:val="en-US"/>
        </w:rPr>
        <w:t xml:space="preserve">, 1991), 272–85; David Keck, </w:t>
      </w:r>
      <w:r w:rsidRPr="00230640">
        <w:rPr>
          <w:i/>
          <w:iCs/>
          <w:lang w:val="en-US"/>
        </w:rPr>
        <w:t>Angels and Angelology in the Middle Ages</w:t>
      </w:r>
      <w:r w:rsidRPr="00230640">
        <w:rPr>
          <w:lang w:val="en-US"/>
        </w:rPr>
        <w:t xml:space="preserve"> (New York; Oxford: Oxford University Press, 1998), 175–76; an exception to this is Reinhold Hammerstein, </w:t>
      </w:r>
      <w:r w:rsidRPr="00230640">
        <w:rPr>
          <w:i/>
          <w:iCs/>
          <w:lang w:val="en-US"/>
        </w:rPr>
        <w:t xml:space="preserve">Die </w:t>
      </w:r>
      <w:proofErr w:type="spellStart"/>
      <w:r w:rsidRPr="00230640">
        <w:rPr>
          <w:i/>
          <w:iCs/>
          <w:lang w:val="en-US"/>
        </w:rPr>
        <w:t>Musik</w:t>
      </w:r>
      <w:proofErr w:type="spellEnd"/>
      <w:r w:rsidRPr="00230640">
        <w:rPr>
          <w:i/>
          <w:iCs/>
          <w:lang w:val="en-US"/>
        </w:rPr>
        <w:t xml:space="preserve"> der Engel: </w:t>
      </w:r>
      <w:proofErr w:type="spellStart"/>
      <w:r w:rsidRPr="00230640">
        <w:rPr>
          <w:i/>
          <w:iCs/>
          <w:lang w:val="en-US"/>
        </w:rPr>
        <w:t>Untersuchungen</w:t>
      </w:r>
      <w:proofErr w:type="spellEnd"/>
      <w:r w:rsidRPr="00230640">
        <w:rPr>
          <w:i/>
          <w:iCs/>
          <w:lang w:val="en-US"/>
        </w:rPr>
        <w:t xml:space="preserve"> </w:t>
      </w:r>
      <w:proofErr w:type="spellStart"/>
      <w:r w:rsidRPr="00230640">
        <w:rPr>
          <w:i/>
          <w:iCs/>
          <w:lang w:val="en-US"/>
        </w:rPr>
        <w:t>zur</w:t>
      </w:r>
      <w:proofErr w:type="spellEnd"/>
      <w:r w:rsidRPr="00230640">
        <w:rPr>
          <w:i/>
          <w:iCs/>
          <w:lang w:val="en-US"/>
        </w:rPr>
        <w:t xml:space="preserve"> </w:t>
      </w:r>
      <w:proofErr w:type="spellStart"/>
      <w:r w:rsidRPr="00230640">
        <w:rPr>
          <w:i/>
          <w:iCs/>
          <w:lang w:val="en-US"/>
        </w:rPr>
        <w:t>Musikanschauung</w:t>
      </w:r>
      <w:proofErr w:type="spellEnd"/>
      <w:r w:rsidRPr="00230640">
        <w:rPr>
          <w:i/>
          <w:iCs/>
          <w:lang w:val="en-US"/>
        </w:rPr>
        <w:t xml:space="preserve"> des </w:t>
      </w:r>
      <w:proofErr w:type="spellStart"/>
      <w:r w:rsidRPr="00230640">
        <w:rPr>
          <w:i/>
          <w:iCs/>
          <w:lang w:val="en-US"/>
        </w:rPr>
        <w:t>Mittelalters</w:t>
      </w:r>
      <w:proofErr w:type="spellEnd"/>
      <w:r w:rsidRPr="00230640">
        <w:rPr>
          <w:lang w:val="en-US"/>
        </w:rPr>
        <w:t xml:space="preserve"> (Bern: </w:t>
      </w:r>
      <w:proofErr w:type="spellStart"/>
      <w:r w:rsidRPr="00230640">
        <w:rPr>
          <w:lang w:val="en-US"/>
        </w:rPr>
        <w:t>Francke</w:t>
      </w:r>
      <w:proofErr w:type="spellEnd"/>
      <w:r w:rsidRPr="00230640">
        <w:rPr>
          <w:lang w:val="en-US"/>
        </w:rPr>
        <w:t>, 1990).</w:t>
      </w:r>
    </w:p>
  </w:footnote>
  <w:footnote w:id="289">
    <w:p w14:paraId="24912D95" w14:textId="77777777" w:rsidR="00182EED" w:rsidRDefault="00182EED" w:rsidP="008A116C">
      <w:pPr>
        <w:pStyle w:val="FootnoteText"/>
      </w:pPr>
      <w:r w:rsidRPr="00073E38">
        <w:rPr>
          <w:rStyle w:val="FootnoteReference"/>
        </w:rPr>
        <w:footnoteRef/>
      </w:r>
      <w:r>
        <w:t xml:space="preserve"> </w:t>
      </w:r>
      <w:r w:rsidRPr="00A5065F">
        <w:rPr>
          <w:lang w:val="en-US"/>
        </w:rPr>
        <w:t xml:space="preserve">For example: Emanuel </w:t>
      </w:r>
      <w:proofErr w:type="spellStart"/>
      <w:r w:rsidRPr="00A5065F">
        <w:rPr>
          <w:lang w:val="en-US"/>
        </w:rPr>
        <w:t>Winternitz</w:t>
      </w:r>
      <w:proofErr w:type="spellEnd"/>
      <w:r w:rsidRPr="00A5065F">
        <w:rPr>
          <w:lang w:val="en-US"/>
        </w:rPr>
        <w:t xml:space="preserve">, “On Angel Concerts in the 15th Century: A Critical Approach to Realism and Symbolism in Sacred Painting,” </w:t>
      </w:r>
      <w:r w:rsidRPr="00A5065F">
        <w:rPr>
          <w:i/>
          <w:iCs/>
          <w:lang w:val="en-US"/>
        </w:rPr>
        <w:t>The Musical Quarterly</w:t>
      </w:r>
      <w:r w:rsidRPr="00A5065F">
        <w:rPr>
          <w:lang w:val="en-US"/>
        </w:rPr>
        <w:t xml:space="preserve"> 49, no. 4 (1963): 450–63; Howard Mayer Brown, “Trecento Angels and the Instruments They Play,” in </w:t>
      </w:r>
      <w:r w:rsidRPr="00A5065F">
        <w:rPr>
          <w:i/>
          <w:iCs/>
          <w:lang w:val="en-US"/>
        </w:rPr>
        <w:t>Modern Musical Scholarship</w:t>
      </w:r>
      <w:r w:rsidRPr="00A5065F">
        <w:rPr>
          <w:lang w:val="en-US"/>
        </w:rPr>
        <w:t xml:space="preserve">, ed. Edward </w:t>
      </w:r>
      <w:proofErr w:type="spellStart"/>
      <w:r w:rsidRPr="00A5065F">
        <w:rPr>
          <w:lang w:val="en-US"/>
        </w:rPr>
        <w:t>Olleson</w:t>
      </w:r>
      <w:proofErr w:type="spellEnd"/>
      <w:r w:rsidRPr="00A5065F">
        <w:rPr>
          <w:lang w:val="en-US"/>
        </w:rPr>
        <w:t xml:space="preserve"> (</w:t>
      </w:r>
      <w:proofErr w:type="spellStart"/>
      <w:r w:rsidRPr="00A5065F">
        <w:rPr>
          <w:lang w:val="en-US"/>
        </w:rPr>
        <w:t>Stocksfield</w:t>
      </w:r>
      <w:proofErr w:type="spellEnd"/>
      <w:r w:rsidRPr="00A5065F">
        <w:rPr>
          <w:lang w:val="en-US"/>
        </w:rPr>
        <w:t xml:space="preserve">: Oriel Press, 1980), 112–40; Katherine Powers, “The Lira Da Braccio in the Angel’s Hands in Italian Renaissance Madonna Enthroned Paintings,” </w:t>
      </w:r>
      <w:r w:rsidRPr="00A5065F">
        <w:rPr>
          <w:i/>
          <w:iCs/>
          <w:lang w:val="en-US"/>
        </w:rPr>
        <w:t>Music in Art</w:t>
      </w:r>
      <w:r w:rsidRPr="00A5065F">
        <w:rPr>
          <w:lang w:val="en-US"/>
        </w:rPr>
        <w:t xml:space="preserve"> 26, no. 1/2 (2001): 20–29; Katherine Powers, “Music-Making Angels in Italian Renaissance Painting: Symbolism and Reality,” </w:t>
      </w:r>
      <w:r w:rsidRPr="00A5065F">
        <w:rPr>
          <w:i/>
          <w:iCs/>
          <w:lang w:val="en-US"/>
        </w:rPr>
        <w:t>Music in Art</w:t>
      </w:r>
      <w:r w:rsidRPr="00A5065F">
        <w:rPr>
          <w:lang w:val="en-US"/>
        </w:rPr>
        <w:t xml:space="preserve"> 29, no. 1/2 (Spring-Fall 2004): 52–63; Katherine Powers, “Marco </w:t>
      </w:r>
      <w:proofErr w:type="spellStart"/>
      <w:r w:rsidRPr="00A5065F">
        <w:rPr>
          <w:lang w:val="en-US"/>
        </w:rPr>
        <w:t>Palmezzano’s</w:t>
      </w:r>
      <w:proofErr w:type="spellEnd"/>
      <w:r w:rsidRPr="00A5065F">
        <w:rPr>
          <w:lang w:val="en-US"/>
        </w:rPr>
        <w:t xml:space="preserve"> Music-Making Angels: Holding the Fiddle in the Renaissance,” </w:t>
      </w:r>
      <w:r w:rsidRPr="00A5065F">
        <w:rPr>
          <w:i/>
          <w:iCs/>
          <w:lang w:val="en-US"/>
        </w:rPr>
        <w:t>The Galpin Society Journal</w:t>
      </w:r>
      <w:r w:rsidRPr="00A5065F">
        <w:rPr>
          <w:lang w:val="en-US"/>
        </w:rPr>
        <w:t xml:space="preserve"> 59 (May 2006): 139–46, 258–59.</w:t>
      </w:r>
    </w:p>
  </w:footnote>
  <w:footnote w:id="290">
    <w:p w14:paraId="708E79A1" w14:textId="77777777" w:rsidR="00182EED" w:rsidRDefault="00182EED" w:rsidP="008A116C">
      <w:pPr>
        <w:pStyle w:val="FootnoteText"/>
      </w:pPr>
      <w:r w:rsidRPr="00073E38">
        <w:rPr>
          <w:rStyle w:val="FootnoteReference"/>
        </w:rPr>
        <w:footnoteRef/>
      </w:r>
      <w:r>
        <w:t xml:space="preserve"> </w:t>
      </w:r>
      <w:r w:rsidRPr="00A5065F">
        <w:rPr>
          <w:lang w:val="en-US"/>
        </w:rPr>
        <w:t xml:space="preserve">See, for example, </w:t>
      </w:r>
      <w:proofErr w:type="spellStart"/>
      <w:r w:rsidRPr="00A5065F">
        <w:rPr>
          <w:lang w:val="en-US"/>
        </w:rPr>
        <w:t>Bussagli</w:t>
      </w:r>
      <w:proofErr w:type="spellEnd"/>
      <w:r w:rsidRPr="00A5065F">
        <w:rPr>
          <w:lang w:val="en-US"/>
        </w:rPr>
        <w:t xml:space="preserve">, </w:t>
      </w:r>
      <w:r w:rsidRPr="00A5065F">
        <w:rPr>
          <w:i/>
          <w:iCs/>
          <w:lang w:val="en-US"/>
        </w:rPr>
        <w:t xml:space="preserve">Storia </w:t>
      </w:r>
      <w:proofErr w:type="spellStart"/>
      <w:r w:rsidRPr="00A5065F">
        <w:rPr>
          <w:i/>
          <w:iCs/>
          <w:lang w:val="en-US"/>
        </w:rPr>
        <w:t>degli</w:t>
      </w:r>
      <w:proofErr w:type="spellEnd"/>
      <w:r w:rsidRPr="00A5065F">
        <w:rPr>
          <w:i/>
          <w:iCs/>
          <w:lang w:val="en-US"/>
        </w:rPr>
        <w:t xml:space="preserve"> </w:t>
      </w:r>
      <w:proofErr w:type="spellStart"/>
      <w:r w:rsidRPr="00A5065F">
        <w:rPr>
          <w:i/>
          <w:iCs/>
          <w:lang w:val="en-US"/>
        </w:rPr>
        <w:t>angeli</w:t>
      </w:r>
      <w:proofErr w:type="spellEnd"/>
      <w:r w:rsidRPr="00A5065F">
        <w:rPr>
          <w:lang w:val="en-US"/>
        </w:rPr>
        <w:t xml:space="preserve">; Keck, </w:t>
      </w:r>
      <w:r w:rsidRPr="00A5065F">
        <w:rPr>
          <w:i/>
          <w:iCs/>
          <w:lang w:val="en-US"/>
        </w:rPr>
        <w:t>Angels and Angelology in the Middle Ages</w:t>
      </w:r>
      <w:r w:rsidRPr="00A5065F">
        <w:rPr>
          <w:lang w:val="en-US"/>
        </w:rPr>
        <w:t xml:space="preserve">; Steven Chase, </w:t>
      </w:r>
      <w:r w:rsidRPr="00A5065F">
        <w:rPr>
          <w:i/>
          <w:iCs/>
          <w:lang w:val="en-US"/>
        </w:rPr>
        <w:t>Angelic Spirituality: Medieval Perspectives on the Ways of Angels</w:t>
      </w:r>
      <w:r w:rsidRPr="00A5065F">
        <w:rPr>
          <w:lang w:val="en-US"/>
        </w:rPr>
        <w:t xml:space="preserve">, trans. and intro by Steven Chase, preface by Ewert H. Cousins (Paulist Press, 2002); Peter Marshall and Alexandra Walsham, </w:t>
      </w:r>
      <w:r w:rsidRPr="00A5065F">
        <w:rPr>
          <w:i/>
          <w:iCs/>
          <w:lang w:val="en-US"/>
        </w:rPr>
        <w:t>Angels in the Early Modern World</w:t>
      </w:r>
      <w:r w:rsidRPr="00A5065F">
        <w:rPr>
          <w:lang w:val="en-US"/>
        </w:rPr>
        <w:t xml:space="preserve">, ed. Peter Marshall and Alexandra Walsham (Cambridge: Cambridge University Press, 2006), 1–40; A comprehensive bibliography on angels can be found in George J Marshall, </w:t>
      </w:r>
      <w:r w:rsidRPr="00A5065F">
        <w:rPr>
          <w:i/>
          <w:iCs/>
          <w:lang w:val="en-US"/>
        </w:rPr>
        <w:t>Angels: An Indexed and Partially Annotated Bibliography of Over 4300 Scholarly Books and Articles Since the 7th Century B.C.</w:t>
      </w:r>
      <w:r w:rsidRPr="00A5065F">
        <w:rPr>
          <w:lang w:val="en-US"/>
        </w:rPr>
        <w:t xml:space="preserve"> (Jefferson, North Carolina, and London: McFarland &amp; Company, Inc., 1999).</w:t>
      </w:r>
    </w:p>
  </w:footnote>
  <w:footnote w:id="291">
    <w:p w14:paraId="24DD00CA" w14:textId="77777777" w:rsidR="00182EED" w:rsidRDefault="00182EED" w:rsidP="008A116C">
      <w:pPr>
        <w:pStyle w:val="FootnoteText"/>
      </w:pPr>
      <w:r w:rsidRPr="00073E38">
        <w:rPr>
          <w:rStyle w:val="FootnoteReference"/>
        </w:rPr>
        <w:footnoteRef/>
      </w:r>
      <w:r>
        <w:t xml:space="preserve"> </w:t>
      </w:r>
      <w:r w:rsidRPr="00A5065F">
        <w:rPr>
          <w:lang w:val="en-US"/>
        </w:rPr>
        <w:t xml:space="preserve">Marco </w:t>
      </w:r>
      <w:proofErr w:type="spellStart"/>
      <w:r w:rsidRPr="00A5065F">
        <w:rPr>
          <w:lang w:val="en-US"/>
        </w:rPr>
        <w:t>Bussagli</w:t>
      </w:r>
      <w:proofErr w:type="spellEnd"/>
      <w:r w:rsidRPr="00A5065F">
        <w:rPr>
          <w:lang w:val="en-US"/>
        </w:rPr>
        <w:t xml:space="preserve">, “Angels: From Their Origins to the Middle Ages Theology and Iconography,” in </w:t>
      </w:r>
      <w:r w:rsidRPr="00A5065F">
        <w:rPr>
          <w:i/>
          <w:iCs/>
          <w:lang w:val="en-US"/>
        </w:rPr>
        <w:t>Between God and Man: Angels in Italian Art</w:t>
      </w:r>
      <w:r w:rsidRPr="00A5065F">
        <w:rPr>
          <w:lang w:val="en-US"/>
        </w:rPr>
        <w:t xml:space="preserve">, by Francesco </w:t>
      </w:r>
      <w:proofErr w:type="spellStart"/>
      <w:r w:rsidRPr="00A5065F">
        <w:rPr>
          <w:lang w:val="en-US"/>
        </w:rPr>
        <w:t>Buranelli</w:t>
      </w:r>
      <w:proofErr w:type="spellEnd"/>
      <w:r w:rsidRPr="00A5065F">
        <w:rPr>
          <w:lang w:val="en-US"/>
        </w:rPr>
        <w:t xml:space="preserve">, ed. Robin C. </w:t>
      </w:r>
      <w:proofErr w:type="spellStart"/>
      <w:r w:rsidRPr="00A5065F">
        <w:rPr>
          <w:lang w:val="en-US"/>
        </w:rPr>
        <w:t>Dietrick</w:t>
      </w:r>
      <w:proofErr w:type="spellEnd"/>
      <w:r w:rsidRPr="00A5065F">
        <w:rPr>
          <w:lang w:val="en-US"/>
        </w:rPr>
        <w:t xml:space="preserve"> (Jackson, Miss.: Mississippi Museum of Art, 2008), 12.</w:t>
      </w:r>
    </w:p>
  </w:footnote>
  <w:footnote w:id="292">
    <w:p w14:paraId="4D73FD0E" w14:textId="77777777" w:rsidR="00182EED" w:rsidRDefault="00182EED" w:rsidP="008A116C">
      <w:pPr>
        <w:pStyle w:val="FootnoteText"/>
      </w:pPr>
      <w:r w:rsidRPr="00073E38">
        <w:rPr>
          <w:rStyle w:val="FootnoteReference"/>
        </w:rPr>
        <w:footnoteRef/>
      </w:r>
      <w:r>
        <w:t xml:space="preserve"> </w:t>
      </w:r>
      <w:proofErr w:type="spellStart"/>
      <w:r w:rsidRPr="00A5065F">
        <w:rPr>
          <w:lang w:val="en-US"/>
        </w:rPr>
        <w:t>Bussagli</w:t>
      </w:r>
      <w:proofErr w:type="spellEnd"/>
      <w:r w:rsidRPr="00A5065F">
        <w:rPr>
          <w:lang w:val="en-US"/>
        </w:rPr>
        <w:t xml:space="preserve">, </w:t>
      </w:r>
      <w:r w:rsidRPr="00A5065F">
        <w:rPr>
          <w:i/>
          <w:iCs/>
          <w:lang w:val="en-US"/>
        </w:rPr>
        <w:t xml:space="preserve">Storia </w:t>
      </w:r>
      <w:proofErr w:type="spellStart"/>
      <w:r w:rsidRPr="00A5065F">
        <w:rPr>
          <w:i/>
          <w:iCs/>
          <w:lang w:val="en-US"/>
        </w:rPr>
        <w:t>degli</w:t>
      </w:r>
      <w:proofErr w:type="spellEnd"/>
      <w:r w:rsidRPr="00A5065F">
        <w:rPr>
          <w:i/>
          <w:iCs/>
          <w:lang w:val="en-US"/>
        </w:rPr>
        <w:t xml:space="preserve"> </w:t>
      </w:r>
      <w:proofErr w:type="spellStart"/>
      <w:r w:rsidRPr="00A5065F">
        <w:rPr>
          <w:i/>
          <w:iCs/>
          <w:lang w:val="en-US"/>
        </w:rPr>
        <w:t>angeli</w:t>
      </w:r>
      <w:proofErr w:type="spellEnd"/>
      <w:r w:rsidRPr="00A5065F">
        <w:rPr>
          <w:lang w:val="en-US"/>
        </w:rPr>
        <w:t xml:space="preserve">, 48; </w:t>
      </w:r>
      <w:proofErr w:type="spellStart"/>
      <w:r w:rsidRPr="00A5065F">
        <w:rPr>
          <w:lang w:val="en-US"/>
        </w:rPr>
        <w:t>Bussagli</w:t>
      </w:r>
      <w:proofErr w:type="spellEnd"/>
      <w:r w:rsidRPr="00A5065F">
        <w:rPr>
          <w:lang w:val="en-US"/>
        </w:rPr>
        <w:t xml:space="preserve">, “Angels: From Their Origins to the Middle Ages Theology and Iconography,” 16; Glenn Peers, </w:t>
      </w:r>
      <w:r w:rsidRPr="00A5065F">
        <w:rPr>
          <w:i/>
          <w:iCs/>
          <w:lang w:val="en-US"/>
        </w:rPr>
        <w:t>Subtle Bodies: Representing Angels in Byzantium</w:t>
      </w:r>
      <w:r w:rsidRPr="00A5065F">
        <w:rPr>
          <w:lang w:val="en-US"/>
        </w:rPr>
        <w:t xml:space="preserve"> (Berkeley: University of California Press, 2001), 21–23.</w:t>
      </w:r>
    </w:p>
  </w:footnote>
  <w:footnote w:id="293">
    <w:p w14:paraId="75BFDA59" w14:textId="77777777" w:rsidR="00182EED" w:rsidRDefault="00182EED" w:rsidP="008A116C">
      <w:pPr>
        <w:pStyle w:val="FootnoteText"/>
      </w:pPr>
      <w:r w:rsidRPr="00073E38">
        <w:rPr>
          <w:rStyle w:val="FootnoteReference"/>
        </w:rPr>
        <w:footnoteRef/>
      </w:r>
      <w:r>
        <w:t xml:space="preserve"> </w:t>
      </w:r>
      <w:r w:rsidRPr="00A5065F">
        <w:rPr>
          <w:lang w:val="en-US"/>
        </w:rPr>
        <w:t xml:space="preserve">For more examples of early depictions of angels </w:t>
      </w:r>
      <w:proofErr w:type="spellStart"/>
      <w:r w:rsidRPr="00A5065F">
        <w:rPr>
          <w:lang w:val="en-US"/>
        </w:rPr>
        <w:t>Bussagli</w:t>
      </w:r>
      <w:proofErr w:type="spellEnd"/>
      <w:r w:rsidRPr="00A5065F">
        <w:rPr>
          <w:lang w:val="en-US"/>
        </w:rPr>
        <w:t xml:space="preserve">, </w:t>
      </w:r>
      <w:r w:rsidRPr="00A5065F">
        <w:rPr>
          <w:i/>
          <w:iCs/>
          <w:lang w:val="en-US"/>
        </w:rPr>
        <w:t xml:space="preserve">Storia </w:t>
      </w:r>
      <w:proofErr w:type="spellStart"/>
      <w:r w:rsidRPr="00A5065F">
        <w:rPr>
          <w:i/>
          <w:iCs/>
          <w:lang w:val="en-US"/>
        </w:rPr>
        <w:t>degli</w:t>
      </w:r>
      <w:proofErr w:type="spellEnd"/>
      <w:r w:rsidRPr="00A5065F">
        <w:rPr>
          <w:i/>
          <w:iCs/>
          <w:lang w:val="en-US"/>
        </w:rPr>
        <w:t xml:space="preserve"> </w:t>
      </w:r>
      <w:proofErr w:type="spellStart"/>
      <w:r w:rsidRPr="00A5065F">
        <w:rPr>
          <w:i/>
          <w:iCs/>
          <w:lang w:val="en-US"/>
        </w:rPr>
        <w:t>angeli</w:t>
      </w:r>
      <w:proofErr w:type="spellEnd"/>
      <w:r w:rsidRPr="00A5065F">
        <w:rPr>
          <w:lang w:val="en-US"/>
        </w:rPr>
        <w:t>, 48–49; ibid., 53–55.</w:t>
      </w:r>
    </w:p>
  </w:footnote>
  <w:footnote w:id="294">
    <w:p w14:paraId="5C28877C" w14:textId="77777777" w:rsidR="00182EED" w:rsidRDefault="00182EED" w:rsidP="008A116C">
      <w:pPr>
        <w:pStyle w:val="FootnoteText"/>
      </w:pPr>
      <w:r w:rsidRPr="00073E38">
        <w:rPr>
          <w:rStyle w:val="FootnoteReference"/>
        </w:rPr>
        <w:footnoteRef/>
      </w:r>
      <w:r>
        <w:t xml:space="preserve"> </w:t>
      </w:r>
      <w:r w:rsidRPr="00004ED2">
        <w:rPr>
          <w:lang w:val="en-US"/>
        </w:rPr>
        <w:t xml:space="preserve">Maurizio </w:t>
      </w:r>
      <w:proofErr w:type="spellStart"/>
      <w:r w:rsidRPr="00004ED2">
        <w:rPr>
          <w:lang w:val="en-US"/>
        </w:rPr>
        <w:t>Sannibale</w:t>
      </w:r>
      <w:proofErr w:type="spellEnd"/>
      <w:r w:rsidRPr="00004ED2">
        <w:rPr>
          <w:lang w:val="en-US"/>
        </w:rPr>
        <w:t xml:space="preserve"> and Paolo </w:t>
      </w:r>
      <w:proofErr w:type="spellStart"/>
      <w:r w:rsidRPr="00004ED2">
        <w:rPr>
          <w:lang w:val="en-US"/>
        </w:rPr>
        <w:t>Liverani</w:t>
      </w:r>
      <w:proofErr w:type="spellEnd"/>
      <w:r w:rsidRPr="00004ED2">
        <w:rPr>
          <w:lang w:val="en-US"/>
        </w:rPr>
        <w:t xml:space="preserve">, “The Classic Origins of Angel Iconography,” in </w:t>
      </w:r>
      <w:r w:rsidRPr="00004ED2">
        <w:rPr>
          <w:i/>
          <w:iCs/>
          <w:lang w:val="en-US"/>
        </w:rPr>
        <w:t xml:space="preserve">Angels from the Vatican: The Invisible Made Visible, </w:t>
      </w:r>
      <w:proofErr w:type="spellStart"/>
      <w:r w:rsidRPr="00004ED2">
        <w:rPr>
          <w:lang w:val="en-US"/>
        </w:rPr>
        <w:t>Exh.Cat</w:t>
      </w:r>
      <w:proofErr w:type="spellEnd"/>
      <w:r w:rsidRPr="00004ED2">
        <w:rPr>
          <w:lang w:val="en-US"/>
        </w:rPr>
        <w:t xml:space="preserve">., ed. Allen Duston and Arnold </w:t>
      </w:r>
      <w:proofErr w:type="spellStart"/>
      <w:r w:rsidRPr="00004ED2">
        <w:rPr>
          <w:lang w:val="en-US"/>
        </w:rPr>
        <w:t>Nesselrath</w:t>
      </w:r>
      <w:proofErr w:type="spellEnd"/>
      <w:r w:rsidRPr="00004ED2">
        <w:rPr>
          <w:lang w:val="en-US"/>
        </w:rPr>
        <w:t xml:space="preserve"> (Alexandria, Va.: Art Services International, 1998), 63; For more information about depictions of angels with wings see Gunnar </w:t>
      </w:r>
      <w:proofErr w:type="spellStart"/>
      <w:r w:rsidRPr="00004ED2">
        <w:rPr>
          <w:lang w:val="en-US"/>
        </w:rPr>
        <w:t>Berefelt</w:t>
      </w:r>
      <w:proofErr w:type="spellEnd"/>
      <w:r w:rsidRPr="00004ED2">
        <w:rPr>
          <w:lang w:val="en-US"/>
        </w:rPr>
        <w:t xml:space="preserve">, </w:t>
      </w:r>
      <w:r w:rsidRPr="00004ED2">
        <w:rPr>
          <w:i/>
          <w:iCs/>
          <w:lang w:val="en-US"/>
        </w:rPr>
        <w:t>A Study on the Winged Angel: The Origin of a Motif.</w:t>
      </w:r>
      <w:r w:rsidRPr="00004ED2">
        <w:rPr>
          <w:lang w:val="en-US"/>
        </w:rPr>
        <w:t xml:space="preserve">, trans. Patrick </w:t>
      </w:r>
      <w:proofErr w:type="spellStart"/>
      <w:r w:rsidRPr="00004ED2">
        <w:rPr>
          <w:lang w:val="en-US"/>
        </w:rPr>
        <w:t>Hort</w:t>
      </w:r>
      <w:proofErr w:type="spellEnd"/>
      <w:r w:rsidRPr="00004ED2">
        <w:rPr>
          <w:lang w:val="en-US"/>
        </w:rPr>
        <w:t xml:space="preserve"> (Stockholm: Almqvist &amp; </w:t>
      </w:r>
      <w:proofErr w:type="spellStart"/>
      <w:r w:rsidRPr="00004ED2">
        <w:rPr>
          <w:lang w:val="en-US"/>
        </w:rPr>
        <w:t>Wiksell</w:t>
      </w:r>
      <w:proofErr w:type="spellEnd"/>
      <w:r w:rsidRPr="00004ED2">
        <w:rPr>
          <w:lang w:val="en-US"/>
        </w:rPr>
        <w:t>, 1968).</w:t>
      </w:r>
    </w:p>
  </w:footnote>
  <w:footnote w:id="295">
    <w:p w14:paraId="19E28354" w14:textId="77777777" w:rsidR="00182EED" w:rsidRDefault="00182EED" w:rsidP="008A116C">
      <w:pPr>
        <w:pStyle w:val="FootnoteText"/>
      </w:pPr>
      <w:r w:rsidRPr="00073E38">
        <w:rPr>
          <w:rStyle w:val="FootnoteReference"/>
        </w:rPr>
        <w:footnoteRef/>
      </w:r>
      <w:r>
        <w:t xml:space="preserve"> </w:t>
      </w:r>
      <w:proofErr w:type="spellStart"/>
      <w:r w:rsidRPr="0090739A">
        <w:rPr>
          <w:lang w:val="en-US"/>
        </w:rPr>
        <w:t>Sannibale</w:t>
      </w:r>
      <w:proofErr w:type="spellEnd"/>
      <w:r w:rsidRPr="0090739A">
        <w:rPr>
          <w:lang w:val="en-US"/>
        </w:rPr>
        <w:t xml:space="preserve"> and </w:t>
      </w:r>
      <w:proofErr w:type="spellStart"/>
      <w:r w:rsidRPr="0090739A">
        <w:rPr>
          <w:lang w:val="en-US"/>
        </w:rPr>
        <w:t>Liverani</w:t>
      </w:r>
      <w:proofErr w:type="spellEnd"/>
      <w:r w:rsidRPr="0090739A">
        <w:rPr>
          <w:lang w:val="en-US"/>
        </w:rPr>
        <w:t>, “The Classic Origins of Angel Iconography,” 64–68.</w:t>
      </w:r>
    </w:p>
  </w:footnote>
  <w:footnote w:id="296">
    <w:p w14:paraId="21D4FAD8" w14:textId="77777777" w:rsidR="00182EED" w:rsidRDefault="00182EED" w:rsidP="008A116C">
      <w:pPr>
        <w:pStyle w:val="FootnoteText"/>
      </w:pPr>
      <w:r w:rsidRPr="00073E38">
        <w:rPr>
          <w:rStyle w:val="FootnoteReference"/>
        </w:rPr>
        <w:footnoteRef/>
      </w:r>
      <w:r>
        <w:t xml:space="preserve"> </w:t>
      </w:r>
      <w:proofErr w:type="spellStart"/>
      <w:r w:rsidRPr="00841A05">
        <w:rPr>
          <w:lang w:val="en-US"/>
        </w:rPr>
        <w:t>Bussagli</w:t>
      </w:r>
      <w:proofErr w:type="spellEnd"/>
      <w:r w:rsidRPr="00841A05">
        <w:rPr>
          <w:lang w:val="en-US"/>
        </w:rPr>
        <w:t xml:space="preserve">, </w:t>
      </w:r>
      <w:r w:rsidRPr="00841A05">
        <w:rPr>
          <w:i/>
          <w:iCs/>
          <w:lang w:val="en-US"/>
        </w:rPr>
        <w:t xml:space="preserve">Storia </w:t>
      </w:r>
      <w:proofErr w:type="spellStart"/>
      <w:r w:rsidRPr="00841A05">
        <w:rPr>
          <w:i/>
          <w:iCs/>
          <w:lang w:val="en-US"/>
        </w:rPr>
        <w:t>degli</w:t>
      </w:r>
      <w:proofErr w:type="spellEnd"/>
      <w:r w:rsidRPr="00841A05">
        <w:rPr>
          <w:i/>
          <w:iCs/>
          <w:lang w:val="en-US"/>
        </w:rPr>
        <w:t xml:space="preserve"> </w:t>
      </w:r>
      <w:proofErr w:type="spellStart"/>
      <w:r w:rsidRPr="00841A05">
        <w:rPr>
          <w:i/>
          <w:iCs/>
          <w:lang w:val="en-US"/>
        </w:rPr>
        <w:t>angeli</w:t>
      </w:r>
      <w:proofErr w:type="spellEnd"/>
      <w:r w:rsidRPr="00841A05">
        <w:rPr>
          <w:lang w:val="en-US"/>
        </w:rPr>
        <w:t xml:space="preserve">, 58; </w:t>
      </w:r>
      <w:proofErr w:type="spellStart"/>
      <w:r w:rsidRPr="00841A05">
        <w:rPr>
          <w:lang w:val="en-US"/>
        </w:rPr>
        <w:t>Bussagli</w:t>
      </w:r>
      <w:proofErr w:type="spellEnd"/>
      <w:r w:rsidRPr="00841A05">
        <w:rPr>
          <w:lang w:val="en-US"/>
        </w:rPr>
        <w:t>, “Angels: From Their Origins to the Middle Ages Theology and Iconography,” 17.</w:t>
      </w:r>
    </w:p>
  </w:footnote>
  <w:footnote w:id="297">
    <w:p w14:paraId="02A7F555" w14:textId="77777777" w:rsidR="00182EED" w:rsidRDefault="00182EED" w:rsidP="008A116C">
      <w:pPr>
        <w:pStyle w:val="FootnoteText"/>
      </w:pPr>
      <w:r w:rsidRPr="00073E38">
        <w:rPr>
          <w:rStyle w:val="FootnoteReference"/>
        </w:rPr>
        <w:footnoteRef/>
      </w:r>
      <w:r>
        <w:t xml:space="preserve"> </w:t>
      </w:r>
      <w:r w:rsidRPr="00841A05">
        <w:rPr>
          <w:lang w:val="en-US"/>
        </w:rPr>
        <w:t xml:space="preserve">On the similarities and differences between angels and Nike see </w:t>
      </w:r>
      <w:proofErr w:type="spellStart"/>
      <w:r w:rsidRPr="00841A05">
        <w:rPr>
          <w:lang w:val="en-US"/>
        </w:rPr>
        <w:t>Bussagli</w:t>
      </w:r>
      <w:proofErr w:type="spellEnd"/>
      <w:r w:rsidRPr="00841A05">
        <w:rPr>
          <w:lang w:val="en-US"/>
        </w:rPr>
        <w:t xml:space="preserve">, </w:t>
      </w:r>
      <w:r w:rsidRPr="00841A05">
        <w:rPr>
          <w:i/>
          <w:iCs/>
          <w:lang w:val="en-US"/>
        </w:rPr>
        <w:t xml:space="preserve">Storia </w:t>
      </w:r>
      <w:proofErr w:type="spellStart"/>
      <w:r w:rsidRPr="00841A05">
        <w:rPr>
          <w:i/>
          <w:iCs/>
          <w:lang w:val="en-US"/>
        </w:rPr>
        <w:t>degli</w:t>
      </w:r>
      <w:proofErr w:type="spellEnd"/>
      <w:r w:rsidRPr="00841A05">
        <w:rPr>
          <w:i/>
          <w:iCs/>
          <w:lang w:val="en-US"/>
        </w:rPr>
        <w:t xml:space="preserve"> </w:t>
      </w:r>
      <w:proofErr w:type="spellStart"/>
      <w:r w:rsidRPr="00841A05">
        <w:rPr>
          <w:i/>
          <w:iCs/>
          <w:lang w:val="en-US"/>
        </w:rPr>
        <w:t>angeli</w:t>
      </w:r>
      <w:proofErr w:type="spellEnd"/>
      <w:r w:rsidRPr="00841A05">
        <w:rPr>
          <w:lang w:val="en-US"/>
        </w:rPr>
        <w:t xml:space="preserve">, 63–71; </w:t>
      </w:r>
      <w:proofErr w:type="spellStart"/>
      <w:r w:rsidRPr="00841A05">
        <w:rPr>
          <w:lang w:val="en-US"/>
        </w:rPr>
        <w:t>Bussagli</w:t>
      </w:r>
      <w:proofErr w:type="spellEnd"/>
      <w:r w:rsidRPr="00841A05">
        <w:rPr>
          <w:lang w:val="en-US"/>
        </w:rPr>
        <w:t>, “Angels: From Their Origins to the Middle Ages Theology and Iconography,” 17.</w:t>
      </w:r>
    </w:p>
  </w:footnote>
  <w:footnote w:id="298">
    <w:p w14:paraId="007B6E96" w14:textId="77777777" w:rsidR="00182EED" w:rsidRDefault="00182EED" w:rsidP="008A116C">
      <w:pPr>
        <w:pStyle w:val="FootnoteText"/>
      </w:pPr>
      <w:r w:rsidRPr="00073E38">
        <w:rPr>
          <w:rStyle w:val="FootnoteReference"/>
        </w:rPr>
        <w:footnoteRef/>
      </w:r>
      <w:r>
        <w:t xml:space="preserve"> </w:t>
      </w:r>
      <w:r w:rsidRPr="00841A05">
        <w:rPr>
          <w:lang w:val="en-US"/>
        </w:rPr>
        <w:t xml:space="preserve">Psalm 104:4, English Standard Version; See </w:t>
      </w:r>
      <w:proofErr w:type="spellStart"/>
      <w:r w:rsidRPr="00841A05">
        <w:rPr>
          <w:lang w:val="en-US"/>
        </w:rPr>
        <w:t>Bussagli</w:t>
      </w:r>
      <w:proofErr w:type="spellEnd"/>
      <w:r w:rsidRPr="00841A05">
        <w:rPr>
          <w:lang w:val="en-US"/>
        </w:rPr>
        <w:t xml:space="preserve">, </w:t>
      </w:r>
      <w:r w:rsidRPr="00841A05">
        <w:rPr>
          <w:i/>
          <w:iCs/>
          <w:lang w:val="en-US"/>
        </w:rPr>
        <w:t xml:space="preserve">Storia </w:t>
      </w:r>
      <w:proofErr w:type="spellStart"/>
      <w:r w:rsidRPr="00841A05">
        <w:rPr>
          <w:i/>
          <w:iCs/>
          <w:lang w:val="en-US"/>
        </w:rPr>
        <w:t>degli</w:t>
      </w:r>
      <w:proofErr w:type="spellEnd"/>
      <w:r w:rsidRPr="00841A05">
        <w:rPr>
          <w:i/>
          <w:iCs/>
          <w:lang w:val="en-US"/>
        </w:rPr>
        <w:t xml:space="preserve"> </w:t>
      </w:r>
      <w:proofErr w:type="spellStart"/>
      <w:r w:rsidRPr="00841A05">
        <w:rPr>
          <w:i/>
          <w:iCs/>
          <w:lang w:val="en-US"/>
        </w:rPr>
        <w:t>angeli</w:t>
      </w:r>
      <w:proofErr w:type="spellEnd"/>
      <w:r w:rsidRPr="00841A05">
        <w:rPr>
          <w:lang w:val="en-US"/>
        </w:rPr>
        <w:t xml:space="preserve">, 109; </w:t>
      </w:r>
      <w:proofErr w:type="spellStart"/>
      <w:r w:rsidRPr="00841A05">
        <w:rPr>
          <w:lang w:val="en-US"/>
        </w:rPr>
        <w:t>Bussagli</w:t>
      </w:r>
      <w:proofErr w:type="spellEnd"/>
      <w:r w:rsidRPr="00841A05">
        <w:rPr>
          <w:lang w:val="en-US"/>
        </w:rPr>
        <w:t>, “Angels: From Their Origins to the Middle Ages Theology and Iconography,” 17.</w:t>
      </w:r>
    </w:p>
  </w:footnote>
  <w:footnote w:id="299">
    <w:p w14:paraId="1A4E2685" w14:textId="77777777" w:rsidR="00182EED" w:rsidRDefault="00182EED" w:rsidP="008A116C">
      <w:pPr>
        <w:pStyle w:val="FootnoteText"/>
      </w:pPr>
      <w:r w:rsidRPr="00073E38">
        <w:rPr>
          <w:rStyle w:val="FootnoteReference"/>
        </w:rPr>
        <w:footnoteRef/>
      </w:r>
      <w:r>
        <w:t xml:space="preserve"> </w:t>
      </w:r>
      <w:proofErr w:type="spellStart"/>
      <w:r w:rsidRPr="00841A05">
        <w:rPr>
          <w:lang w:val="en-US"/>
        </w:rPr>
        <w:t>Bussagli</w:t>
      </w:r>
      <w:proofErr w:type="spellEnd"/>
      <w:r w:rsidRPr="00841A05">
        <w:rPr>
          <w:lang w:val="en-US"/>
        </w:rPr>
        <w:t xml:space="preserve">, </w:t>
      </w:r>
      <w:r w:rsidRPr="00841A05">
        <w:rPr>
          <w:i/>
          <w:iCs/>
          <w:lang w:val="en-US"/>
        </w:rPr>
        <w:t xml:space="preserve">Storia </w:t>
      </w:r>
      <w:proofErr w:type="spellStart"/>
      <w:r w:rsidRPr="00841A05">
        <w:rPr>
          <w:i/>
          <w:iCs/>
          <w:lang w:val="en-US"/>
        </w:rPr>
        <w:t>degli</w:t>
      </w:r>
      <w:proofErr w:type="spellEnd"/>
      <w:r w:rsidRPr="00841A05">
        <w:rPr>
          <w:i/>
          <w:iCs/>
          <w:lang w:val="en-US"/>
        </w:rPr>
        <w:t xml:space="preserve"> </w:t>
      </w:r>
      <w:proofErr w:type="spellStart"/>
      <w:r w:rsidRPr="00841A05">
        <w:rPr>
          <w:i/>
          <w:iCs/>
          <w:lang w:val="en-US"/>
        </w:rPr>
        <w:t>angeli</w:t>
      </w:r>
      <w:proofErr w:type="spellEnd"/>
      <w:r w:rsidRPr="00841A05">
        <w:rPr>
          <w:lang w:val="en-US"/>
        </w:rPr>
        <w:t>, 80.</w:t>
      </w:r>
    </w:p>
  </w:footnote>
  <w:footnote w:id="300">
    <w:p w14:paraId="4328855E" w14:textId="77777777" w:rsidR="00182EED" w:rsidRDefault="00182EED" w:rsidP="008A116C">
      <w:pPr>
        <w:pStyle w:val="FootnoteText"/>
      </w:pPr>
      <w:r w:rsidRPr="00073E38">
        <w:rPr>
          <w:rStyle w:val="FootnoteReference"/>
        </w:rPr>
        <w:footnoteRef/>
      </w:r>
      <w:r>
        <w:t xml:space="preserve"> </w:t>
      </w:r>
      <w:r w:rsidRPr="00841A05">
        <w:rPr>
          <w:lang w:val="en-US"/>
        </w:rPr>
        <w:t xml:space="preserve">Peers, </w:t>
      </w:r>
      <w:r w:rsidRPr="00841A05">
        <w:rPr>
          <w:i/>
          <w:iCs/>
          <w:lang w:val="en-US"/>
        </w:rPr>
        <w:t>Subtle Bodies</w:t>
      </w:r>
      <w:r w:rsidRPr="00841A05">
        <w:rPr>
          <w:lang w:val="en-US"/>
        </w:rPr>
        <w:t>, 33–35.</w:t>
      </w:r>
    </w:p>
  </w:footnote>
  <w:footnote w:id="301">
    <w:p w14:paraId="049131B0" w14:textId="77777777" w:rsidR="00182EED" w:rsidRDefault="00182EED" w:rsidP="008A116C">
      <w:pPr>
        <w:pStyle w:val="FootnoteText"/>
      </w:pPr>
      <w:r w:rsidRPr="00073E38">
        <w:rPr>
          <w:rStyle w:val="FootnoteReference"/>
        </w:rPr>
        <w:footnoteRef/>
      </w:r>
      <w:r>
        <w:t xml:space="preserve"> </w:t>
      </w:r>
      <w:r w:rsidRPr="00841A05">
        <w:rPr>
          <w:lang w:val="en-US"/>
        </w:rPr>
        <w:t xml:space="preserve">“Omnis spiritus ales </w:t>
      </w:r>
      <w:proofErr w:type="spellStart"/>
      <w:r w:rsidRPr="00841A05">
        <w:rPr>
          <w:lang w:val="en-US"/>
        </w:rPr>
        <w:t>est</w:t>
      </w:r>
      <w:proofErr w:type="spellEnd"/>
      <w:r w:rsidRPr="00841A05">
        <w:rPr>
          <w:lang w:val="en-US"/>
        </w:rPr>
        <w:t xml:space="preserve">; hoc </w:t>
      </w:r>
      <w:proofErr w:type="spellStart"/>
      <w:r w:rsidRPr="00841A05">
        <w:rPr>
          <w:lang w:val="en-US"/>
        </w:rPr>
        <w:t>angeli</w:t>
      </w:r>
      <w:proofErr w:type="spellEnd"/>
      <w:r w:rsidRPr="00841A05">
        <w:rPr>
          <w:lang w:val="en-US"/>
        </w:rPr>
        <w:t xml:space="preserve"> et </w:t>
      </w:r>
      <w:proofErr w:type="spellStart"/>
      <w:r w:rsidRPr="00841A05">
        <w:rPr>
          <w:lang w:val="en-US"/>
        </w:rPr>
        <w:t>daemones</w:t>
      </w:r>
      <w:proofErr w:type="spellEnd"/>
      <w:r w:rsidRPr="00841A05">
        <w:rPr>
          <w:lang w:val="en-US"/>
        </w:rPr>
        <w:t xml:space="preserve">. </w:t>
      </w:r>
      <w:proofErr w:type="spellStart"/>
      <w:r w:rsidRPr="00841A05">
        <w:rPr>
          <w:lang w:val="en-US"/>
        </w:rPr>
        <w:t>Igitur</w:t>
      </w:r>
      <w:proofErr w:type="spellEnd"/>
      <w:r w:rsidRPr="00841A05">
        <w:rPr>
          <w:lang w:val="en-US"/>
        </w:rPr>
        <w:t xml:space="preserve"> </w:t>
      </w:r>
      <w:proofErr w:type="spellStart"/>
      <w:r w:rsidRPr="00841A05">
        <w:rPr>
          <w:lang w:val="en-US"/>
        </w:rPr>
        <w:t>momento</w:t>
      </w:r>
      <w:proofErr w:type="spellEnd"/>
      <w:r w:rsidRPr="00841A05">
        <w:rPr>
          <w:lang w:val="en-US"/>
        </w:rPr>
        <w:t xml:space="preserve"> </w:t>
      </w:r>
      <w:proofErr w:type="spellStart"/>
      <w:r w:rsidRPr="00841A05">
        <w:rPr>
          <w:lang w:val="en-US"/>
        </w:rPr>
        <w:t>ubique</w:t>
      </w:r>
      <w:proofErr w:type="spellEnd"/>
      <w:r w:rsidRPr="00841A05">
        <w:rPr>
          <w:lang w:val="en-US"/>
        </w:rPr>
        <w:t xml:space="preserve"> sunt; </w:t>
      </w:r>
      <w:proofErr w:type="spellStart"/>
      <w:r w:rsidRPr="00841A05">
        <w:rPr>
          <w:lang w:val="en-US"/>
        </w:rPr>
        <w:t>totus</w:t>
      </w:r>
      <w:proofErr w:type="spellEnd"/>
      <w:r w:rsidRPr="00841A05">
        <w:rPr>
          <w:lang w:val="en-US"/>
        </w:rPr>
        <w:t xml:space="preserve"> </w:t>
      </w:r>
      <w:proofErr w:type="spellStart"/>
      <w:r w:rsidRPr="00841A05">
        <w:rPr>
          <w:lang w:val="en-US"/>
        </w:rPr>
        <w:t>orbis</w:t>
      </w:r>
      <w:proofErr w:type="spellEnd"/>
      <w:r w:rsidRPr="00841A05">
        <w:rPr>
          <w:lang w:val="en-US"/>
        </w:rPr>
        <w:t xml:space="preserve"> </w:t>
      </w:r>
      <w:proofErr w:type="spellStart"/>
      <w:r w:rsidRPr="00841A05">
        <w:rPr>
          <w:lang w:val="en-US"/>
        </w:rPr>
        <w:t>illis</w:t>
      </w:r>
      <w:proofErr w:type="spellEnd"/>
      <w:r w:rsidRPr="00841A05">
        <w:rPr>
          <w:lang w:val="en-US"/>
        </w:rPr>
        <w:t xml:space="preserve"> locus </w:t>
      </w:r>
      <w:proofErr w:type="spellStart"/>
      <w:r w:rsidRPr="00841A05">
        <w:rPr>
          <w:lang w:val="en-US"/>
        </w:rPr>
        <w:t>unus</w:t>
      </w:r>
      <w:proofErr w:type="spellEnd"/>
      <w:r w:rsidRPr="00841A05">
        <w:rPr>
          <w:lang w:val="en-US"/>
        </w:rPr>
        <w:t xml:space="preserve"> </w:t>
      </w:r>
      <w:proofErr w:type="spellStart"/>
      <w:r w:rsidRPr="00841A05">
        <w:rPr>
          <w:lang w:val="en-US"/>
        </w:rPr>
        <w:t>est</w:t>
      </w:r>
      <w:proofErr w:type="spellEnd"/>
      <w:r w:rsidRPr="00841A05">
        <w:rPr>
          <w:lang w:val="en-US"/>
        </w:rPr>
        <w:t xml:space="preserve">; quid </w:t>
      </w:r>
      <w:proofErr w:type="spellStart"/>
      <w:r w:rsidRPr="00841A05">
        <w:rPr>
          <w:lang w:val="en-US"/>
        </w:rPr>
        <w:t>ubi</w:t>
      </w:r>
      <w:proofErr w:type="spellEnd"/>
      <w:r w:rsidRPr="00841A05">
        <w:rPr>
          <w:lang w:val="en-US"/>
        </w:rPr>
        <w:t xml:space="preserve"> </w:t>
      </w:r>
      <w:proofErr w:type="spellStart"/>
      <w:r w:rsidRPr="00841A05">
        <w:rPr>
          <w:lang w:val="en-US"/>
        </w:rPr>
        <w:t>geratur</w:t>
      </w:r>
      <w:proofErr w:type="spellEnd"/>
      <w:r w:rsidRPr="00841A05">
        <w:rPr>
          <w:lang w:val="en-US"/>
        </w:rPr>
        <w:t xml:space="preserve"> tam facile </w:t>
      </w:r>
      <w:proofErr w:type="spellStart"/>
      <w:r w:rsidRPr="00841A05">
        <w:rPr>
          <w:lang w:val="en-US"/>
        </w:rPr>
        <w:t>sciunt</w:t>
      </w:r>
      <w:proofErr w:type="spellEnd"/>
      <w:r w:rsidRPr="00841A05">
        <w:rPr>
          <w:lang w:val="en-US"/>
        </w:rPr>
        <w:t xml:space="preserve"> </w:t>
      </w:r>
      <w:proofErr w:type="spellStart"/>
      <w:r w:rsidRPr="00841A05">
        <w:rPr>
          <w:lang w:val="en-US"/>
        </w:rPr>
        <w:t>quam</w:t>
      </w:r>
      <w:proofErr w:type="spellEnd"/>
      <w:r w:rsidRPr="00841A05">
        <w:rPr>
          <w:lang w:val="en-US"/>
        </w:rPr>
        <w:t xml:space="preserve"> </w:t>
      </w:r>
      <w:proofErr w:type="spellStart"/>
      <w:r w:rsidRPr="00841A05">
        <w:rPr>
          <w:lang w:val="en-US"/>
        </w:rPr>
        <w:t>adnuntiant</w:t>
      </w:r>
      <w:proofErr w:type="spellEnd"/>
      <w:r w:rsidRPr="00841A05">
        <w:rPr>
          <w:lang w:val="en-US"/>
        </w:rPr>
        <w:t xml:space="preserve">. </w:t>
      </w:r>
      <w:proofErr w:type="spellStart"/>
      <w:r w:rsidRPr="00841A05">
        <w:rPr>
          <w:lang w:val="en-US"/>
        </w:rPr>
        <w:t>Velocitas</w:t>
      </w:r>
      <w:proofErr w:type="spellEnd"/>
      <w:r w:rsidRPr="00841A05">
        <w:rPr>
          <w:lang w:val="en-US"/>
        </w:rPr>
        <w:t xml:space="preserve"> </w:t>
      </w:r>
      <w:proofErr w:type="spellStart"/>
      <w:r w:rsidRPr="00841A05">
        <w:rPr>
          <w:lang w:val="en-US"/>
        </w:rPr>
        <w:t>diuinitas</w:t>
      </w:r>
      <w:proofErr w:type="spellEnd"/>
      <w:r w:rsidRPr="00841A05">
        <w:rPr>
          <w:lang w:val="en-US"/>
        </w:rPr>
        <w:t xml:space="preserve"> creditor, </w:t>
      </w:r>
      <w:proofErr w:type="spellStart"/>
      <w:r w:rsidRPr="00841A05">
        <w:rPr>
          <w:lang w:val="en-US"/>
        </w:rPr>
        <w:t>quia</w:t>
      </w:r>
      <w:proofErr w:type="spellEnd"/>
      <w:r w:rsidRPr="00841A05">
        <w:rPr>
          <w:lang w:val="en-US"/>
        </w:rPr>
        <w:t xml:space="preserve"> substantia </w:t>
      </w:r>
      <w:proofErr w:type="spellStart"/>
      <w:r w:rsidRPr="00841A05">
        <w:rPr>
          <w:lang w:val="en-US"/>
        </w:rPr>
        <w:t>ignoratur</w:t>
      </w:r>
      <w:proofErr w:type="spellEnd"/>
      <w:r w:rsidRPr="00841A05">
        <w:rPr>
          <w:lang w:val="en-US"/>
        </w:rPr>
        <w:t xml:space="preserve">.” Tertullian (Q. </w:t>
      </w:r>
      <w:proofErr w:type="spellStart"/>
      <w:r w:rsidRPr="00841A05">
        <w:rPr>
          <w:lang w:val="en-US"/>
        </w:rPr>
        <w:t>Septimi</w:t>
      </w:r>
      <w:proofErr w:type="spellEnd"/>
      <w:r w:rsidRPr="00841A05">
        <w:rPr>
          <w:lang w:val="en-US"/>
        </w:rPr>
        <w:t xml:space="preserve"> </w:t>
      </w:r>
      <w:proofErr w:type="spellStart"/>
      <w:r w:rsidRPr="00841A05">
        <w:rPr>
          <w:lang w:val="en-US"/>
        </w:rPr>
        <w:t>Florentis</w:t>
      </w:r>
      <w:proofErr w:type="spellEnd"/>
      <w:r w:rsidRPr="00841A05">
        <w:rPr>
          <w:lang w:val="en-US"/>
        </w:rPr>
        <w:t xml:space="preserve"> </w:t>
      </w:r>
      <w:proofErr w:type="spellStart"/>
      <w:r w:rsidRPr="00841A05">
        <w:rPr>
          <w:lang w:val="en-US"/>
        </w:rPr>
        <w:t>Tertulliani</w:t>
      </w:r>
      <w:proofErr w:type="spellEnd"/>
      <w:r w:rsidRPr="00841A05">
        <w:rPr>
          <w:lang w:val="en-US"/>
        </w:rPr>
        <w:t xml:space="preserve">), </w:t>
      </w:r>
      <w:proofErr w:type="spellStart"/>
      <w:r w:rsidRPr="00841A05">
        <w:rPr>
          <w:i/>
          <w:iCs/>
          <w:lang w:val="en-US"/>
        </w:rPr>
        <w:t>Apologeticus</w:t>
      </w:r>
      <w:proofErr w:type="spellEnd"/>
      <w:r w:rsidRPr="00841A05">
        <w:rPr>
          <w:lang w:val="en-US"/>
        </w:rPr>
        <w:t xml:space="preserve">, ed. Franz </w:t>
      </w:r>
      <w:proofErr w:type="spellStart"/>
      <w:r w:rsidRPr="00841A05">
        <w:rPr>
          <w:lang w:val="en-US"/>
        </w:rPr>
        <w:t>Oehler</w:t>
      </w:r>
      <w:proofErr w:type="spellEnd"/>
      <w:r w:rsidRPr="00841A05">
        <w:rPr>
          <w:lang w:val="en-US"/>
        </w:rPr>
        <w:t xml:space="preserve"> and John E. B. Mayor, trans. Alexander Souter (Aberdeen: University Press, 1926), ch.22, 76; English translation from Peers, </w:t>
      </w:r>
      <w:r w:rsidRPr="00841A05">
        <w:rPr>
          <w:i/>
          <w:iCs/>
          <w:lang w:val="en-US"/>
        </w:rPr>
        <w:t>Subtle Bodies</w:t>
      </w:r>
      <w:r w:rsidRPr="00841A05">
        <w:rPr>
          <w:lang w:val="en-US"/>
        </w:rPr>
        <w:t>, 35 n.42.</w:t>
      </w:r>
    </w:p>
  </w:footnote>
  <w:footnote w:id="302">
    <w:p w14:paraId="512BDE04" w14:textId="77777777" w:rsidR="00182EED" w:rsidRDefault="00182EED" w:rsidP="008A116C">
      <w:pPr>
        <w:pStyle w:val="FootnoteText"/>
      </w:pPr>
      <w:r w:rsidRPr="00073E38">
        <w:rPr>
          <w:rStyle w:val="FootnoteReference"/>
        </w:rPr>
        <w:footnoteRef/>
      </w:r>
      <w:r>
        <w:t xml:space="preserve"> </w:t>
      </w:r>
      <w:proofErr w:type="spellStart"/>
      <w:r w:rsidRPr="00841A05">
        <w:rPr>
          <w:lang w:val="en-US"/>
        </w:rPr>
        <w:t>Bussagli</w:t>
      </w:r>
      <w:proofErr w:type="spellEnd"/>
      <w:r w:rsidRPr="00841A05">
        <w:rPr>
          <w:lang w:val="en-US"/>
        </w:rPr>
        <w:t xml:space="preserve">, </w:t>
      </w:r>
      <w:r w:rsidRPr="00841A05">
        <w:rPr>
          <w:i/>
          <w:iCs/>
          <w:lang w:val="en-US"/>
        </w:rPr>
        <w:t xml:space="preserve">Storia </w:t>
      </w:r>
      <w:proofErr w:type="spellStart"/>
      <w:r w:rsidRPr="00841A05">
        <w:rPr>
          <w:i/>
          <w:iCs/>
          <w:lang w:val="en-US"/>
        </w:rPr>
        <w:t>degli</w:t>
      </w:r>
      <w:proofErr w:type="spellEnd"/>
      <w:r w:rsidRPr="00841A05">
        <w:rPr>
          <w:i/>
          <w:iCs/>
          <w:lang w:val="en-US"/>
        </w:rPr>
        <w:t xml:space="preserve"> </w:t>
      </w:r>
      <w:proofErr w:type="spellStart"/>
      <w:r w:rsidRPr="00841A05">
        <w:rPr>
          <w:i/>
          <w:iCs/>
          <w:lang w:val="en-US"/>
        </w:rPr>
        <w:t>angeli</w:t>
      </w:r>
      <w:proofErr w:type="spellEnd"/>
      <w:r w:rsidRPr="00841A05">
        <w:rPr>
          <w:lang w:val="en-US"/>
        </w:rPr>
        <w:t>, 90.</w:t>
      </w:r>
    </w:p>
  </w:footnote>
  <w:footnote w:id="303">
    <w:p w14:paraId="1AF11852" w14:textId="77777777" w:rsidR="00182EED" w:rsidRDefault="00182EED" w:rsidP="008A116C">
      <w:pPr>
        <w:pStyle w:val="FootnoteText"/>
      </w:pPr>
      <w:r w:rsidRPr="00073E38">
        <w:rPr>
          <w:rStyle w:val="FootnoteReference"/>
        </w:rPr>
        <w:footnoteRef/>
      </w:r>
      <w:r>
        <w:t xml:space="preserve"> </w:t>
      </w:r>
      <w:r w:rsidRPr="0090739A">
        <w:rPr>
          <w:lang w:val="en-US"/>
        </w:rPr>
        <w:t>“</w:t>
      </w:r>
      <w:proofErr w:type="spellStart"/>
      <w:r w:rsidRPr="0090739A">
        <w:rPr>
          <w:lang w:val="en-US"/>
        </w:rPr>
        <w:t>Quibus</w:t>
      </w:r>
      <w:proofErr w:type="spellEnd"/>
      <w:r w:rsidRPr="0090739A">
        <w:rPr>
          <w:lang w:val="en-US"/>
        </w:rPr>
        <w:t xml:space="preserve"> </w:t>
      </w:r>
      <w:proofErr w:type="spellStart"/>
      <w:r w:rsidRPr="0090739A">
        <w:rPr>
          <w:lang w:val="en-US"/>
        </w:rPr>
        <w:t>ideo</w:t>
      </w:r>
      <w:proofErr w:type="spellEnd"/>
      <w:r w:rsidRPr="0090739A">
        <w:rPr>
          <w:lang w:val="en-US"/>
        </w:rPr>
        <w:t xml:space="preserve"> </w:t>
      </w:r>
      <w:proofErr w:type="spellStart"/>
      <w:r w:rsidRPr="0090739A">
        <w:rPr>
          <w:lang w:val="en-US"/>
        </w:rPr>
        <w:t>pictoris</w:t>
      </w:r>
      <w:proofErr w:type="spellEnd"/>
      <w:r w:rsidRPr="0090739A">
        <w:rPr>
          <w:lang w:val="en-US"/>
        </w:rPr>
        <w:t xml:space="preserve"> </w:t>
      </w:r>
      <w:proofErr w:type="spellStart"/>
      <w:r w:rsidRPr="0090739A">
        <w:rPr>
          <w:lang w:val="en-US"/>
        </w:rPr>
        <w:t>licentia</w:t>
      </w:r>
      <w:proofErr w:type="spellEnd"/>
      <w:r w:rsidRPr="0090739A">
        <w:rPr>
          <w:lang w:val="en-US"/>
        </w:rPr>
        <w:t xml:space="preserve"> </w:t>
      </w:r>
      <w:proofErr w:type="spellStart"/>
      <w:r w:rsidRPr="0090739A">
        <w:rPr>
          <w:lang w:val="en-US"/>
        </w:rPr>
        <w:t>pennas</w:t>
      </w:r>
      <w:proofErr w:type="spellEnd"/>
      <w:r w:rsidRPr="0090739A">
        <w:rPr>
          <w:lang w:val="en-US"/>
        </w:rPr>
        <w:t xml:space="preserve"> </w:t>
      </w:r>
      <w:proofErr w:type="spellStart"/>
      <w:r w:rsidRPr="0090739A">
        <w:rPr>
          <w:lang w:val="en-US"/>
        </w:rPr>
        <w:t>facit</w:t>
      </w:r>
      <w:proofErr w:type="spellEnd"/>
      <w:r w:rsidRPr="0090739A">
        <w:rPr>
          <w:lang w:val="en-US"/>
        </w:rPr>
        <w:t xml:space="preserve">, </w:t>
      </w:r>
      <w:proofErr w:type="spellStart"/>
      <w:r w:rsidRPr="0090739A">
        <w:rPr>
          <w:lang w:val="en-US"/>
        </w:rPr>
        <w:t>ut</w:t>
      </w:r>
      <w:proofErr w:type="spellEnd"/>
      <w:r w:rsidRPr="0090739A">
        <w:rPr>
          <w:lang w:val="en-US"/>
        </w:rPr>
        <w:t xml:space="preserve"> </w:t>
      </w:r>
      <w:proofErr w:type="spellStart"/>
      <w:r w:rsidRPr="0090739A">
        <w:rPr>
          <w:lang w:val="en-US"/>
        </w:rPr>
        <w:t>celerem</w:t>
      </w:r>
      <w:proofErr w:type="spellEnd"/>
      <w:r w:rsidRPr="0090739A">
        <w:rPr>
          <w:lang w:val="en-US"/>
        </w:rPr>
        <w:t xml:space="preserve"> </w:t>
      </w:r>
      <w:proofErr w:type="spellStart"/>
      <w:r w:rsidRPr="0090739A">
        <w:rPr>
          <w:lang w:val="en-US"/>
        </w:rPr>
        <w:t>eorum</w:t>
      </w:r>
      <w:proofErr w:type="spellEnd"/>
      <w:r w:rsidRPr="0090739A">
        <w:rPr>
          <w:lang w:val="en-US"/>
        </w:rPr>
        <w:t xml:space="preserve"> in </w:t>
      </w:r>
      <w:proofErr w:type="spellStart"/>
      <w:r w:rsidRPr="0090739A">
        <w:rPr>
          <w:lang w:val="en-US"/>
        </w:rPr>
        <w:t>cuncta</w:t>
      </w:r>
      <w:proofErr w:type="spellEnd"/>
      <w:r w:rsidRPr="0090739A">
        <w:rPr>
          <w:lang w:val="en-US"/>
        </w:rPr>
        <w:t xml:space="preserve"> </w:t>
      </w:r>
      <w:proofErr w:type="spellStart"/>
      <w:r w:rsidRPr="0090739A">
        <w:rPr>
          <w:lang w:val="en-US"/>
        </w:rPr>
        <w:t>discursum</w:t>
      </w:r>
      <w:proofErr w:type="spellEnd"/>
      <w:r w:rsidRPr="0090739A">
        <w:rPr>
          <w:lang w:val="en-US"/>
        </w:rPr>
        <w:t xml:space="preserve"> significant, </w:t>
      </w:r>
      <w:proofErr w:type="spellStart"/>
      <w:r w:rsidRPr="0090739A">
        <w:rPr>
          <w:lang w:val="en-US"/>
        </w:rPr>
        <w:t>sicut</w:t>
      </w:r>
      <w:proofErr w:type="spellEnd"/>
      <w:r w:rsidRPr="0090739A">
        <w:rPr>
          <w:lang w:val="en-US"/>
        </w:rPr>
        <w:t xml:space="preserve"> et juxta </w:t>
      </w:r>
      <w:proofErr w:type="spellStart"/>
      <w:r w:rsidRPr="0090739A">
        <w:rPr>
          <w:lang w:val="en-US"/>
        </w:rPr>
        <w:t>fabulas</w:t>
      </w:r>
      <w:proofErr w:type="spellEnd"/>
      <w:r w:rsidRPr="0090739A">
        <w:rPr>
          <w:lang w:val="en-US"/>
        </w:rPr>
        <w:t xml:space="preserve"> </w:t>
      </w:r>
      <w:proofErr w:type="spellStart"/>
      <w:r w:rsidRPr="0090739A">
        <w:rPr>
          <w:lang w:val="en-US"/>
        </w:rPr>
        <w:t>poetarum</w:t>
      </w:r>
      <w:proofErr w:type="spellEnd"/>
      <w:r w:rsidRPr="0090739A">
        <w:rPr>
          <w:lang w:val="en-US"/>
        </w:rPr>
        <w:t xml:space="preserve"> venti </w:t>
      </w:r>
      <w:proofErr w:type="spellStart"/>
      <w:r w:rsidRPr="0090739A">
        <w:rPr>
          <w:lang w:val="en-US"/>
        </w:rPr>
        <w:t>pennas</w:t>
      </w:r>
      <w:proofErr w:type="spellEnd"/>
      <w:r w:rsidRPr="0090739A">
        <w:rPr>
          <w:lang w:val="en-US"/>
        </w:rPr>
        <w:t xml:space="preserve"> habere </w:t>
      </w:r>
      <w:proofErr w:type="spellStart"/>
      <w:r w:rsidRPr="0090739A">
        <w:rPr>
          <w:lang w:val="en-US"/>
        </w:rPr>
        <w:t>dicuntur</w:t>
      </w:r>
      <w:proofErr w:type="spellEnd"/>
      <w:r w:rsidRPr="0090739A">
        <w:rPr>
          <w:lang w:val="en-US"/>
        </w:rPr>
        <w:t xml:space="preserve">, propter </w:t>
      </w:r>
      <w:proofErr w:type="spellStart"/>
      <w:r w:rsidRPr="0090739A">
        <w:rPr>
          <w:lang w:val="en-US"/>
        </w:rPr>
        <w:t>velocitatem</w:t>
      </w:r>
      <w:proofErr w:type="spellEnd"/>
      <w:r w:rsidRPr="0090739A">
        <w:rPr>
          <w:lang w:val="en-US"/>
        </w:rPr>
        <w:t xml:space="preserve">, scilicet.” Isidore of Seville, “Opera Omnia,” in </w:t>
      </w:r>
      <w:proofErr w:type="spellStart"/>
      <w:r w:rsidRPr="0090739A">
        <w:rPr>
          <w:i/>
          <w:iCs/>
          <w:lang w:val="en-US"/>
        </w:rPr>
        <w:t>Patrologia</w:t>
      </w:r>
      <w:proofErr w:type="spellEnd"/>
      <w:r w:rsidRPr="0090739A">
        <w:rPr>
          <w:i/>
          <w:iCs/>
          <w:lang w:val="en-US"/>
        </w:rPr>
        <w:t xml:space="preserve"> Latina</w:t>
      </w:r>
      <w:r w:rsidRPr="0090739A">
        <w:rPr>
          <w:lang w:val="en-US"/>
        </w:rPr>
        <w:t xml:space="preserve">, ed. J. P. </w:t>
      </w:r>
      <w:proofErr w:type="spellStart"/>
      <w:r w:rsidRPr="0090739A">
        <w:rPr>
          <w:lang w:val="en-US"/>
        </w:rPr>
        <w:t>Migne</w:t>
      </w:r>
      <w:proofErr w:type="spellEnd"/>
      <w:r w:rsidRPr="0090739A">
        <w:rPr>
          <w:lang w:val="en-US"/>
        </w:rPr>
        <w:t xml:space="preserve">, vol. 82 (Paris: </w:t>
      </w:r>
      <w:proofErr w:type="spellStart"/>
      <w:r w:rsidRPr="0090739A">
        <w:rPr>
          <w:lang w:val="en-US"/>
        </w:rPr>
        <w:t>Migne</w:t>
      </w:r>
      <w:proofErr w:type="spellEnd"/>
      <w:r w:rsidRPr="0090739A">
        <w:rPr>
          <w:lang w:val="en-US"/>
        </w:rPr>
        <w:t>, 1859), 272 (</w:t>
      </w:r>
      <w:proofErr w:type="spellStart"/>
      <w:r w:rsidRPr="0090739A">
        <w:rPr>
          <w:lang w:val="en-US"/>
        </w:rPr>
        <w:t>Etymologiarum</w:t>
      </w:r>
      <w:proofErr w:type="spellEnd"/>
      <w:r w:rsidRPr="0090739A">
        <w:rPr>
          <w:lang w:val="en-US"/>
        </w:rPr>
        <w:t xml:space="preserve"> VII.5.3); English translation from </w:t>
      </w:r>
      <w:proofErr w:type="spellStart"/>
      <w:r w:rsidRPr="0090739A">
        <w:rPr>
          <w:lang w:val="en-US"/>
        </w:rPr>
        <w:t>Sannibale</w:t>
      </w:r>
      <w:proofErr w:type="spellEnd"/>
      <w:r w:rsidRPr="0090739A">
        <w:rPr>
          <w:lang w:val="en-US"/>
        </w:rPr>
        <w:t xml:space="preserve"> and </w:t>
      </w:r>
      <w:proofErr w:type="spellStart"/>
      <w:r w:rsidRPr="0090739A">
        <w:rPr>
          <w:lang w:val="en-US"/>
        </w:rPr>
        <w:t>Liverani</w:t>
      </w:r>
      <w:proofErr w:type="spellEnd"/>
      <w:r w:rsidRPr="0090739A">
        <w:rPr>
          <w:lang w:val="en-US"/>
        </w:rPr>
        <w:t xml:space="preserve">, “The Classic Origins of Angel Iconography,” 69; see also </w:t>
      </w:r>
      <w:proofErr w:type="spellStart"/>
      <w:r w:rsidRPr="0090739A">
        <w:rPr>
          <w:lang w:val="en-US"/>
        </w:rPr>
        <w:t>Bussagli</w:t>
      </w:r>
      <w:proofErr w:type="spellEnd"/>
      <w:r w:rsidRPr="0090739A">
        <w:rPr>
          <w:lang w:val="en-US"/>
        </w:rPr>
        <w:t xml:space="preserve">, </w:t>
      </w:r>
      <w:r w:rsidRPr="0090739A">
        <w:rPr>
          <w:i/>
          <w:iCs/>
          <w:lang w:val="en-US"/>
        </w:rPr>
        <w:t xml:space="preserve">Storia </w:t>
      </w:r>
      <w:proofErr w:type="spellStart"/>
      <w:r w:rsidRPr="0090739A">
        <w:rPr>
          <w:i/>
          <w:iCs/>
          <w:lang w:val="en-US"/>
        </w:rPr>
        <w:t>degli</w:t>
      </w:r>
      <w:proofErr w:type="spellEnd"/>
      <w:r w:rsidRPr="0090739A">
        <w:rPr>
          <w:i/>
          <w:iCs/>
          <w:lang w:val="en-US"/>
        </w:rPr>
        <w:t xml:space="preserve"> </w:t>
      </w:r>
      <w:proofErr w:type="spellStart"/>
      <w:r w:rsidRPr="0090739A">
        <w:rPr>
          <w:i/>
          <w:iCs/>
          <w:lang w:val="en-US"/>
        </w:rPr>
        <w:t>angeli</w:t>
      </w:r>
      <w:proofErr w:type="spellEnd"/>
      <w:r w:rsidRPr="0090739A">
        <w:rPr>
          <w:lang w:val="en-US"/>
        </w:rPr>
        <w:t>, 91.</w:t>
      </w:r>
    </w:p>
  </w:footnote>
  <w:footnote w:id="304">
    <w:p w14:paraId="2E3EC59A" w14:textId="77777777" w:rsidR="00182EED" w:rsidRDefault="00182EED" w:rsidP="008A116C">
      <w:pPr>
        <w:pStyle w:val="FootnoteText"/>
      </w:pPr>
      <w:r w:rsidRPr="00073E38">
        <w:rPr>
          <w:rStyle w:val="FootnoteReference"/>
        </w:rPr>
        <w:footnoteRef/>
      </w:r>
      <w:r>
        <w:t xml:space="preserve"> </w:t>
      </w:r>
      <w:proofErr w:type="spellStart"/>
      <w:r w:rsidRPr="00694310">
        <w:rPr>
          <w:lang w:val="en-US"/>
        </w:rPr>
        <w:t>Bussagli</w:t>
      </w:r>
      <w:proofErr w:type="spellEnd"/>
      <w:r w:rsidRPr="00694310">
        <w:rPr>
          <w:lang w:val="en-US"/>
        </w:rPr>
        <w:t xml:space="preserve">, </w:t>
      </w:r>
      <w:r w:rsidRPr="00694310">
        <w:rPr>
          <w:i/>
          <w:iCs/>
          <w:lang w:val="en-US"/>
        </w:rPr>
        <w:t xml:space="preserve">Storia </w:t>
      </w:r>
      <w:proofErr w:type="spellStart"/>
      <w:r w:rsidRPr="00694310">
        <w:rPr>
          <w:i/>
          <w:iCs/>
          <w:lang w:val="en-US"/>
        </w:rPr>
        <w:t>degli</w:t>
      </w:r>
      <w:proofErr w:type="spellEnd"/>
      <w:r w:rsidRPr="00694310">
        <w:rPr>
          <w:i/>
          <w:iCs/>
          <w:lang w:val="en-US"/>
        </w:rPr>
        <w:t xml:space="preserve"> </w:t>
      </w:r>
      <w:proofErr w:type="spellStart"/>
      <w:r w:rsidRPr="00694310">
        <w:rPr>
          <w:i/>
          <w:iCs/>
          <w:lang w:val="en-US"/>
        </w:rPr>
        <w:t>angeli</w:t>
      </w:r>
      <w:proofErr w:type="spellEnd"/>
      <w:r w:rsidRPr="00694310">
        <w:rPr>
          <w:lang w:val="en-US"/>
        </w:rPr>
        <w:t xml:space="preserve">, 61–62; </w:t>
      </w:r>
      <w:proofErr w:type="spellStart"/>
      <w:r w:rsidRPr="00694310">
        <w:rPr>
          <w:lang w:val="en-US"/>
        </w:rPr>
        <w:t>Bussagli</w:t>
      </w:r>
      <w:proofErr w:type="spellEnd"/>
      <w:r w:rsidRPr="00694310">
        <w:rPr>
          <w:lang w:val="en-US"/>
        </w:rPr>
        <w:t>, “Angels: From Their Origins to the Middle Ages Theology and Iconography,” 16.</w:t>
      </w:r>
    </w:p>
  </w:footnote>
  <w:footnote w:id="305">
    <w:p w14:paraId="392F672F" w14:textId="77777777" w:rsidR="00182EED" w:rsidRDefault="00182EED" w:rsidP="008A116C">
      <w:pPr>
        <w:pStyle w:val="FootnoteText"/>
      </w:pPr>
      <w:r w:rsidRPr="00073E38">
        <w:rPr>
          <w:rStyle w:val="FootnoteReference"/>
        </w:rPr>
        <w:footnoteRef/>
      </w:r>
      <w:r>
        <w:t xml:space="preserve"> </w:t>
      </w:r>
      <w:r w:rsidRPr="00193072">
        <w:rPr>
          <w:lang w:val="en-US"/>
        </w:rPr>
        <w:t>“</w:t>
      </w:r>
      <w:proofErr w:type="spellStart"/>
      <w:r w:rsidRPr="00193072">
        <w:rPr>
          <w:lang w:val="en-US"/>
        </w:rPr>
        <w:t>Complacuit</w:t>
      </w:r>
      <w:proofErr w:type="spellEnd"/>
      <w:r w:rsidRPr="00193072">
        <w:rPr>
          <w:lang w:val="en-US"/>
        </w:rPr>
        <w:t xml:space="preserve"> </w:t>
      </w:r>
      <w:proofErr w:type="spellStart"/>
      <w:r w:rsidRPr="00193072">
        <w:rPr>
          <w:lang w:val="en-US"/>
        </w:rPr>
        <w:t>itaque</w:t>
      </w:r>
      <w:proofErr w:type="spellEnd"/>
      <w:r w:rsidRPr="00193072">
        <w:rPr>
          <w:lang w:val="en-US"/>
        </w:rPr>
        <w:t xml:space="preserve"> </w:t>
      </w:r>
      <w:proofErr w:type="spellStart"/>
      <w:r w:rsidRPr="00193072">
        <w:rPr>
          <w:lang w:val="en-US"/>
        </w:rPr>
        <w:t>mysteriorum</w:t>
      </w:r>
      <w:proofErr w:type="spellEnd"/>
      <w:r w:rsidRPr="00193072">
        <w:rPr>
          <w:lang w:val="en-US"/>
        </w:rPr>
        <w:t xml:space="preserve"> </w:t>
      </w:r>
      <w:proofErr w:type="spellStart"/>
      <w:r w:rsidRPr="00193072">
        <w:rPr>
          <w:lang w:val="en-US"/>
        </w:rPr>
        <w:t>sacrorum</w:t>
      </w:r>
      <w:proofErr w:type="spellEnd"/>
      <w:r w:rsidRPr="00193072">
        <w:rPr>
          <w:lang w:val="en-US"/>
        </w:rPr>
        <w:t xml:space="preserve"> </w:t>
      </w:r>
      <w:proofErr w:type="spellStart"/>
      <w:r w:rsidRPr="00193072">
        <w:rPr>
          <w:lang w:val="en-US"/>
        </w:rPr>
        <w:t>principi</w:t>
      </w:r>
      <w:proofErr w:type="spellEnd"/>
      <w:r w:rsidRPr="00193072">
        <w:rPr>
          <w:lang w:val="en-US"/>
        </w:rPr>
        <w:t xml:space="preserve"> </w:t>
      </w:r>
      <w:proofErr w:type="spellStart"/>
      <w:r w:rsidRPr="00193072">
        <w:rPr>
          <w:lang w:val="en-US"/>
        </w:rPr>
        <w:t>constitutioni</w:t>
      </w:r>
      <w:proofErr w:type="spellEnd"/>
      <w:r w:rsidRPr="00193072">
        <w:rPr>
          <w:lang w:val="en-US"/>
        </w:rPr>
        <w:t xml:space="preserve">, </w:t>
      </w:r>
      <w:proofErr w:type="spellStart"/>
      <w:r w:rsidRPr="00193072">
        <w:rPr>
          <w:lang w:val="en-US"/>
        </w:rPr>
        <w:t>immateriales</w:t>
      </w:r>
      <w:proofErr w:type="spellEnd"/>
      <w:r w:rsidRPr="00193072">
        <w:rPr>
          <w:lang w:val="en-US"/>
        </w:rPr>
        <w:t xml:space="preserve"> </w:t>
      </w:r>
      <w:proofErr w:type="spellStart"/>
      <w:r w:rsidRPr="00193072">
        <w:rPr>
          <w:lang w:val="en-US"/>
        </w:rPr>
        <w:t>coelesteque</w:t>
      </w:r>
      <w:proofErr w:type="spellEnd"/>
      <w:r w:rsidRPr="00193072">
        <w:rPr>
          <w:lang w:val="en-US"/>
        </w:rPr>
        <w:t xml:space="preserve"> </w:t>
      </w:r>
      <w:proofErr w:type="spellStart"/>
      <w:r w:rsidRPr="00193072">
        <w:rPr>
          <w:lang w:val="en-US"/>
        </w:rPr>
        <w:t>hierarchias</w:t>
      </w:r>
      <w:proofErr w:type="spellEnd"/>
      <w:r w:rsidRPr="00193072">
        <w:rPr>
          <w:lang w:val="en-US"/>
        </w:rPr>
        <w:t xml:space="preserve"> </w:t>
      </w:r>
      <w:proofErr w:type="spellStart"/>
      <w:r w:rsidRPr="00193072">
        <w:rPr>
          <w:lang w:val="en-US"/>
        </w:rPr>
        <w:t>materialibus</w:t>
      </w:r>
      <w:proofErr w:type="spellEnd"/>
      <w:r w:rsidRPr="00193072">
        <w:rPr>
          <w:lang w:val="en-US"/>
        </w:rPr>
        <w:t xml:space="preserve"> </w:t>
      </w:r>
      <w:proofErr w:type="spellStart"/>
      <w:r w:rsidRPr="00193072">
        <w:rPr>
          <w:lang w:val="en-US"/>
        </w:rPr>
        <w:t>figuris</w:t>
      </w:r>
      <w:proofErr w:type="spellEnd"/>
      <w:r w:rsidRPr="00193072">
        <w:rPr>
          <w:lang w:val="en-US"/>
        </w:rPr>
        <w:t xml:space="preserve"> ac </w:t>
      </w:r>
      <w:proofErr w:type="spellStart"/>
      <w:r w:rsidRPr="00193072">
        <w:rPr>
          <w:lang w:val="en-US"/>
        </w:rPr>
        <w:t>formis</w:t>
      </w:r>
      <w:proofErr w:type="spellEnd"/>
      <w:r w:rsidRPr="00193072">
        <w:rPr>
          <w:lang w:val="en-US"/>
        </w:rPr>
        <w:t xml:space="preserve"> </w:t>
      </w:r>
      <w:proofErr w:type="spellStart"/>
      <w:r w:rsidRPr="00193072">
        <w:rPr>
          <w:lang w:val="en-US"/>
        </w:rPr>
        <w:t>exponere</w:t>
      </w:r>
      <w:proofErr w:type="spellEnd"/>
      <w:r w:rsidRPr="00193072">
        <w:rPr>
          <w:lang w:val="en-US"/>
        </w:rPr>
        <w:t xml:space="preserve">, </w:t>
      </w:r>
      <w:proofErr w:type="spellStart"/>
      <w:r w:rsidRPr="00193072">
        <w:rPr>
          <w:lang w:val="en-US"/>
        </w:rPr>
        <w:t>ut</w:t>
      </w:r>
      <w:proofErr w:type="spellEnd"/>
      <w:r w:rsidRPr="00193072">
        <w:rPr>
          <w:lang w:val="en-US"/>
        </w:rPr>
        <w:t xml:space="preserve"> pro </w:t>
      </w:r>
      <w:proofErr w:type="spellStart"/>
      <w:r w:rsidRPr="00193072">
        <w:rPr>
          <w:lang w:val="en-US"/>
        </w:rPr>
        <w:t>captu</w:t>
      </w:r>
      <w:proofErr w:type="spellEnd"/>
      <w:r w:rsidRPr="00193072">
        <w:rPr>
          <w:lang w:val="en-US"/>
        </w:rPr>
        <w:t xml:space="preserve"> </w:t>
      </w:r>
      <w:proofErr w:type="spellStart"/>
      <w:r w:rsidRPr="00193072">
        <w:rPr>
          <w:lang w:val="en-US"/>
        </w:rPr>
        <w:t>nostro</w:t>
      </w:r>
      <w:proofErr w:type="spellEnd"/>
      <w:r w:rsidRPr="00193072">
        <w:rPr>
          <w:lang w:val="en-US"/>
        </w:rPr>
        <w:t xml:space="preserve"> ab </w:t>
      </w:r>
      <w:proofErr w:type="spellStart"/>
      <w:r w:rsidRPr="00193072">
        <w:rPr>
          <w:lang w:val="en-US"/>
        </w:rPr>
        <w:t>hisce</w:t>
      </w:r>
      <w:proofErr w:type="spellEnd"/>
      <w:r w:rsidRPr="00193072">
        <w:rPr>
          <w:lang w:val="en-US"/>
        </w:rPr>
        <w:t xml:space="preserve"> </w:t>
      </w:r>
      <w:proofErr w:type="spellStart"/>
      <w:r w:rsidRPr="00193072">
        <w:rPr>
          <w:lang w:val="en-US"/>
        </w:rPr>
        <w:t>sacris</w:t>
      </w:r>
      <w:proofErr w:type="spellEnd"/>
      <w:r w:rsidRPr="00193072">
        <w:rPr>
          <w:lang w:val="en-US"/>
        </w:rPr>
        <w:t xml:space="preserve"> </w:t>
      </w:r>
      <w:proofErr w:type="spellStart"/>
      <w:r w:rsidRPr="00193072">
        <w:rPr>
          <w:lang w:val="en-US"/>
        </w:rPr>
        <w:t>efformationibus</w:t>
      </w:r>
      <w:proofErr w:type="spellEnd"/>
      <w:r w:rsidRPr="00193072">
        <w:rPr>
          <w:lang w:val="en-US"/>
        </w:rPr>
        <w:t xml:space="preserve">, ad </w:t>
      </w:r>
      <w:proofErr w:type="spellStart"/>
      <w:r w:rsidRPr="00193072">
        <w:rPr>
          <w:lang w:val="en-US"/>
        </w:rPr>
        <w:t>formarum</w:t>
      </w:r>
      <w:proofErr w:type="spellEnd"/>
      <w:r w:rsidRPr="00193072">
        <w:rPr>
          <w:lang w:val="en-US"/>
        </w:rPr>
        <w:t xml:space="preserve"> </w:t>
      </w:r>
      <w:proofErr w:type="spellStart"/>
      <w:r w:rsidRPr="00193072">
        <w:rPr>
          <w:lang w:val="en-US"/>
        </w:rPr>
        <w:t>figurarumque</w:t>
      </w:r>
      <w:proofErr w:type="spellEnd"/>
      <w:r w:rsidRPr="00193072">
        <w:rPr>
          <w:lang w:val="en-US"/>
        </w:rPr>
        <w:t xml:space="preserve"> </w:t>
      </w:r>
      <w:proofErr w:type="spellStart"/>
      <w:r w:rsidRPr="00193072">
        <w:rPr>
          <w:lang w:val="en-US"/>
        </w:rPr>
        <w:t>expertes</w:t>
      </w:r>
      <w:proofErr w:type="spellEnd"/>
      <w:r w:rsidRPr="00193072">
        <w:rPr>
          <w:lang w:val="en-US"/>
        </w:rPr>
        <w:t xml:space="preserve"> </w:t>
      </w:r>
      <w:proofErr w:type="spellStart"/>
      <w:r w:rsidRPr="00193072">
        <w:rPr>
          <w:lang w:val="en-US"/>
        </w:rPr>
        <w:t>anagogas</w:t>
      </w:r>
      <w:proofErr w:type="spellEnd"/>
      <w:r w:rsidRPr="00193072">
        <w:rPr>
          <w:lang w:val="en-US"/>
        </w:rPr>
        <w:t xml:space="preserve"> </w:t>
      </w:r>
      <w:proofErr w:type="spellStart"/>
      <w:r w:rsidRPr="00193072">
        <w:rPr>
          <w:lang w:val="en-US"/>
        </w:rPr>
        <w:t>traducamur</w:t>
      </w:r>
      <w:proofErr w:type="spellEnd"/>
      <w:r w:rsidRPr="00193072">
        <w:rPr>
          <w:lang w:val="en-US"/>
        </w:rPr>
        <w:t xml:space="preserve">. Ecce, </w:t>
      </w:r>
      <w:proofErr w:type="spellStart"/>
      <w:r w:rsidRPr="00193072">
        <w:rPr>
          <w:lang w:val="en-US"/>
        </w:rPr>
        <w:t>enim</w:t>
      </w:r>
      <w:proofErr w:type="spellEnd"/>
      <w:r w:rsidRPr="00193072">
        <w:rPr>
          <w:lang w:val="en-US"/>
        </w:rPr>
        <w:t xml:space="preserve">, </w:t>
      </w:r>
      <w:proofErr w:type="spellStart"/>
      <w:r w:rsidRPr="00193072">
        <w:rPr>
          <w:lang w:val="en-US"/>
        </w:rPr>
        <w:t>inquit</w:t>
      </w:r>
      <w:proofErr w:type="spellEnd"/>
      <w:r w:rsidRPr="00193072">
        <w:rPr>
          <w:lang w:val="en-US"/>
        </w:rPr>
        <w:t xml:space="preserve">, facies </w:t>
      </w:r>
      <w:proofErr w:type="spellStart"/>
      <w:r w:rsidRPr="00193072">
        <w:rPr>
          <w:lang w:val="en-US"/>
        </w:rPr>
        <w:t>secundum</w:t>
      </w:r>
      <w:proofErr w:type="spellEnd"/>
      <w:r w:rsidRPr="00193072">
        <w:rPr>
          <w:lang w:val="en-US"/>
        </w:rPr>
        <w:t xml:space="preserve"> exemplar quod </w:t>
      </w:r>
      <w:proofErr w:type="spellStart"/>
      <w:r w:rsidRPr="00193072">
        <w:rPr>
          <w:lang w:val="en-US"/>
        </w:rPr>
        <w:t>tibi</w:t>
      </w:r>
      <w:proofErr w:type="spellEnd"/>
      <w:r w:rsidRPr="00193072">
        <w:rPr>
          <w:lang w:val="en-US"/>
        </w:rPr>
        <w:t xml:space="preserve"> </w:t>
      </w:r>
      <w:proofErr w:type="spellStart"/>
      <w:r w:rsidRPr="00193072">
        <w:rPr>
          <w:lang w:val="en-US"/>
        </w:rPr>
        <w:t>monstratum</w:t>
      </w:r>
      <w:proofErr w:type="spellEnd"/>
      <w:r w:rsidRPr="00193072">
        <w:rPr>
          <w:lang w:val="en-US"/>
        </w:rPr>
        <w:t xml:space="preserve"> </w:t>
      </w:r>
      <w:proofErr w:type="spellStart"/>
      <w:r w:rsidRPr="00193072">
        <w:rPr>
          <w:lang w:val="en-US"/>
        </w:rPr>
        <w:t>est</w:t>
      </w:r>
      <w:proofErr w:type="spellEnd"/>
      <w:r w:rsidRPr="00193072">
        <w:rPr>
          <w:lang w:val="en-US"/>
        </w:rPr>
        <w:t xml:space="preserve">: </w:t>
      </w:r>
      <w:proofErr w:type="spellStart"/>
      <w:r w:rsidRPr="00193072">
        <w:rPr>
          <w:lang w:val="en-US"/>
        </w:rPr>
        <w:t>quandoquidem</w:t>
      </w:r>
      <w:proofErr w:type="spellEnd"/>
      <w:r w:rsidRPr="00193072">
        <w:rPr>
          <w:lang w:val="en-US"/>
        </w:rPr>
        <w:t xml:space="preserve"> </w:t>
      </w:r>
      <w:proofErr w:type="spellStart"/>
      <w:r w:rsidRPr="00193072">
        <w:rPr>
          <w:lang w:val="en-US"/>
        </w:rPr>
        <w:t>fieri</w:t>
      </w:r>
      <w:proofErr w:type="spellEnd"/>
      <w:r w:rsidRPr="00193072">
        <w:rPr>
          <w:lang w:val="en-US"/>
        </w:rPr>
        <w:t xml:space="preserve"> non </w:t>
      </w:r>
      <w:proofErr w:type="spellStart"/>
      <w:r w:rsidRPr="00193072">
        <w:rPr>
          <w:lang w:val="en-US"/>
        </w:rPr>
        <w:t>possit</w:t>
      </w:r>
      <w:proofErr w:type="spellEnd"/>
      <w:r w:rsidRPr="00193072">
        <w:rPr>
          <w:lang w:val="en-US"/>
        </w:rPr>
        <w:t xml:space="preserve"> </w:t>
      </w:r>
      <w:proofErr w:type="spellStart"/>
      <w:r w:rsidRPr="00193072">
        <w:rPr>
          <w:lang w:val="en-US"/>
        </w:rPr>
        <w:t>ut</w:t>
      </w:r>
      <w:proofErr w:type="spellEnd"/>
      <w:r w:rsidRPr="00193072">
        <w:rPr>
          <w:lang w:val="en-US"/>
        </w:rPr>
        <w:t xml:space="preserve"> </w:t>
      </w:r>
      <w:proofErr w:type="spellStart"/>
      <w:r w:rsidRPr="00193072">
        <w:rPr>
          <w:lang w:val="en-US"/>
        </w:rPr>
        <w:t>mens</w:t>
      </w:r>
      <w:proofErr w:type="spellEnd"/>
      <w:r w:rsidRPr="00193072">
        <w:rPr>
          <w:lang w:val="en-US"/>
        </w:rPr>
        <w:t xml:space="preserve"> nostra ad </w:t>
      </w:r>
      <w:proofErr w:type="spellStart"/>
      <w:r w:rsidRPr="00193072">
        <w:rPr>
          <w:lang w:val="en-US"/>
        </w:rPr>
        <w:t>immateriatam</w:t>
      </w:r>
      <w:proofErr w:type="spellEnd"/>
      <w:r w:rsidRPr="00193072">
        <w:rPr>
          <w:lang w:val="en-US"/>
        </w:rPr>
        <w:t xml:space="preserve"> </w:t>
      </w:r>
      <w:proofErr w:type="spellStart"/>
      <w:r w:rsidRPr="00193072">
        <w:rPr>
          <w:lang w:val="en-US"/>
        </w:rPr>
        <w:t>istam</w:t>
      </w:r>
      <w:proofErr w:type="spellEnd"/>
      <w:r w:rsidRPr="00193072">
        <w:rPr>
          <w:lang w:val="en-US"/>
        </w:rPr>
        <w:t xml:space="preserve"> </w:t>
      </w:r>
      <w:proofErr w:type="spellStart"/>
      <w:r w:rsidRPr="00193072">
        <w:rPr>
          <w:lang w:val="en-US"/>
        </w:rPr>
        <w:t>constitutionem</w:t>
      </w:r>
      <w:proofErr w:type="spellEnd"/>
      <w:r w:rsidRPr="00193072">
        <w:rPr>
          <w:lang w:val="en-US"/>
        </w:rPr>
        <w:t xml:space="preserve"> immediate </w:t>
      </w:r>
      <w:proofErr w:type="spellStart"/>
      <w:r w:rsidRPr="00193072">
        <w:rPr>
          <w:lang w:val="en-US"/>
        </w:rPr>
        <w:t>subrigatur</w:t>
      </w:r>
      <w:proofErr w:type="spellEnd"/>
      <w:r w:rsidRPr="00193072">
        <w:rPr>
          <w:lang w:val="en-US"/>
        </w:rPr>
        <w:t xml:space="preserve">, nisi </w:t>
      </w:r>
      <w:proofErr w:type="spellStart"/>
      <w:r w:rsidRPr="00193072">
        <w:rPr>
          <w:lang w:val="en-US"/>
        </w:rPr>
        <w:t>formis</w:t>
      </w:r>
      <w:proofErr w:type="spellEnd"/>
      <w:r w:rsidRPr="00193072">
        <w:rPr>
          <w:lang w:val="en-US"/>
        </w:rPr>
        <w:t xml:space="preserve"> </w:t>
      </w:r>
      <w:proofErr w:type="spellStart"/>
      <w:r w:rsidRPr="00193072">
        <w:rPr>
          <w:lang w:val="en-US"/>
        </w:rPr>
        <w:t>quibusdam</w:t>
      </w:r>
      <w:proofErr w:type="spellEnd"/>
      <w:r w:rsidRPr="00193072">
        <w:rPr>
          <w:lang w:val="en-US"/>
        </w:rPr>
        <w:t xml:space="preserve"> ac </w:t>
      </w:r>
      <w:proofErr w:type="spellStart"/>
      <w:r w:rsidRPr="00193072">
        <w:rPr>
          <w:lang w:val="en-US"/>
        </w:rPr>
        <w:t>figuris</w:t>
      </w:r>
      <w:proofErr w:type="spellEnd"/>
      <w:r w:rsidRPr="00193072">
        <w:rPr>
          <w:lang w:val="en-US"/>
        </w:rPr>
        <w:t xml:space="preserve"> quasi </w:t>
      </w:r>
      <w:proofErr w:type="spellStart"/>
      <w:r w:rsidRPr="00193072">
        <w:rPr>
          <w:lang w:val="en-US"/>
        </w:rPr>
        <w:t>manu</w:t>
      </w:r>
      <w:proofErr w:type="spellEnd"/>
      <w:r w:rsidRPr="00193072">
        <w:rPr>
          <w:lang w:val="en-US"/>
        </w:rPr>
        <w:t xml:space="preserve"> </w:t>
      </w:r>
      <w:proofErr w:type="spellStart"/>
      <w:r w:rsidRPr="00193072">
        <w:rPr>
          <w:lang w:val="en-US"/>
        </w:rPr>
        <w:t>ducta</w:t>
      </w:r>
      <w:proofErr w:type="spellEnd"/>
      <w:r w:rsidRPr="00193072">
        <w:rPr>
          <w:lang w:val="en-US"/>
        </w:rPr>
        <w:t xml:space="preserve"> </w:t>
      </w:r>
      <w:proofErr w:type="spellStart"/>
      <w:r w:rsidRPr="00193072">
        <w:rPr>
          <w:lang w:val="en-US"/>
        </w:rPr>
        <w:t>fuerit</w:t>
      </w:r>
      <w:proofErr w:type="spellEnd"/>
      <w:r w:rsidRPr="00193072">
        <w:rPr>
          <w:lang w:val="en-US"/>
        </w:rPr>
        <w:t xml:space="preserve">, et ex his </w:t>
      </w:r>
      <w:proofErr w:type="spellStart"/>
      <w:r w:rsidRPr="00193072">
        <w:rPr>
          <w:lang w:val="en-US"/>
        </w:rPr>
        <w:t>illa</w:t>
      </w:r>
      <w:proofErr w:type="spellEnd"/>
      <w:r w:rsidRPr="00193072">
        <w:rPr>
          <w:lang w:val="en-US"/>
        </w:rPr>
        <w:t xml:space="preserve"> </w:t>
      </w:r>
      <w:proofErr w:type="spellStart"/>
      <w:r w:rsidRPr="00193072">
        <w:rPr>
          <w:lang w:val="en-US"/>
        </w:rPr>
        <w:t>conjecerit</w:t>
      </w:r>
      <w:proofErr w:type="spellEnd"/>
      <w:r w:rsidRPr="00193072">
        <w:rPr>
          <w:lang w:val="en-US"/>
        </w:rPr>
        <w:t xml:space="preserve">. </w:t>
      </w:r>
      <w:proofErr w:type="spellStart"/>
      <w:r w:rsidRPr="00193072">
        <w:rPr>
          <w:lang w:val="en-US"/>
        </w:rPr>
        <w:t>Atque</w:t>
      </w:r>
      <w:proofErr w:type="spellEnd"/>
      <w:r w:rsidRPr="00193072">
        <w:rPr>
          <w:lang w:val="en-US"/>
        </w:rPr>
        <w:t xml:space="preserve"> </w:t>
      </w:r>
      <w:proofErr w:type="spellStart"/>
      <w:r w:rsidRPr="00193072">
        <w:rPr>
          <w:lang w:val="en-US"/>
        </w:rPr>
        <w:t>apparentes</w:t>
      </w:r>
      <w:proofErr w:type="spellEnd"/>
      <w:r w:rsidRPr="00193072">
        <w:rPr>
          <w:lang w:val="en-US"/>
        </w:rPr>
        <w:t xml:space="preserve"> </w:t>
      </w:r>
      <w:proofErr w:type="spellStart"/>
      <w:r w:rsidRPr="00193072">
        <w:rPr>
          <w:lang w:val="en-US"/>
        </w:rPr>
        <w:t>quidem</w:t>
      </w:r>
      <w:proofErr w:type="spellEnd"/>
      <w:r w:rsidRPr="00193072">
        <w:rPr>
          <w:lang w:val="en-US"/>
        </w:rPr>
        <w:t xml:space="preserve"> </w:t>
      </w:r>
      <w:proofErr w:type="spellStart"/>
      <w:r w:rsidRPr="00193072">
        <w:rPr>
          <w:lang w:val="en-US"/>
        </w:rPr>
        <w:t>pulchritudines</w:t>
      </w:r>
      <w:proofErr w:type="spellEnd"/>
      <w:r w:rsidRPr="00193072">
        <w:rPr>
          <w:lang w:val="en-US"/>
        </w:rPr>
        <w:t xml:space="preserve">, temple, </w:t>
      </w:r>
      <w:proofErr w:type="spellStart"/>
      <w:r w:rsidRPr="00193072">
        <w:rPr>
          <w:lang w:val="en-US"/>
        </w:rPr>
        <w:t>dico</w:t>
      </w:r>
      <w:proofErr w:type="spellEnd"/>
      <w:r w:rsidRPr="00193072">
        <w:rPr>
          <w:lang w:val="en-US"/>
        </w:rPr>
        <w:t xml:space="preserve">, </w:t>
      </w:r>
      <w:proofErr w:type="spellStart"/>
      <w:r w:rsidRPr="00193072">
        <w:rPr>
          <w:lang w:val="en-US"/>
        </w:rPr>
        <w:t>venustaem</w:t>
      </w:r>
      <w:proofErr w:type="spellEnd"/>
      <w:r w:rsidRPr="00193072">
        <w:rPr>
          <w:lang w:val="en-US"/>
        </w:rPr>
        <w:t xml:space="preserve"> ac decorum, </w:t>
      </w:r>
      <w:proofErr w:type="spellStart"/>
      <w:r w:rsidRPr="00193072">
        <w:rPr>
          <w:lang w:val="en-US"/>
        </w:rPr>
        <w:t>occultae</w:t>
      </w:r>
      <w:proofErr w:type="spellEnd"/>
      <w:r w:rsidRPr="00193072">
        <w:rPr>
          <w:lang w:val="en-US"/>
        </w:rPr>
        <w:t xml:space="preserve"> </w:t>
      </w:r>
      <w:proofErr w:type="spellStart"/>
      <w:r w:rsidRPr="00193072">
        <w:rPr>
          <w:lang w:val="en-US"/>
        </w:rPr>
        <w:t>illius</w:t>
      </w:r>
      <w:proofErr w:type="spellEnd"/>
      <w:r w:rsidRPr="00193072">
        <w:rPr>
          <w:lang w:val="en-US"/>
        </w:rPr>
        <w:t xml:space="preserve"> </w:t>
      </w:r>
      <w:proofErr w:type="spellStart"/>
      <w:r w:rsidRPr="00193072">
        <w:rPr>
          <w:lang w:val="en-US"/>
        </w:rPr>
        <w:t>venustatis</w:t>
      </w:r>
      <w:proofErr w:type="spellEnd"/>
      <w:r w:rsidRPr="00193072">
        <w:rPr>
          <w:lang w:val="en-US"/>
        </w:rPr>
        <w:t xml:space="preserve"> imagines </w:t>
      </w:r>
      <w:proofErr w:type="spellStart"/>
      <w:r w:rsidRPr="00193072">
        <w:rPr>
          <w:lang w:val="en-US"/>
        </w:rPr>
        <w:t>prae</w:t>
      </w:r>
      <w:proofErr w:type="spellEnd"/>
      <w:r w:rsidRPr="00193072">
        <w:rPr>
          <w:lang w:val="en-US"/>
        </w:rPr>
        <w:t xml:space="preserve"> se </w:t>
      </w:r>
      <w:proofErr w:type="spellStart"/>
      <w:r w:rsidRPr="00193072">
        <w:rPr>
          <w:lang w:val="en-US"/>
        </w:rPr>
        <w:t>ferre</w:t>
      </w:r>
      <w:proofErr w:type="spellEnd"/>
      <w:r w:rsidRPr="00193072">
        <w:rPr>
          <w:lang w:val="en-US"/>
        </w:rPr>
        <w:t xml:space="preserve">.” Pseudo-Dionysius the Areopagite, “Opera Omnia,” in </w:t>
      </w:r>
      <w:proofErr w:type="spellStart"/>
      <w:r w:rsidRPr="00193072">
        <w:rPr>
          <w:i/>
          <w:iCs/>
          <w:lang w:val="en-US"/>
        </w:rPr>
        <w:t>Patrologia</w:t>
      </w:r>
      <w:proofErr w:type="spellEnd"/>
      <w:r w:rsidRPr="00193072">
        <w:rPr>
          <w:i/>
          <w:iCs/>
          <w:lang w:val="en-US"/>
        </w:rPr>
        <w:t xml:space="preserve"> </w:t>
      </w:r>
      <w:proofErr w:type="spellStart"/>
      <w:r w:rsidRPr="00193072">
        <w:rPr>
          <w:i/>
          <w:iCs/>
          <w:lang w:val="en-US"/>
        </w:rPr>
        <w:t>Graeca</w:t>
      </w:r>
      <w:proofErr w:type="spellEnd"/>
      <w:r w:rsidRPr="00193072">
        <w:rPr>
          <w:lang w:val="en-US"/>
        </w:rPr>
        <w:t xml:space="preserve">, ed. J. P. </w:t>
      </w:r>
      <w:proofErr w:type="spellStart"/>
      <w:r w:rsidRPr="00193072">
        <w:rPr>
          <w:lang w:val="en-US"/>
        </w:rPr>
        <w:t>Migne</w:t>
      </w:r>
      <w:proofErr w:type="spellEnd"/>
      <w:r w:rsidRPr="00193072">
        <w:rPr>
          <w:lang w:val="en-US"/>
        </w:rPr>
        <w:t xml:space="preserve">, vol. 3 (Paris: </w:t>
      </w:r>
      <w:proofErr w:type="spellStart"/>
      <w:r w:rsidRPr="00193072">
        <w:rPr>
          <w:lang w:val="en-US"/>
        </w:rPr>
        <w:t>Migne</w:t>
      </w:r>
      <w:proofErr w:type="spellEnd"/>
      <w:r w:rsidRPr="00193072">
        <w:rPr>
          <w:lang w:val="en-US"/>
        </w:rPr>
        <w:t xml:space="preserve">, 1857), 133–34; English translation from Pseudo-Dionysius, </w:t>
      </w:r>
      <w:r w:rsidRPr="00193072">
        <w:rPr>
          <w:i/>
          <w:iCs/>
          <w:lang w:val="en-US"/>
        </w:rPr>
        <w:t>The Complete Works</w:t>
      </w:r>
      <w:r w:rsidRPr="00193072">
        <w:rPr>
          <w:lang w:val="en-US"/>
        </w:rPr>
        <w:t xml:space="preserve">, trans. </w:t>
      </w:r>
      <w:proofErr w:type="spellStart"/>
      <w:r w:rsidRPr="00193072">
        <w:rPr>
          <w:lang w:val="en-US"/>
        </w:rPr>
        <w:t>Colm</w:t>
      </w:r>
      <w:proofErr w:type="spellEnd"/>
      <w:r w:rsidRPr="00193072">
        <w:rPr>
          <w:lang w:val="en-US"/>
        </w:rPr>
        <w:t xml:space="preserve"> </w:t>
      </w:r>
      <w:proofErr w:type="spellStart"/>
      <w:r w:rsidRPr="00193072">
        <w:rPr>
          <w:lang w:val="en-US"/>
        </w:rPr>
        <w:t>Luibhéid</w:t>
      </w:r>
      <w:proofErr w:type="spellEnd"/>
      <w:r w:rsidRPr="00193072">
        <w:rPr>
          <w:lang w:val="en-US"/>
        </w:rPr>
        <w:t xml:space="preserve"> (Mahwah: Paulist Press, 1987), 146.</w:t>
      </w:r>
    </w:p>
  </w:footnote>
  <w:footnote w:id="306">
    <w:p w14:paraId="6A963F6D" w14:textId="77777777" w:rsidR="00182EED" w:rsidRDefault="00182EED" w:rsidP="008A116C">
      <w:pPr>
        <w:pStyle w:val="FootnoteText"/>
      </w:pPr>
      <w:r w:rsidRPr="00073E38">
        <w:rPr>
          <w:rStyle w:val="FootnoteReference"/>
        </w:rPr>
        <w:footnoteRef/>
      </w:r>
      <w:r>
        <w:t xml:space="preserve"> </w:t>
      </w:r>
      <w:r w:rsidRPr="00550D97">
        <w:rPr>
          <w:lang w:val="en-US"/>
        </w:rPr>
        <w:t xml:space="preserve">John of Damascus, “Opera Omnia,” in </w:t>
      </w:r>
      <w:proofErr w:type="spellStart"/>
      <w:r w:rsidRPr="00550D97">
        <w:rPr>
          <w:i/>
          <w:iCs/>
          <w:lang w:val="en-US"/>
        </w:rPr>
        <w:t>Patrologia</w:t>
      </w:r>
      <w:proofErr w:type="spellEnd"/>
      <w:r w:rsidRPr="00550D97">
        <w:rPr>
          <w:i/>
          <w:iCs/>
          <w:lang w:val="en-US"/>
        </w:rPr>
        <w:t xml:space="preserve"> </w:t>
      </w:r>
      <w:proofErr w:type="spellStart"/>
      <w:r w:rsidRPr="00550D97">
        <w:rPr>
          <w:i/>
          <w:iCs/>
          <w:lang w:val="en-US"/>
        </w:rPr>
        <w:t>Graeca</w:t>
      </w:r>
      <w:proofErr w:type="spellEnd"/>
      <w:r w:rsidRPr="00550D97">
        <w:rPr>
          <w:lang w:val="en-US"/>
        </w:rPr>
        <w:t xml:space="preserve">, ed. J. P. </w:t>
      </w:r>
      <w:proofErr w:type="spellStart"/>
      <w:r w:rsidRPr="00550D97">
        <w:rPr>
          <w:lang w:val="en-US"/>
        </w:rPr>
        <w:t>Migne</w:t>
      </w:r>
      <w:proofErr w:type="spellEnd"/>
      <w:r w:rsidRPr="00550D97">
        <w:rPr>
          <w:lang w:val="en-US"/>
        </w:rPr>
        <w:t xml:space="preserve">, vol. 94 (Paris: </w:t>
      </w:r>
      <w:proofErr w:type="spellStart"/>
      <w:r w:rsidRPr="00550D97">
        <w:rPr>
          <w:lang w:val="en-US"/>
        </w:rPr>
        <w:t>Migne</w:t>
      </w:r>
      <w:proofErr w:type="spellEnd"/>
      <w:r w:rsidRPr="00550D97">
        <w:rPr>
          <w:lang w:val="en-US"/>
        </w:rPr>
        <w:t>, 1857), 934–38 (</w:t>
      </w:r>
      <w:proofErr w:type="spellStart"/>
      <w:r w:rsidRPr="00550D97">
        <w:rPr>
          <w:i/>
          <w:iCs/>
          <w:lang w:val="en-US"/>
        </w:rPr>
        <w:t>Expositio</w:t>
      </w:r>
      <w:proofErr w:type="spellEnd"/>
      <w:r w:rsidRPr="00550D97">
        <w:rPr>
          <w:i/>
          <w:iCs/>
          <w:lang w:val="en-US"/>
        </w:rPr>
        <w:t xml:space="preserve"> Fidei</w:t>
      </w:r>
      <w:r w:rsidRPr="00550D97">
        <w:rPr>
          <w:lang w:val="en-US"/>
        </w:rPr>
        <w:t xml:space="preserve">, II.18); see Peers, </w:t>
      </w:r>
      <w:r w:rsidRPr="00550D97">
        <w:rPr>
          <w:i/>
          <w:iCs/>
          <w:lang w:val="en-US"/>
        </w:rPr>
        <w:t>Subtle Bodies</w:t>
      </w:r>
      <w:r w:rsidRPr="00550D97">
        <w:rPr>
          <w:lang w:val="en-US"/>
        </w:rPr>
        <w:t>, 105.</w:t>
      </w:r>
    </w:p>
  </w:footnote>
  <w:footnote w:id="307">
    <w:p w14:paraId="210C3222" w14:textId="77777777" w:rsidR="00182EED" w:rsidRDefault="00182EED" w:rsidP="008A116C">
      <w:pPr>
        <w:pStyle w:val="FootnoteText"/>
      </w:pPr>
      <w:r w:rsidRPr="00073E38">
        <w:rPr>
          <w:rStyle w:val="FootnoteReference"/>
        </w:rPr>
        <w:footnoteRef/>
      </w:r>
      <w:r>
        <w:t xml:space="preserve"> </w:t>
      </w:r>
      <w:r w:rsidRPr="00550D97">
        <w:rPr>
          <w:lang w:val="en-US"/>
        </w:rPr>
        <w:t>Angels are described as circumscribable in John of Damascus, “Opera Omnia” (</w:t>
      </w:r>
      <w:proofErr w:type="spellStart"/>
      <w:r w:rsidRPr="00550D97">
        <w:rPr>
          <w:i/>
          <w:iCs/>
          <w:lang w:val="en-US"/>
        </w:rPr>
        <w:t>Expositio</w:t>
      </w:r>
      <w:proofErr w:type="spellEnd"/>
      <w:r w:rsidRPr="00550D97">
        <w:rPr>
          <w:i/>
          <w:iCs/>
          <w:lang w:val="en-US"/>
        </w:rPr>
        <w:t xml:space="preserve"> Fidei</w:t>
      </w:r>
      <w:r w:rsidRPr="00550D97">
        <w:rPr>
          <w:lang w:val="en-US"/>
        </w:rPr>
        <w:t>, II.3).</w:t>
      </w:r>
    </w:p>
  </w:footnote>
  <w:footnote w:id="308">
    <w:p w14:paraId="6BEC0DA7" w14:textId="77777777" w:rsidR="00182EED" w:rsidRDefault="00182EED" w:rsidP="008A116C">
      <w:pPr>
        <w:pStyle w:val="FootnoteText"/>
      </w:pPr>
      <w:r w:rsidRPr="00073E38">
        <w:rPr>
          <w:rStyle w:val="FootnoteReference"/>
        </w:rPr>
        <w:footnoteRef/>
      </w:r>
      <w:r>
        <w:t xml:space="preserve"> </w:t>
      </w:r>
      <w:r w:rsidRPr="00004ED2">
        <w:rPr>
          <w:lang w:val="en-US"/>
        </w:rPr>
        <w:t>“</w:t>
      </w:r>
      <w:proofErr w:type="spellStart"/>
      <w:r w:rsidRPr="00004ED2">
        <w:rPr>
          <w:lang w:val="en-US"/>
        </w:rPr>
        <w:t>Corporum</w:t>
      </w:r>
      <w:proofErr w:type="spellEnd"/>
      <w:r w:rsidRPr="00004ED2">
        <w:rPr>
          <w:lang w:val="en-US"/>
        </w:rPr>
        <w:t xml:space="preserve"> </w:t>
      </w:r>
      <w:proofErr w:type="spellStart"/>
      <w:r w:rsidRPr="00004ED2">
        <w:rPr>
          <w:lang w:val="en-US"/>
        </w:rPr>
        <w:t>quidem</w:t>
      </w:r>
      <w:proofErr w:type="spellEnd"/>
      <w:r w:rsidRPr="00004ED2">
        <w:rPr>
          <w:lang w:val="en-US"/>
        </w:rPr>
        <w:t xml:space="preserve">, </w:t>
      </w:r>
      <w:proofErr w:type="spellStart"/>
      <w:r w:rsidRPr="00004ED2">
        <w:rPr>
          <w:lang w:val="en-US"/>
        </w:rPr>
        <w:t>ut</w:t>
      </w:r>
      <w:proofErr w:type="spellEnd"/>
      <w:r w:rsidRPr="00004ED2">
        <w:rPr>
          <w:lang w:val="en-US"/>
        </w:rPr>
        <w:t xml:space="preserve"> </w:t>
      </w:r>
      <w:proofErr w:type="spellStart"/>
      <w:r w:rsidRPr="00004ED2">
        <w:rPr>
          <w:lang w:val="en-US"/>
        </w:rPr>
        <w:t>quae</w:t>
      </w:r>
      <w:proofErr w:type="spellEnd"/>
      <w:r w:rsidRPr="00004ED2">
        <w:rPr>
          <w:lang w:val="en-US"/>
        </w:rPr>
        <w:t xml:space="preserve"> </w:t>
      </w:r>
      <w:proofErr w:type="spellStart"/>
      <w:r w:rsidRPr="00004ED2">
        <w:rPr>
          <w:lang w:val="en-US"/>
        </w:rPr>
        <w:t>figuras</w:t>
      </w:r>
      <w:proofErr w:type="spellEnd"/>
      <w:r w:rsidRPr="00004ED2">
        <w:rPr>
          <w:lang w:val="en-US"/>
        </w:rPr>
        <w:t xml:space="preserve">, </w:t>
      </w:r>
      <w:proofErr w:type="spellStart"/>
      <w:r w:rsidRPr="00004ED2">
        <w:rPr>
          <w:lang w:val="en-US"/>
        </w:rPr>
        <w:t>limitesque</w:t>
      </w:r>
      <w:proofErr w:type="spellEnd"/>
      <w:r w:rsidRPr="00004ED2">
        <w:rPr>
          <w:lang w:val="en-US"/>
        </w:rPr>
        <w:t xml:space="preserve"> </w:t>
      </w:r>
      <w:proofErr w:type="spellStart"/>
      <w:r w:rsidRPr="00004ED2">
        <w:rPr>
          <w:lang w:val="en-US"/>
        </w:rPr>
        <w:t>corporeos</w:t>
      </w:r>
      <w:proofErr w:type="spellEnd"/>
      <w:r w:rsidRPr="00004ED2">
        <w:rPr>
          <w:lang w:val="en-US"/>
        </w:rPr>
        <w:t xml:space="preserve">, et </w:t>
      </w:r>
      <w:proofErr w:type="spellStart"/>
      <w:r w:rsidRPr="00004ED2">
        <w:rPr>
          <w:lang w:val="en-US"/>
        </w:rPr>
        <w:t>colorem</w:t>
      </w:r>
      <w:proofErr w:type="spellEnd"/>
      <w:r w:rsidRPr="00004ED2">
        <w:rPr>
          <w:lang w:val="en-US"/>
        </w:rPr>
        <w:t xml:space="preserve"> </w:t>
      </w:r>
      <w:proofErr w:type="spellStart"/>
      <w:r w:rsidRPr="00004ED2">
        <w:rPr>
          <w:lang w:val="en-US"/>
        </w:rPr>
        <w:t>habent</w:t>
      </w:r>
      <w:proofErr w:type="spellEnd"/>
      <w:r w:rsidRPr="00004ED2">
        <w:rPr>
          <w:lang w:val="en-US"/>
        </w:rPr>
        <w:t xml:space="preserve">, imagines </w:t>
      </w:r>
      <w:proofErr w:type="spellStart"/>
      <w:r w:rsidRPr="00004ED2">
        <w:rPr>
          <w:lang w:val="en-US"/>
        </w:rPr>
        <w:t>haud</w:t>
      </w:r>
      <w:proofErr w:type="spellEnd"/>
      <w:r w:rsidRPr="00004ED2">
        <w:rPr>
          <w:lang w:val="en-US"/>
        </w:rPr>
        <w:t xml:space="preserve"> </w:t>
      </w:r>
      <w:proofErr w:type="spellStart"/>
      <w:r w:rsidRPr="00004ED2">
        <w:rPr>
          <w:lang w:val="en-US"/>
        </w:rPr>
        <w:t>incongruenter</w:t>
      </w:r>
      <w:proofErr w:type="spellEnd"/>
      <w:r w:rsidRPr="00004ED2">
        <w:rPr>
          <w:lang w:val="en-US"/>
        </w:rPr>
        <w:t xml:space="preserve"> </w:t>
      </w:r>
      <w:proofErr w:type="spellStart"/>
      <w:r w:rsidRPr="00004ED2">
        <w:rPr>
          <w:lang w:val="en-US"/>
        </w:rPr>
        <w:t>deformnatur</w:t>
      </w:r>
      <w:proofErr w:type="spellEnd"/>
      <w:r w:rsidRPr="00004ED2">
        <w:rPr>
          <w:lang w:val="en-US"/>
        </w:rPr>
        <w:t xml:space="preserve">. Angelus </w:t>
      </w:r>
      <w:proofErr w:type="spellStart"/>
      <w:r w:rsidRPr="00004ED2">
        <w:rPr>
          <w:lang w:val="en-US"/>
        </w:rPr>
        <w:t>vero</w:t>
      </w:r>
      <w:proofErr w:type="spellEnd"/>
      <w:r w:rsidRPr="00004ED2">
        <w:rPr>
          <w:lang w:val="en-US"/>
        </w:rPr>
        <w:t xml:space="preserve">, et anima, et </w:t>
      </w:r>
      <w:proofErr w:type="spellStart"/>
      <w:r w:rsidRPr="00004ED2">
        <w:rPr>
          <w:lang w:val="en-US"/>
        </w:rPr>
        <w:t>daemones</w:t>
      </w:r>
      <w:proofErr w:type="spellEnd"/>
      <w:r w:rsidRPr="00004ED2">
        <w:rPr>
          <w:lang w:val="en-US"/>
        </w:rPr>
        <w:t xml:space="preserve">, licet </w:t>
      </w:r>
      <w:proofErr w:type="spellStart"/>
      <w:r w:rsidRPr="00004ED2">
        <w:rPr>
          <w:lang w:val="en-US"/>
        </w:rPr>
        <w:t>corporeum</w:t>
      </w:r>
      <w:proofErr w:type="spellEnd"/>
      <w:r w:rsidRPr="00004ED2">
        <w:rPr>
          <w:lang w:val="en-US"/>
        </w:rPr>
        <w:t xml:space="preserve"> </w:t>
      </w:r>
      <w:proofErr w:type="spellStart"/>
      <w:r w:rsidRPr="00004ED2">
        <w:rPr>
          <w:lang w:val="en-US"/>
        </w:rPr>
        <w:t>crassumque</w:t>
      </w:r>
      <w:proofErr w:type="spellEnd"/>
      <w:r w:rsidRPr="00004ED2">
        <w:rPr>
          <w:lang w:val="en-US"/>
        </w:rPr>
        <w:t xml:space="preserve"> nihil </w:t>
      </w:r>
      <w:proofErr w:type="spellStart"/>
      <w:r w:rsidRPr="00004ED2">
        <w:rPr>
          <w:lang w:val="en-US"/>
        </w:rPr>
        <w:t>asmittant</w:t>
      </w:r>
      <w:proofErr w:type="spellEnd"/>
      <w:r w:rsidRPr="00004ED2">
        <w:rPr>
          <w:lang w:val="en-US"/>
        </w:rPr>
        <w:t xml:space="preserve">, </w:t>
      </w:r>
      <w:proofErr w:type="spellStart"/>
      <w:r w:rsidRPr="00004ED2">
        <w:rPr>
          <w:lang w:val="en-US"/>
        </w:rPr>
        <w:t>suapte</w:t>
      </w:r>
      <w:proofErr w:type="spellEnd"/>
      <w:r w:rsidRPr="00004ED2">
        <w:rPr>
          <w:lang w:val="en-US"/>
        </w:rPr>
        <w:t xml:space="preserve"> </w:t>
      </w:r>
      <w:proofErr w:type="spellStart"/>
      <w:r w:rsidRPr="00004ED2">
        <w:rPr>
          <w:lang w:val="en-US"/>
        </w:rPr>
        <w:t>tamen</w:t>
      </w:r>
      <w:proofErr w:type="spellEnd"/>
      <w:r w:rsidRPr="00004ED2">
        <w:rPr>
          <w:lang w:val="en-US"/>
        </w:rPr>
        <w:t xml:space="preserve"> </w:t>
      </w:r>
      <w:proofErr w:type="spellStart"/>
      <w:r w:rsidRPr="00004ED2">
        <w:rPr>
          <w:lang w:val="en-US"/>
        </w:rPr>
        <w:t>natura</w:t>
      </w:r>
      <w:proofErr w:type="spellEnd"/>
      <w:r w:rsidRPr="00004ED2">
        <w:rPr>
          <w:lang w:val="en-US"/>
        </w:rPr>
        <w:t xml:space="preserve"> </w:t>
      </w:r>
      <w:proofErr w:type="spellStart"/>
      <w:r w:rsidRPr="00004ED2">
        <w:rPr>
          <w:lang w:val="en-US"/>
        </w:rPr>
        <w:t>figurantur</w:t>
      </w:r>
      <w:proofErr w:type="spellEnd"/>
      <w:r w:rsidRPr="00004ED2">
        <w:rPr>
          <w:lang w:val="en-US"/>
        </w:rPr>
        <w:t xml:space="preserve"> et </w:t>
      </w:r>
      <w:proofErr w:type="spellStart"/>
      <w:r w:rsidRPr="00004ED2">
        <w:rPr>
          <w:lang w:val="en-US"/>
        </w:rPr>
        <w:t>circumscribuntur.Nam</w:t>
      </w:r>
      <w:proofErr w:type="spellEnd"/>
      <w:r w:rsidRPr="00004ED2">
        <w:rPr>
          <w:lang w:val="en-US"/>
        </w:rPr>
        <w:t xml:space="preserve"> </w:t>
      </w:r>
      <w:proofErr w:type="spellStart"/>
      <w:r w:rsidRPr="00004ED2">
        <w:rPr>
          <w:lang w:val="en-US"/>
        </w:rPr>
        <w:t>quia</w:t>
      </w:r>
      <w:proofErr w:type="spellEnd"/>
      <w:r w:rsidRPr="00004ED2">
        <w:rPr>
          <w:lang w:val="en-US"/>
        </w:rPr>
        <w:t xml:space="preserve"> intellectuals sunt, </w:t>
      </w:r>
      <w:proofErr w:type="spellStart"/>
      <w:r w:rsidRPr="00004ED2">
        <w:rPr>
          <w:lang w:val="en-US"/>
        </w:rPr>
        <w:t>intellectuali</w:t>
      </w:r>
      <w:proofErr w:type="spellEnd"/>
      <w:r w:rsidRPr="00004ED2">
        <w:rPr>
          <w:lang w:val="en-US"/>
        </w:rPr>
        <w:t xml:space="preserve"> modo in </w:t>
      </w:r>
      <w:proofErr w:type="spellStart"/>
      <w:r w:rsidRPr="00004ED2">
        <w:rPr>
          <w:lang w:val="en-US"/>
        </w:rPr>
        <w:t>locis</w:t>
      </w:r>
      <w:proofErr w:type="spellEnd"/>
      <w:r w:rsidRPr="00004ED2">
        <w:rPr>
          <w:lang w:val="en-US"/>
        </w:rPr>
        <w:t xml:space="preserve"> </w:t>
      </w:r>
      <w:proofErr w:type="spellStart"/>
      <w:r w:rsidRPr="00004ED2">
        <w:rPr>
          <w:lang w:val="en-US"/>
        </w:rPr>
        <w:t>intelligibilibus</w:t>
      </w:r>
      <w:proofErr w:type="spellEnd"/>
      <w:r w:rsidRPr="00004ED2">
        <w:rPr>
          <w:lang w:val="en-US"/>
        </w:rPr>
        <w:t xml:space="preserve"> </w:t>
      </w:r>
      <w:proofErr w:type="spellStart"/>
      <w:r w:rsidRPr="00004ED2">
        <w:rPr>
          <w:lang w:val="en-US"/>
        </w:rPr>
        <w:t>adesse</w:t>
      </w:r>
      <w:proofErr w:type="spellEnd"/>
      <w:r w:rsidRPr="00004ED2">
        <w:rPr>
          <w:lang w:val="en-US"/>
        </w:rPr>
        <w:t xml:space="preserve"> </w:t>
      </w:r>
      <w:proofErr w:type="spellStart"/>
      <w:r w:rsidRPr="00004ED2">
        <w:rPr>
          <w:lang w:val="en-US"/>
        </w:rPr>
        <w:t>creduntur</w:t>
      </w:r>
      <w:proofErr w:type="spellEnd"/>
      <w:r w:rsidRPr="00004ED2">
        <w:rPr>
          <w:lang w:val="en-US"/>
        </w:rPr>
        <w:t xml:space="preserve"> at </w:t>
      </w:r>
      <w:proofErr w:type="spellStart"/>
      <w:r w:rsidRPr="00004ED2">
        <w:rPr>
          <w:lang w:val="en-US"/>
        </w:rPr>
        <w:t>agere</w:t>
      </w:r>
      <w:proofErr w:type="spellEnd"/>
      <w:r w:rsidRPr="00004ED2">
        <w:rPr>
          <w:lang w:val="en-US"/>
        </w:rPr>
        <w:t>.” Ibid., 1343 (</w:t>
      </w:r>
      <w:proofErr w:type="spellStart"/>
      <w:r w:rsidRPr="00004ED2">
        <w:rPr>
          <w:i/>
          <w:iCs/>
          <w:lang w:val="en-US"/>
        </w:rPr>
        <w:t>Oratio</w:t>
      </w:r>
      <w:proofErr w:type="spellEnd"/>
      <w:r w:rsidRPr="00004ED2">
        <w:rPr>
          <w:i/>
          <w:iCs/>
          <w:lang w:val="en-US"/>
        </w:rPr>
        <w:t xml:space="preserve"> </w:t>
      </w:r>
      <w:proofErr w:type="spellStart"/>
      <w:r w:rsidRPr="00004ED2">
        <w:rPr>
          <w:i/>
          <w:iCs/>
          <w:lang w:val="en-US"/>
        </w:rPr>
        <w:t>adversus</w:t>
      </w:r>
      <w:proofErr w:type="spellEnd"/>
      <w:r w:rsidRPr="00004ED2">
        <w:rPr>
          <w:i/>
          <w:iCs/>
          <w:lang w:val="en-US"/>
        </w:rPr>
        <w:t xml:space="preserve"> </w:t>
      </w:r>
      <w:proofErr w:type="spellStart"/>
      <w:r w:rsidRPr="00004ED2">
        <w:rPr>
          <w:i/>
          <w:iCs/>
          <w:lang w:val="en-US"/>
        </w:rPr>
        <w:t>eos</w:t>
      </w:r>
      <w:proofErr w:type="spellEnd"/>
      <w:r w:rsidRPr="00004ED2">
        <w:rPr>
          <w:i/>
          <w:iCs/>
          <w:lang w:val="en-US"/>
        </w:rPr>
        <w:t xml:space="preserve"> qui </w:t>
      </w:r>
      <w:proofErr w:type="spellStart"/>
      <w:r w:rsidRPr="00004ED2">
        <w:rPr>
          <w:i/>
          <w:iCs/>
          <w:lang w:val="en-US"/>
        </w:rPr>
        <w:t>sacras</w:t>
      </w:r>
      <w:proofErr w:type="spellEnd"/>
      <w:r w:rsidRPr="00004ED2">
        <w:rPr>
          <w:i/>
          <w:iCs/>
          <w:lang w:val="en-US"/>
        </w:rPr>
        <w:t xml:space="preserve"> imagines </w:t>
      </w:r>
      <w:proofErr w:type="spellStart"/>
      <w:r w:rsidRPr="00004ED2">
        <w:rPr>
          <w:i/>
          <w:iCs/>
          <w:lang w:val="en-US"/>
        </w:rPr>
        <w:t>abjiciunt</w:t>
      </w:r>
      <w:proofErr w:type="spellEnd"/>
      <w:r w:rsidRPr="00004ED2">
        <w:rPr>
          <w:lang w:val="en-US"/>
        </w:rPr>
        <w:t xml:space="preserve">, III.24); Quoted in translation in Peers, </w:t>
      </w:r>
      <w:r w:rsidRPr="00004ED2">
        <w:rPr>
          <w:i/>
          <w:iCs/>
          <w:lang w:val="en-US"/>
        </w:rPr>
        <w:t>Subtle Bodies</w:t>
      </w:r>
      <w:r w:rsidRPr="00004ED2">
        <w:rPr>
          <w:lang w:val="en-US"/>
        </w:rPr>
        <w:t>, 107.</w:t>
      </w:r>
    </w:p>
  </w:footnote>
  <w:footnote w:id="309">
    <w:p w14:paraId="59D4AE90" w14:textId="77777777" w:rsidR="00182EED" w:rsidRDefault="00182EED" w:rsidP="008A116C">
      <w:pPr>
        <w:pStyle w:val="FootnoteText"/>
      </w:pPr>
      <w:r w:rsidRPr="00073E38">
        <w:rPr>
          <w:rStyle w:val="FootnoteReference"/>
        </w:rPr>
        <w:footnoteRef/>
      </w:r>
      <w:r>
        <w:t xml:space="preserve"> </w:t>
      </w:r>
      <w:r w:rsidRPr="00550D97">
        <w:rPr>
          <w:lang w:val="en-US"/>
        </w:rPr>
        <w:t>“</w:t>
      </w:r>
      <w:proofErr w:type="spellStart"/>
      <w:r w:rsidRPr="00550D97">
        <w:rPr>
          <w:lang w:val="en-US"/>
        </w:rPr>
        <w:t>Quartum</w:t>
      </w:r>
      <w:proofErr w:type="spellEnd"/>
      <w:r w:rsidRPr="00550D97">
        <w:rPr>
          <w:lang w:val="en-US"/>
        </w:rPr>
        <w:t xml:space="preserve"> </w:t>
      </w:r>
      <w:proofErr w:type="spellStart"/>
      <w:r w:rsidRPr="00550D97">
        <w:rPr>
          <w:lang w:val="en-US"/>
        </w:rPr>
        <w:t>imaginis</w:t>
      </w:r>
      <w:proofErr w:type="spellEnd"/>
      <w:r w:rsidRPr="00550D97">
        <w:rPr>
          <w:lang w:val="en-US"/>
        </w:rPr>
        <w:t xml:space="preserve"> genus </w:t>
      </w:r>
      <w:proofErr w:type="spellStart"/>
      <w:r w:rsidRPr="00550D97">
        <w:rPr>
          <w:lang w:val="en-US"/>
        </w:rPr>
        <w:t>est</w:t>
      </w:r>
      <w:proofErr w:type="spellEnd"/>
      <w:r w:rsidRPr="00550D97">
        <w:rPr>
          <w:lang w:val="en-US"/>
        </w:rPr>
        <w:t xml:space="preserve"> </w:t>
      </w:r>
      <w:proofErr w:type="spellStart"/>
      <w:r w:rsidRPr="00550D97">
        <w:rPr>
          <w:lang w:val="en-US"/>
        </w:rPr>
        <w:t>ipsa</w:t>
      </w:r>
      <w:proofErr w:type="spellEnd"/>
      <w:r w:rsidRPr="00550D97">
        <w:rPr>
          <w:lang w:val="en-US"/>
        </w:rPr>
        <w:t xml:space="preserve"> scriptura, </w:t>
      </w:r>
      <w:proofErr w:type="spellStart"/>
      <w:r w:rsidRPr="00550D97">
        <w:rPr>
          <w:lang w:val="en-US"/>
        </w:rPr>
        <w:t>quae</w:t>
      </w:r>
      <w:proofErr w:type="spellEnd"/>
      <w:r w:rsidRPr="00550D97">
        <w:rPr>
          <w:lang w:val="en-US"/>
        </w:rPr>
        <w:t xml:space="preserve"> </w:t>
      </w:r>
      <w:proofErr w:type="spellStart"/>
      <w:r w:rsidRPr="00550D97">
        <w:rPr>
          <w:lang w:val="en-US"/>
        </w:rPr>
        <w:t>figuras</w:t>
      </w:r>
      <w:proofErr w:type="spellEnd"/>
      <w:r w:rsidRPr="00550D97">
        <w:rPr>
          <w:lang w:val="en-US"/>
        </w:rPr>
        <w:t xml:space="preserve"> et </w:t>
      </w:r>
      <w:proofErr w:type="spellStart"/>
      <w:r w:rsidRPr="00550D97">
        <w:rPr>
          <w:lang w:val="en-US"/>
        </w:rPr>
        <w:t>formas</w:t>
      </w:r>
      <w:proofErr w:type="spellEnd"/>
      <w:r w:rsidRPr="00550D97">
        <w:rPr>
          <w:lang w:val="en-US"/>
        </w:rPr>
        <w:t xml:space="preserve"> et exempla rerum </w:t>
      </w:r>
      <w:proofErr w:type="spellStart"/>
      <w:r w:rsidRPr="00550D97">
        <w:rPr>
          <w:lang w:val="en-US"/>
        </w:rPr>
        <w:t>invisibilium</w:t>
      </w:r>
      <w:proofErr w:type="spellEnd"/>
      <w:r w:rsidRPr="00550D97">
        <w:rPr>
          <w:lang w:val="en-US"/>
        </w:rPr>
        <w:t xml:space="preserve"> et </w:t>
      </w:r>
      <w:proofErr w:type="spellStart"/>
      <w:r w:rsidRPr="00550D97">
        <w:rPr>
          <w:lang w:val="en-US"/>
        </w:rPr>
        <w:t>incorporearum</w:t>
      </w:r>
      <w:proofErr w:type="spellEnd"/>
      <w:r w:rsidRPr="00550D97">
        <w:rPr>
          <w:lang w:val="en-US"/>
        </w:rPr>
        <w:t xml:space="preserve"> </w:t>
      </w:r>
      <w:proofErr w:type="spellStart"/>
      <w:r w:rsidRPr="00550D97">
        <w:rPr>
          <w:lang w:val="en-US"/>
        </w:rPr>
        <w:t>corporeo</w:t>
      </w:r>
      <w:proofErr w:type="spellEnd"/>
      <w:r w:rsidRPr="00550D97">
        <w:rPr>
          <w:lang w:val="en-US"/>
        </w:rPr>
        <w:t xml:space="preserve"> modo </w:t>
      </w:r>
      <w:proofErr w:type="spellStart"/>
      <w:r w:rsidRPr="00550D97">
        <w:rPr>
          <w:lang w:val="en-US"/>
        </w:rPr>
        <w:t>expressarum</w:t>
      </w:r>
      <w:proofErr w:type="spellEnd"/>
      <w:r w:rsidRPr="00550D97">
        <w:rPr>
          <w:lang w:val="en-US"/>
        </w:rPr>
        <w:t xml:space="preserve"> </w:t>
      </w:r>
      <w:proofErr w:type="spellStart"/>
      <w:r w:rsidRPr="00550D97">
        <w:rPr>
          <w:lang w:val="en-US"/>
        </w:rPr>
        <w:t>fingit</w:t>
      </w:r>
      <w:proofErr w:type="spellEnd"/>
      <w:r w:rsidRPr="00550D97">
        <w:rPr>
          <w:lang w:val="en-US"/>
        </w:rPr>
        <w:t xml:space="preserve"> et </w:t>
      </w:r>
      <w:proofErr w:type="spellStart"/>
      <w:r w:rsidRPr="00550D97">
        <w:rPr>
          <w:lang w:val="en-US"/>
        </w:rPr>
        <w:t>efformat</w:t>
      </w:r>
      <w:proofErr w:type="spellEnd"/>
      <w:r w:rsidRPr="00550D97">
        <w:rPr>
          <w:lang w:val="en-US"/>
        </w:rPr>
        <w:t xml:space="preserve">, </w:t>
      </w:r>
      <w:proofErr w:type="spellStart"/>
      <w:r w:rsidRPr="00550D97">
        <w:rPr>
          <w:lang w:val="en-US"/>
        </w:rPr>
        <w:t>ut</w:t>
      </w:r>
      <w:proofErr w:type="spellEnd"/>
      <w:r w:rsidRPr="00550D97">
        <w:rPr>
          <w:lang w:val="en-US"/>
        </w:rPr>
        <w:t xml:space="preserve"> </w:t>
      </w:r>
      <w:proofErr w:type="spellStart"/>
      <w:r w:rsidRPr="00550D97">
        <w:rPr>
          <w:lang w:val="en-US"/>
        </w:rPr>
        <w:t>obscuram</w:t>
      </w:r>
      <w:proofErr w:type="spellEnd"/>
      <w:r w:rsidRPr="00550D97">
        <w:rPr>
          <w:lang w:val="en-US"/>
        </w:rPr>
        <w:t xml:space="preserve"> </w:t>
      </w:r>
      <w:proofErr w:type="spellStart"/>
      <w:r w:rsidRPr="00550D97">
        <w:rPr>
          <w:lang w:val="en-US"/>
        </w:rPr>
        <w:t>saltem</w:t>
      </w:r>
      <w:proofErr w:type="spellEnd"/>
      <w:r w:rsidRPr="00550D97">
        <w:rPr>
          <w:lang w:val="en-US"/>
        </w:rPr>
        <w:t xml:space="preserve"> Dei </w:t>
      </w:r>
      <w:proofErr w:type="spellStart"/>
      <w:r w:rsidRPr="00550D97">
        <w:rPr>
          <w:lang w:val="en-US"/>
        </w:rPr>
        <w:t>angelorumque</w:t>
      </w:r>
      <w:proofErr w:type="spellEnd"/>
      <w:r w:rsidRPr="00550D97">
        <w:rPr>
          <w:lang w:val="en-US"/>
        </w:rPr>
        <w:t xml:space="preserve"> </w:t>
      </w:r>
      <w:proofErr w:type="spellStart"/>
      <w:r w:rsidRPr="00550D97">
        <w:rPr>
          <w:lang w:val="en-US"/>
        </w:rPr>
        <w:t>notitiam</w:t>
      </w:r>
      <w:proofErr w:type="spellEnd"/>
      <w:r w:rsidRPr="00550D97">
        <w:rPr>
          <w:lang w:val="en-US"/>
        </w:rPr>
        <w:t xml:space="preserve"> </w:t>
      </w:r>
      <w:proofErr w:type="spellStart"/>
      <w:r w:rsidRPr="00550D97">
        <w:rPr>
          <w:lang w:val="en-US"/>
        </w:rPr>
        <w:t>percipiamus</w:t>
      </w:r>
      <w:proofErr w:type="spellEnd"/>
      <w:r w:rsidRPr="00550D97">
        <w:rPr>
          <w:lang w:val="en-US"/>
        </w:rPr>
        <w:t xml:space="preserve">: </w:t>
      </w:r>
      <w:proofErr w:type="spellStart"/>
      <w:r w:rsidRPr="00550D97">
        <w:rPr>
          <w:lang w:val="en-US"/>
        </w:rPr>
        <w:t>eo</w:t>
      </w:r>
      <w:proofErr w:type="spellEnd"/>
      <w:r w:rsidRPr="00550D97">
        <w:rPr>
          <w:lang w:val="en-US"/>
        </w:rPr>
        <w:t xml:space="preserve"> quod sine </w:t>
      </w:r>
      <w:proofErr w:type="spellStart"/>
      <w:r w:rsidRPr="00550D97">
        <w:rPr>
          <w:lang w:val="en-US"/>
        </w:rPr>
        <w:t>speciebus</w:t>
      </w:r>
      <w:proofErr w:type="spellEnd"/>
      <w:r w:rsidRPr="00550D97">
        <w:rPr>
          <w:lang w:val="en-US"/>
        </w:rPr>
        <w:t xml:space="preserve"> </w:t>
      </w:r>
      <w:proofErr w:type="spellStart"/>
      <w:r w:rsidRPr="00550D97">
        <w:rPr>
          <w:lang w:val="en-US"/>
        </w:rPr>
        <w:t>conditioni</w:t>
      </w:r>
      <w:proofErr w:type="spellEnd"/>
      <w:r w:rsidRPr="00550D97">
        <w:rPr>
          <w:lang w:val="en-US"/>
        </w:rPr>
        <w:t xml:space="preserve"> </w:t>
      </w:r>
      <w:proofErr w:type="spellStart"/>
      <w:r w:rsidRPr="00550D97">
        <w:rPr>
          <w:lang w:val="en-US"/>
        </w:rPr>
        <w:t>nostrae</w:t>
      </w:r>
      <w:proofErr w:type="spellEnd"/>
      <w:r w:rsidRPr="00550D97">
        <w:rPr>
          <w:lang w:val="en-US"/>
        </w:rPr>
        <w:t xml:space="preserve"> </w:t>
      </w:r>
      <w:proofErr w:type="spellStart"/>
      <w:r w:rsidRPr="00550D97">
        <w:rPr>
          <w:lang w:val="en-US"/>
        </w:rPr>
        <w:t>congruentibus</w:t>
      </w:r>
      <w:proofErr w:type="spellEnd"/>
      <w:r w:rsidRPr="00550D97">
        <w:rPr>
          <w:lang w:val="en-US"/>
        </w:rPr>
        <w:t xml:space="preserve"> res </w:t>
      </w:r>
      <w:proofErr w:type="spellStart"/>
      <w:r w:rsidRPr="00550D97">
        <w:rPr>
          <w:lang w:val="en-US"/>
        </w:rPr>
        <w:t>corporeas</w:t>
      </w:r>
      <w:proofErr w:type="spellEnd"/>
      <w:r w:rsidRPr="00550D97">
        <w:rPr>
          <w:lang w:val="en-US"/>
        </w:rPr>
        <w:t xml:space="preserve"> </w:t>
      </w:r>
      <w:proofErr w:type="spellStart"/>
      <w:r w:rsidRPr="00550D97">
        <w:rPr>
          <w:lang w:val="en-US"/>
        </w:rPr>
        <w:t>intueri</w:t>
      </w:r>
      <w:proofErr w:type="spellEnd"/>
      <w:r w:rsidRPr="00550D97">
        <w:rPr>
          <w:lang w:val="en-US"/>
        </w:rPr>
        <w:t xml:space="preserve"> </w:t>
      </w:r>
      <w:proofErr w:type="spellStart"/>
      <w:r w:rsidRPr="00550D97">
        <w:rPr>
          <w:lang w:val="en-US"/>
        </w:rPr>
        <w:t>neutiquam</w:t>
      </w:r>
      <w:proofErr w:type="spellEnd"/>
      <w:r w:rsidRPr="00550D97">
        <w:rPr>
          <w:lang w:val="en-US"/>
        </w:rPr>
        <w:t xml:space="preserve"> </w:t>
      </w:r>
      <w:proofErr w:type="spellStart"/>
      <w:r w:rsidRPr="00550D97">
        <w:rPr>
          <w:lang w:val="en-US"/>
        </w:rPr>
        <w:t>possimus</w:t>
      </w:r>
      <w:proofErr w:type="spellEnd"/>
      <w:r w:rsidRPr="00550D97">
        <w:rPr>
          <w:lang w:val="en-US"/>
        </w:rPr>
        <w:t xml:space="preserve">; </w:t>
      </w:r>
      <w:proofErr w:type="spellStart"/>
      <w:r w:rsidRPr="00550D97">
        <w:rPr>
          <w:lang w:val="en-US"/>
        </w:rPr>
        <w:t>quemadmodum</w:t>
      </w:r>
      <w:proofErr w:type="spellEnd"/>
      <w:r w:rsidRPr="00550D97">
        <w:rPr>
          <w:lang w:val="en-US"/>
        </w:rPr>
        <w:t xml:space="preserve"> Dionysius </w:t>
      </w:r>
      <w:proofErr w:type="spellStart"/>
      <w:r w:rsidRPr="00550D97">
        <w:rPr>
          <w:lang w:val="en-US"/>
        </w:rPr>
        <w:t>Areopagita</w:t>
      </w:r>
      <w:proofErr w:type="spellEnd"/>
      <w:r w:rsidRPr="00550D97">
        <w:rPr>
          <w:lang w:val="en-US"/>
        </w:rPr>
        <w:t xml:space="preserve"> </w:t>
      </w:r>
      <w:proofErr w:type="spellStart"/>
      <w:r w:rsidRPr="00550D97">
        <w:rPr>
          <w:lang w:val="en-US"/>
        </w:rPr>
        <w:t>divinarum</w:t>
      </w:r>
      <w:proofErr w:type="spellEnd"/>
      <w:r w:rsidRPr="00550D97">
        <w:rPr>
          <w:lang w:val="en-US"/>
        </w:rPr>
        <w:t xml:space="preserve"> rerum </w:t>
      </w:r>
      <w:proofErr w:type="spellStart"/>
      <w:r w:rsidRPr="00550D97">
        <w:rPr>
          <w:lang w:val="en-US"/>
        </w:rPr>
        <w:t>peritissimus</w:t>
      </w:r>
      <w:proofErr w:type="spellEnd"/>
      <w:r w:rsidRPr="00550D97">
        <w:rPr>
          <w:lang w:val="en-US"/>
        </w:rPr>
        <w:t xml:space="preserve"> </w:t>
      </w:r>
      <w:proofErr w:type="spellStart"/>
      <w:r w:rsidRPr="00550D97">
        <w:rPr>
          <w:lang w:val="en-US"/>
        </w:rPr>
        <w:t>docet</w:t>
      </w:r>
      <w:proofErr w:type="spellEnd"/>
      <w:r w:rsidRPr="00550D97">
        <w:rPr>
          <w:lang w:val="en-US"/>
        </w:rPr>
        <w:t>.” John of Damascus, “Opera Omnia,” 1342 (</w:t>
      </w:r>
      <w:proofErr w:type="spellStart"/>
      <w:r w:rsidRPr="00550D97">
        <w:rPr>
          <w:i/>
          <w:iCs/>
          <w:lang w:val="en-US"/>
        </w:rPr>
        <w:t>Oratio</w:t>
      </w:r>
      <w:proofErr w:type="spellEnd"/>
      <w:r w:rsidRPr="00550D97">
        <w:rPr>
          <w:i/>
          <w:iCs/>
          <w:lang w:val="en-US"/>
        </w:rPr>
        <w:t xml:space="preserve"> </w:t>
      </w:r>
      <w:proofErr w:type="spellStart"/>
      <w:r w:rsidRPr="00550D97">
        <w:rPr>
          <w:i/>
          <w:iCs/>
          <w:lang w:val="en-US"/>
        </w:rPr>
        <w:t>adversus</w:t>
      </w:r>
      <w:proofErr w:type="spellEnd"/>
      <w:r w:rsidRPr="00550D97">
        <w:rPr>
          <w:i/>
          <w:iCs/>
          <w:lang w:val="en-US"/>
        </w:rPr>
        <w:t xml:space="preserve"> </w:t>
      </w:r>
      <w:proofErr w:type="spellStart"/>
      <w:r w:rsidRPr="00550D97">
        <w:rPr>
          <w:i/>
          <w:iCs/>
          <w:lang w:val="en-US"/>
        </w:rPr>
        <w:t>eos</w:t>
      </w:r>
      <w:proofErr w:type="spellEnd"/>
      <w:r w:rsidRPr="00550D97">
        <w:rPr>
          <w:i/>
          <w:iCs/>
          <w:lang w:val="en-US"/>
        </w:rPr>
        <w:t xml:space="preserve"> qui </w:t>
      </w:r>
      <w:proofErr w:type="spellStart"/>
      <w:r w:rsidRPr="00550D97">
        <w:rPr>
          <w:i/>
          <w:iCs/>
          <w:lang w:val="en-US"/>
        </w:rPr>
        <w:t>sacras</w:t>
      </w:r>
      <w:proofErr w:type="spellEnd"/>
      <w:r w:rsidRPr="00550D97">
        <w:rPr>
          <w:i/>
          <w:iCs/>
          <w:lang w:val="en-US"/>
        </w:rPr>
        <w:t xml:space="preserve"> imagines </w:t>
      </w:r>
      <w:proofErr w:type="spellStart"/>
      <w:r w:rsidRPr="00550D97">
        <w:rPr>
          <w:i/>
          <w:iCs/>
          <w:lang w:val="en-US"/>
        </w:rPr>
        <w:t>abjiciunt</w:t>
      </w:r>
      <w:proofErr w:type="spellEnd"/>
      <w:r w:rsidRPr="00550D97">
        <w:rPr>
          <w:lang w:val="en-US"/>
        </w:rPr>
        <w:t xml:space="preserve">, III.21); Quoted in translation in Peers, </w:t>
      </w:r>
      <w:r w:rsidRPr="00550D97">
        <w:rPr>
          <w:i/>
          <w:iCs/>
          <w:lang w:val="en-US"/>
        </w:rPr>
        <w:t>Subtle Bodies</w:t>
      </w:r>
      <w:r w:rsidRPr="00550D97">
        <w:rPr>
          <w:lang w:val="en-US"/>
        </w:rPr>
        <w:t>, 115.</w:t>
      </w:r>
    </w:p>
  </w:footnote>
  <w:footnote w:id="310">
    <w:p w14:paraId="4F399D8F" w14:textId="77777777" w:rsidR="00182EED" w:rsidRDefault="00182EED" w:rsidP="008A116C">
      <w:pPr>
        <w:pStyle w:val="FootnoteText"/>
      </w:pPr>
      <w:r w:rsidRPr="00073E38">
        <w:rPr>
          <w:rStyle w:val="FootnoteReference"/>
        </w:rPr>
        <w:footnoteRef/>
      </w:r>
      <w:r>
        <w:t xml:space="preserve"> </w:t>
      </w:r>
      <w:r w:rsidRPr="00550D97">
        <w:rPr>
          <w:lang w:val="en-US"/>
        </w:rPr>
        <w:t xml:space="preserve">“Cum </w:t>
      </w:r>
      <w:proofErr w:type="spellStart"/>
      <w:r w:rsidRPr="00550D97">
        <w:rPr>
          <w:lang w:val="en-US"/>
        </w:rPr>
        <w:t>itaque</w:t>
      </w:r>
      <w:proofErr w:type="spellEnd"/>
      <w:r w:rsidRPr="00550D97">
        <w:rPr>
          <w:lang w:val="en-US"/>
        </w:rPr>
        <w:t xml:space="preserve"> Deus </w:t>
      </w:r>
      <w:proofErr w:type="spellStart"/>
      <w:r w:rsidRPr="00550D97">
        <w:rPr>
          <w:lang w:val="en-US"/>
        </w:rPr>
        <w:t>ea</w:t>
      </w:r>
      <w:proofErr w:type="spellEnd"/>
      <w:r w:rsidRPr="00550D97">
        <w:rPr>
          <w:lang w:val="en-US"/>
        </w:rPr>
        <w:t xml:space="preserve"> </w:t>
      </w:r>
      <w:proofErr w:type="spellStart"/>
      <w:r w:rsidRPr="00550D97">
        <w:rPr>
          <w:lang w:val="en-US"/>
        </w:rPr>
        <w:t>nos</w:t>
      </w:r>
      <w:proofErr w:type="spellEnd"/>
      <w:r w:rsidRPr="00550D97">
        <w:rPr>
          <w:lang w:val="en-US"/>
        </w:rPr>
        <w:t xml:space="preserve"> </w:t>
      </w:r>
      <w:proofErr w:type="spellStart"/>
      <w:r w:rsidRPr="00550D97">
        <w:rPr>
          <w:lang w:val="en-US"/>
        </w:rPr>
        <w:t>ignorare</w:t>
      </w:r>
      <w:proofErr w:type="spellEnd"/>
      <w:r w:rsidRPr="00550D97">
        <w:rPr>
          <w:lang w:val="en-US"/>
        </w:rPr>
        <w:t xml:space="preserve"> </w:t>
      </w:r>
      <w:proofErr w:type="spellStart"/>
      <w:r w:rsidRPr="00550D97">
        <w:rPr>
          <w:lang w:val="en-US"/>
        </w:rPr>
        <w:t>noluerit</w:t>
      </w:r>
      <w:proofErr w:type="spellEnd"/>
      <w:r w:rsidRPr="00550D97">
        <w:rPr>
          <w:lang w:val="en-US"/>
        </w:rPr>
        <w:t xml:space="preserve">, </w:t>
      </w:r>
      <w:proofErr w:type="spellStart"/>
      <w:r w:rsidRPr="00550D97">
        <w:rPr>
          <w:lang w:val="en-US"/>
        </w:rPr>
        <w:t>quae</w:t>
      </w:r>
      <w:proofErr w:type="spellEnd"/>
      <w:r w:rsidRPr="00550D97">
        <w:rPr>
          <w:lang w:val="en-US"/>
        </w:rPr>
        <w:t xml:space="preserve"> </w:t>
      </w:r>
      <w:proofErr w:type="spellStart"/>
      <w:r w:rsidRPr="00550D97">
        <w:rPr>
          <w:lang w:val="en-US"/>
        </w:rPr>
        <w:t>corporea</w:t>
      </w:r>
      <w:proofErr w:type="spellEnd"/>
      <w:r w:rsidRPr="00550D97">
        <w:rPr>
          <w:lang w:val="en-US"/>
        </w:rPr>
        <w:t xml:space="preserve"> non sunt, </w:t>
      </w:r>
      <w:proofErr w:type="spellStart"/>
      <w:r w:rsidRPr="00550D97">
        <w:rPr>
          <w:lang w:val="en-US"/>
        </w:rPr>
        <w:t>naturae</w:t>
      </w:r>
      <w:proofErr w:type="spellEnd"/>
      <w:r w:rsidRPr="00550D97">
        <w:rPr>
          <w:lang w:val="en-US"/>
        </w:rPr>
        <w:t xml:space="preserve"> </w:t>
      </w:r>
      <w:proofErr w:type="spellStart"/>
      <w:r w:rsidRPr="00550D97">
        <w:rPr>
          <w:lang w:val="en-US"/>
        </w:rPr>
        <w:t>habita</w:t>
      </w:r>
      <w:proofErr w:type="spellEnd"/>
      <w:r w:rsidRPr="00550D97">
        <w:rPr>
          <w:lang w:val="en-US"/>
        </w:rPr>
        <w:t xml:space="preserve"> </w:t>
      </w:r>
      <w:proofErr w:type="spellStart"/>
      <w:r w:rsidRPr="00550D97">
        <w:rPr>
          <w:lang w:val="en-US"/>
        </w:rPr>
        <w:t>ratione</w:t>
      </w:r>
      <w:proofErr w:type="spellEnd"/>
      <w:r w:rsidRPr="00550D97">
        <w:rPr>
          <w:lang w:val="en-US"/>
        </w:rPr>
        <w:t xml:space="preserve"> </w:t>
      </w:r>
      <w:proofErr w:type="spellStart"/>
      <w:r w:rsidRPr="00550D97">
        <w:rPr>
          <w:lang w:val="en-US"/>
        </w:rPr>
        <w:t>eadem</w:t>
      </w:r>
      <w:proofErr w:type="spellEnd"/>
      <w:r w:rsidRPr="00550D97">
        <w:rPr>
          <w:lang w:val="en-US"/>
        </w:rPr>
        <w:t xml:space="preserve"> </w:t>
      </w:r>
      <w:proofErr w:type="spellStart"/>
      <w:r w:rsidRPr="00550D97">
        <w:rPr>
          <w:lang w:val="en-US"/>
        </w:rPr>
        <w:t>formis</w:t>
      </w:r>
      <w:proofErr w:type="spellEnd"/>
      <w:r w:rsidRPr="00550D97">
        <w:rPr>
          <w:lang w:val="en-US"/>
        </w:rPr>
        <w:t xml:space="preserve">, et </w:t>
      </w:r>
      <w:proofErr w:type="spellStart"/>
      <w:r w:rsidRPr="00550D97">
        <w:rPr>
          <w:lang w:val="en-US"/>
        </w:rPr>
        <w:t>figuris</w:t>
      </w:r>
      <w:proofErr w:type="spellEnd"/>
      <w:r w:rsidRPr="00550D97">
        <w:rPr>
          <w:lang w:val="en-US"/>
        </w:rPr>
        <w:t xml:space="preserve">, </w:t>
      </w:r>
      <w:proofErr w:type="spellStart"/>
      <w:r w:rsidRPr="00550D97">
        <w:rPr>
          <w:lang w:val="en-US"/>
        </w:rPr>
        <w:t>necnon</w:t>
      </w:r>
      <w:proofErr w:type="spellEnd"/>
      <w:r w:rsidRPr="00550D97">
        <w:rPr>
          <w:lang w:val="en-US"/>
        </w:rPr>
        <w:t xml:space="preserve"> </w:t>
      </w:r>
      <w:proofErr w:type="spellStart"/>
      <w:r w:rsidRPr="00550D97">
        <w:rPr>
          <w:lang w:val="en-US"/>
        </w:rPr>
        <w:t>imaginibus</w:t>
      </w:r>
      <w:proofErr w:type="spellEnd"/>
      <w:r w:rsidRPr="00550D97">
        <w:rPr>
          <w:lang w:val="en-US"/>
        </w:rPr>
        <w:t xml:space="preserve"> </w:t>
      </w:r>
      <w:proofErr w:type="spellStart"/>
      <w:r w:rsidRPr="00550D97">
        <w:rPr>
          <w:lang w:val="en-US"/>
        </w:rPr>
        <w:t>circumvestivit</w:t>
      </w:r>
      <w:proofErr w:type="spellEnd"/>
      <w:r w:rsidRPr="00550D97">
        <w:rPr>
          <w:lang w:val="en-US"/>
        </w:rPr>
        <w:t xml:space="preserve">; </w:t>
      </w:r>
      <w:proofErr w:type="spellStart"/>
      <w:r w:rsidRPr="00550D97">
        <w:rPr>
          <w:lang w:val="en-US"/>
        </w:rPr>
        <w:t>figuris</w:t>
      </w:r>
      <w:proofErr w:type="spellEnd"/>
      <w:r w:rsidRPr="00550D97">
        <w:rPr>
          <w:lang w:val="en-US"/>
        </w:rPr>
        <w:t xml:space="preserve">, </w:t>
      </w:r>
      <w:proofErr w:type="spellStart"/>
      <w:r w:rsidRPr="00550D97">
        <w:rPr>
          <w:lang w:val="en-US"/>
        </w:rPr>
        <w:t>inquam</w:t>
      </w:r>
      <w:proofErr w:type="spellEnd"/>
      <w:r w:rsidRPr="00550D97">
        <w:rPr>
          <w:lang w:val="en-US"/>
        </w:rPr>
        <w:t xml:space="preserve">, </w:t>
      </w:r>
      <w:proofErr w:type="spellStart"/>
      <w:r w:rsidRPr="00550D97">
        <w:rPr>
          <w:lang w:val="en-US"/>
        </w:rPr>
        <w:t>corporeis</w:t>
      </w:r>
      <w:proofErr w:type="spellEnd"/>
      <w:r w:rsidRPr="00550D97">
        <w:rPr>
          <w:lang w:val="en-US"/>
        </w:rPr>
        <w:t xml:space="preserve">, </w:t>
      </w:r>
      <w:proofErr w:type="spellStart"/>
      <w:r w:rsidRPr="00550D97">
        <w:rPr>
          <w:lang w:val="en-US"/>
        </w:rPr>
        <w:t>quibus</w:t>
      </w:r>
      <w:proofErr w:type="spellEnd"/>
      <w:r w:rsidRPr="00550D97">
        <w:rPr>
          <w:lang w:val="en-US"/>
        </w:rPr>
        <w:t xml:space="preserve"> </w:t>
      </w:r>
      <w:proofErr w:type="spellStart"/>
      <w:r w:rsidRPr="00550D97">
        <w:rPr>
          <w:lang w:val="en-US"/>
        </w:rPr>
        <w:t>ea</w:t>
      </w:r>
      <w:proofErr w:type="spellEnd"/>
      <w:r w:rsidRPr="00550D97">
        <w:rPr>
          <w:lang w:val="en-US"/>
        </w:rPr>
        <w:t xml:space="preserve"> </w:t>
      </w:r>
      <w:proofErr w:type="spellStart"/>
      <w:r w:rsidRPr="00550D97">
        <w:rPr>
          <w:lang w:val="en-US"/>
        </w:rPr>
        <w:t>oculo</w:t>
      </w:r>
      <w:proofErr w:type="spellEnd"/>
      <w:r w:rsidRPr="00550D97">
        <w:rPr>
          <w:lang w:val="en-US"/>
        </w:rPr>
        <w:t xml:space="preserve"> mentis a </w:t>
      </w:r>
      <w:proofErr w:type="spellStart"/>
      <w:r w:rsidRPr="00550D97">
        <w:rPr>
          <w:lang w:val="en-US"/>
        </w:rPr>
        <w:t>materia</w:t>
      </w:r>
      <w:proofErr w:type="spellEnd"/>
      <w:r w:rsidRPr="00550D97">
        <w:rPr>
          <w:lang w:val="en-US"/>
        </w:rPr>
        <w:t xml:space="preserve"> </w:t>
      </w:r>
      <w:proofErr w:type="spellStart"/>
      <w:r w:rsidRPr="00550D97">
        <w:rPr>
          <w:lang w:val="en-US"/>
        </w:rPr>
        <w:t>remoto</w:t>
      </w:r>
      <w:proofErr w:type="spellEnd"/>
      <w:r w:rsidRPr="00550D97">
        <w:rPr>
          <w:lang w:val="en-US"/>
        </w:rPr>
        <w:t xml:space="preserve"> </w:t>
      </w:r>
      <w:proofErr w:type="spellStart"/>
      <w:r w:rsidRPr="00550D97">
        <w:rPr>
          <w:lang w:val="en-US"/>
        </w:rPr>
        <w:t>considerantur</w:t>
      </w:r>
      <w:proofErr w:type="spellEnd"/>
      <w:r w:rsidRPr="00550D97">
        <w:rPr>
          <w:lang w:val="en-US"/>
        </w:rPr>
        <w:t xml:space="preserve">. </w:t>
      </w:r>
      <w:proofErr w:type="spellStart"/>
      <w:r w:rsidRPr="00550D97">
        <w:rPr>
          <w:lang w:val="en-US"/>
        </w:rPr>
        <w:t>Haec</w:t>
      </w:r>
      <w:proofErr w:type="spellEnd"/>
      <w:r w:rsidRPr="00550D97">
        <w:rPr>
          <w:lang w:val="en-US"/>
        </w:rPr>
        <w:t xml:space="preserve"> </w:t>
      </w:r>
      <w:proofErr w:type="spellStart"/>
      <w:r w:rsidRPr="00550D97">
        <w:rPr>
          <w:lang w:val="en-US"/>
        </w:rPr>
        <w:t>porro</w:t>
      </w:r>
      <w:proofErr w:type="spellEnd"/>
      <w:r w:rsidRPr="00550D97">
        <w:rPr>
          <w:lang w:val="en-US"/>
        </w:rPr>
        <w:t xml:space="preserve"> sunt </w:t>
      </w:r>
      <w:proofErr w:type="spellStart"/>
      <w:r w:rsidRPr="00550D97">
        <w:rPr>
          <w:lang w:val="en-US"/>
        </w:rPr>
        <w:t>quae</w:t>
      </w:r>
      <w:proofErr w:type="spellEnd"/>
      <w:r w:rsidRPr="00550D97">
        <w:rPr>
          <w:lang w:val="en-US"/>
        </w:rPr>
        <w:t xml:space="preserve"> </w:t>
      </w:r>
      <w:proofErr w:type="spellStart"/>
      <w:r w:rsidRPr="00550D97">
        <w:rPr>
          <w:lang w:val="en-US"/>
        </w:rPr>
        <w:t>figuris</w:t>
      </w:r>
      <w:proofErr w:type="spellEnd"/>
      <w:r w:rsidRPr="00550D97">
        <w:rPr>
          <w:lang w:val="en-US"/>
        </w:rPr>
        <w:t xml:space="preserve"> et </w:t>
      </w:r>
      <w:proofErr w:type="spellStart"/>
      <w:r w:rsidRPr="00550D97">
        <w:rPr>
          <w:lang w:val="en-US"/>
        </w:rPr>
        <w:t>imaginibus</w:t>
      </w:r>
      <w:proofErr w:type="spellEnd"/>
      <w:r w:rsidRPr="00550D97">
        <w:rPr>
          <w:lang w:val="en-US"/>
        </w:rPr>
        <w:t xml:space="preserve"> </w:t>
      </w:r>
      <w:proofErr w:type="spellStart"/>
      <w:r w:rsidRPr="00550D97">
        <w:rPr>
          <w:lang w:val="en-US"/>
        </w:rPr>
        <w:t>adumbramus</w:t>
      </w:r>
      <w:proofErr w:type="spellEnd"/>
      <w:r w:rsidRPr="00550D97">
        <w:rPr>
          <w:lang w:val="en-US"/>
        </w:rPr>
        <w:t xml:space="preserve">. Quomodo </w:t>
      </w:r>
      <w:proofErr w:type="spellStart"/>
      <w:r w:rsidRPr="00550D97">
        <w:rPr>
          <w:lang w:val="en-US"/>
        </w:rPr>
        <w:t>enim</w:t>
      </w:r>
      <w:proofErr w:type="spellEnd"/>
      <w:r w:rsidRPr="00550D97">
        <w:rPr>
          <w:lang w:val="en-US"/>
        </w:rPr>
        <w:t xml:space="preserve"> Cherubim </w:t>
      </w:r>
      <w:proofErr w:type="spellStart"/>
      <w:r w:rsidRPr="00550D97">
        <w:rPr>
          <w:lang w:val="en-US"/>
        </w:rPr>
        <w:t>effingi</w:t>
      </w:r>
      <w:proofErr w:type="spellEnd"/>
      <w:r w:rsidRPr="00550D97">
        <w:rPr>
          <w:lang w:val="en-US"/>
        </w:rPr>
        <w:t xml:space="preserve"> </w:t>
      </w:r>
      <w:proofErr w:type="spellStart"/>
      <w:r w:rsidRPr="00550D97">
        <w:rPr>
          <w:lang w:val="en-US"/>
        </w:rPr>
        <w:t>imaginibus</w:t>
      </w:r>
      <w:proofErr w:type="spellEnd"/>
      <w:r w:rsidRPr="00550D97">
        <w:rPr>
          <w:lang w:val="en-US"/>
        </w:rPr>
        <w:t xml:space="preserve"> et </w:t>
      </w:r>
      <w:proofErr w:type="spellStart"/>
      <w:r w:rsidRPr="00550D97">
        <w:rPr>
          <w:lang w:val="en-US"/>
        </w:rPr>
        <w:t>exprimi</w:t>
      </w:r>
      <w:proofErr w:type="spellEnd"/>
      <w:r w:rsidRPr="00550D97">
        <w:rPr>
          <w:lang w:val="en-US"/>
        </w:rPr>
        <w:t xml:space="preserve"> </w:t>
      </w:r>
      <w:proofErr w:type="spellStart"/>
      <w:r w:rsidRPr="00550D97">
        <w:rPr>
          <w:lang w:val="en-US"/>
        </w:rPr>
        <w:t>unquam</w:t>
      </w:r>
      <w:proofErr w:type="spellEnd"/>
      <w:r w:rsidRPr="00550D97">
        <w:rPr>
          <w:lang w:val="en-US"/>
        </w:rPr>
        <w:t xml:space="preserve"> </w:t>
      </w:r>
      <w:proofErr w:type="spellStart"/>
      <w:r w:rsidRPr="00550D97">
        <w:rPr>
          <w:lang w:val="en-US"/>
        </w:rPr>
        <w:t>potuissent</w:t>
      </w:r>
      <w:proofErr w:type="spellEnd"/>
      <w:r w:rsidRPr="00550D97">
        <w:rPr>
          <w:lang w:val="en-US"/>
        </w:rPr>
        <w:t>?” John of Damascus, “Opera Omnia,” 1346 (</w:t>
      </w:r>
      <w:proofErr w:type="spellStart"/>
      <w:r w:rsidRPr="00550D97">
        <w:rPr>
          <w:i/>
          <w:iCs/>
          <w:lang w:val="en-US"/>
        </w:rPr>
        <w:t>Oratio</w:t>
      </w:r>
      <w:proofErr w:type="spellEnd"/>
      <w:r w:rsidRPr="00550D97">
        <w:rPr>
          <w:i/>
          <w:iCs/>
          <w:lang w:val="en-US"/>
        </w:rPr>
        <w:t xml:space="preserve"> </w:t>
      </w:r>
      <w:proofErr w:type="spellStart"/>
      <w:r w:rsidRPr="00550D97">
        <w:rPr>
          <w:i/>
          <w:iCs/>
          <w:lang w:val="en-US"/>
        </w:rPr>
        <w:t>adversus</w:t>
      </w:r>
      <w:proofErr w:type="spellEnd"/>
      <w:r w:rsidRPr="00550D97">
        <w:rPr>
          <w:i/>
          <w:iCs/>
          <w:lang w:val="en-US"/>
        </w:rPr>
        <w:t xml:space="preserve"> </w:t>
      </w:r>
      <w:proofErr w:type="spellStart"/>
      <w:r w:rsidRPr="00550D97">
        <w:rPr>
          <w:i/>
          <w:iCs/>
          <w:lang w:val="en-US"/>
        </w:rPr>
        <w:t>eos</w:t>
      </w:r>
      <w:proofErr w:type="spellEnd"/>
      <w:r w:rsidRPr="00550D97">
        <w:rPr>
          <w:i/>
          <w:iCs/>
          <w:lang w:val="en-US"/>
        </w:rPr>
        <w:t xml:space="preserve"> qui </w:t>
      </w:r>
      <w:proofErr w:type="spellStart"/>
      <w:r w:rsidRPr="00550D97">
        <w:rPr>
          <w:i/>
          <w:iCs/>
          <w:lang w:val="en-US"/>
        </w:rPr>
        <w:t>sacras</w:t>
      </w:r>
      <w:proofErr w:type="spellEnd"/>
      <w:r w:rsidRPr="00550D97">
        <w:rPr>
          <w:i/>
          <w:iCs/>
          <w:lang w:val="en-US"/>
        </w:rPr>
        <w:t xml:space="preserve"> imagines </w:t>
      </w:r>
      <w:proofErr w:type="spellStart"/>
      <w:r w:rsidRPr="00550D97">
        <w:rPr>
          <w:i/>
          <w:iCs/>
          <w:lang w:val="en-US"/>
        </w:rPr>
        <w:t>abjiciunt</w:t>
      </w:r>
      <w:proofErr w:type="spellEnd"/>
      <w:r w:rsidRPr="00550D97">
        <w:rPr>
          <w:lang w:val="en-US"/>
        </w:rPr>
        <w:t xml:space="preserve">, III.25); Quoted in translation in Peers, </w:t>
      </w:r>
      <w:r w:rsidRPr="00550D97">
        <w:rPr>
          <w:i/>
          <w:iCs/>
          <w:lang w:val="en-US"/>
        </w:rPr>
        <w:t>Subtle Bodies</w:t>
      </w:r>
      <w:r w:rsidRPr="00550D97">
        <w:rPr>
          <w:lang w:val="en-US"/>
        </w:rPr>
        <w:t>, 114, where it is incorrectly referenced as III.24.</w:t>
      </w:r>
    </w:p>
  </w:footnote>
  <w:footnote w:id="311">
    <w:p w14:paraId="705E4938" w14:textId="77777777" w:rsidR="00182EED" w:rsidRDefault="00182EED" w:rsidP="008A116C">
      <w:pPr>
        <w:pStyle w:val="FootnoteText"/>
      </w:pPr>
      <w:r w:rsidRPr="00073E38">
        <w:rPr>
          <w:rStyle w:val="FootnoteReference"/>
        </w:rPr>
        <w:footnoteRef/>
      </w:r>
      <w:r>
        <w:t xml:space="preserve"> </w:t>
      </w:r>
      <w:proofErr w:type="spellStart"/>
      <w:r w:rsidRPr="00A567BF">
        <w:rPr>
          <w:lang w:val="en-US"/>
        </w:rPr>
        <w:t>Bussagli</w:t>
      </w:r>
      <w:proofErr w:type="spellEnd"/>
      <w:r w:rsidRPr="00A567BF">
        <w:rPr>
          <w:lang w:val="en-US"/>
        </w:rPr>
        <w:t xml:space="preserve">, </w:t>
      </w:r>
      <w:r w:rsidRPr="00A567BF">
        <w:rPr>
          <w:i/>
          <w:iCs/>
          <w:lang w:val="en-US"/>
        </w:rPr>
        <w:t xml:space="preserve">Storia </w:t>
      </w:r>
      <w:proofErr w:type="spellStart"/>
      <w:r w:rsidRPr="00A567BF">
        <w:rPr>
          <w:i/>
          <w:iCs/>
          <w:lang w:val="en-US"/>
        </w:rPr>
        <w:t>degli</w:t>
      </w:r>
      <w:proofErr w:type="spellEnd"/>
      <w:r w:rsidRPr="00A567BF">
        <w:rPr>
          <w:i/>
          <w:iCs/>
          <w:lang w:val="en-US"/>
        </w:rPr>
        <w:t xml:space="preserve"> </w:t>
      </w:r>
      <w:proofErr w:type="spellStart"/>
      <w:r w:rsidRPr="00A567BF">
        <w:rPr>
          <w:i/>
          <w:iCs/>
          <w:lang w:val="en-US"/>
        </w:rPr>
        <w:t>angeli</w:t>
      </w:r>
      <w:proofErr w:type="spellEnd"/>
      <w:r w:rsidRPr="00A567BF">
        <w:rPr>
          <w:lang w:val="en-US"/>
        </w:rPr>
        <w:t>, 93.</w:t>
      </w:r>
    </w:p>
  </w:footnote>
  <w:footnote w:id="312">
    <w:p w14:paraId="6C2BD41D" w14:textId="77777777" w:rsidR="00182EED" w:rsidRDefault="00182EED" w:rsidP="008A116C">
      <w:pPr>
        <w:pStyle w:val="FootnoteText"/>
      </w:pPr>
      <w:r w:rsidRPr="00073E38">
        <w:rPr>
          <w:rStyle w:val="FootnoteReference"/>
        </w:rPr>
        <w:footnoteRef/>
      </w:r>
      <w:r>
        <w:t xml:space="preserve"> </w:t>
      </w:r>
      <w:r w:rsidRPr="00A567BF">
        <w:rPr>
          <w:lang w:val="en-US"/>
        </w:rPr>
        <w:t xml:space="preserve">For more information on Iconoclasm and the Nicaean council see Peers, </w:t>
      </w:r>
      <w:r w:rsidRPr="00A567BF">
        <w:rPr>
          <w:i/>
          <w:iCs/>
          <w:lang w:val="en-US"/>
        </w:rPr>
        <w:t>Subtle Bodies</w:t>
      </w:r>
      <w:r w:rsidRPr="00A567BF">
        <w:rPr>
          <w:lang w:val="en-US"/>
        </w:rPr>
        <w:t xml:space="preserve">, 13–14; On medieval angelology see Keck, </w:t>
      </w:r>
      <w:r w:rsidRPr="00A567BF">
        <w:rPr>
          <w:i/>
          <w:iCs/>
          <w:lang w:val="en-US"/>
        </w:rPr>
        <w:t>Angels and Angelology in the Middle Ages</w:t>
      </w:r>
      <w:r w:rsidRPr="00A567BF">
        <w:rPr>
          <w:lang w:val="en-US"/>
        </w:rPr>
        <w:t>.</w:t>
      </w:r>
    </w:p>
  </w:footnote>
  <w:footnote w:id="313">
    <w:p w14:paraId="68755697" w14:textId="77777777" w:rsidR="00182EED" w:rsidRDefault="00182EED" w:rsidP="008A116C">
      <w:pPr>
        <w:pStyle w:val="FootnoteText"/>
      </w:pPr>
      <w:r w:rsidRPr="00073E38">
        <w:rPr>
          <w:rStyle w:val="FootnoteReference"/>
        </w:rPr>
        <w:footnoteRef/>
      </w:r>
      <w:r>
        <w:t xml:space="preserve"> </w:t>
      </w:r>
      <w:r w:rsidRPr="00A567BF">
        <w:rPr>
          <w:lang w:val="en-US"/>
        </w:rPr>
        <w:t xml:space="preserve">“Quod </w:t>
      </w:r>
      <w:proofErr w:type="spellStart"/>
      <w:r w:rsidRPr="00A567BF">
        <w:rPr>
          <w:lang w:val="en-US"/>
        </w:rPr>
        <w:t>autem</w:t>
      </w:r>
      <w:proofErr w:type="spellEnd"/>
      <w:r w:rsidRPr="00A567BF">
        <w:rPr>
          <w:lang w:val="en-US"/>
        </w:rPr>
        <w:t xml:space="preserve"> venti </w:t>
      </w:r>
      <w:proofErr w:type="spellStart"/>
      <w:r w:rsidRPr="00A567BF">
        <w:rPr>
          <w:lang w:val="en-US"/>
        </w:rPr>
        <w:t>nominentur</w:t>
      </w:r>
      <w:proofErr w:type="spellEnd"/>
      <w:r w:rsidRPr="00A567BF">
        <w:rPr>
          <w:lang w:val="en-US"/>
        </w:rPr>
        <w:t xml:space="preserve">, hoc </w:t>
      </w:r>
      <w:proofErr w:type="spellStart"/>
      <w:r w:rsidRPr="00A567BF">
        <w:rPr>
          <w:lang w:val="en-US"/>
        </w:rPr>
        <w:t>eorum</w:t>
      </w:r>
      <w:proofErr w:type="spellEnd"/>
      <w:r w:rsidRPr="00A567BF">
        <w:rPr>
          <w:lang w:val="en-US"/>
        </w:rPr>
        <w:t xml:space="preserve"> </w:t>
      </w:r>
      <w:proofErr w:type="spellStart"/>
      <w:r w:rsidRPr="00A567BF">
        <w:rPr>
          <w:lang w:val="en-US"/>
        </w:rPr>
        <w:t>celerem</w:t>
      </w:r>
      <w:proofErr w:type="spellEnd"/>
      <w:r w:rsidRPr="00A567BF">
        <w:rPr>
          <w:lang w:val="en-US"/>
        </w:rPr>
        <w:t xml:space="preserve"> </w:t>
      </w:r>
      <w:proofErr w:type="spellStart"/>
      <w:r w:rsidRPr="00A567BF">
        <w:rPr>
          <w:lang w:val="en-US"/>
        </w:rPr>
        <w:t>conficiendi</w:t>
      </w:r>
      <w:proofErr w:type="spellEnd"/>
      <w:r w:rsidRPr="00A567BF">
        <w:rPr>
          <w:lang w:val="en-US"/>
        </w:rPr>
        <w:t xml:space="preserve"> </w:t>
      </w:r>
      <w:proofErr w:type="spellStart"/>
      <w:r w:rsidRPr="00A567BF">
        <w:rPr>
          <w:lang w:val="en-US"/>
        </w:rPr>
        <w:t>rationem</w:t>
      </w:r>
      <w:proofErr w:type="spellEnd"/>
      <w:r w:rsidRPr="00A567BF">
        <w:rPr>
          <w:lang w:val="en-US"/>
        </w:rPr>
        <w:t xml:space="preserve"> </w:t>
      </w:r>
      <w:proofErr w:type="spellStart"/>
      <w:r w:rsidRPr="00A567BF">
        <w:rPr>
          <w:lang w:val="en-US"/>
        </w:rPr>
        <w:t>indicat</w:t>
      </w:r>
      <w:proofErr w:type="spellEnd"/>
      <w:r w:rsidRPr="00A567BF">
        <w:rPr>
          <w:lang w:val="en-US"/>
        </w:rPr>
        <w:t xml:space="preserve">, ad omnia </w:t>
      </w:r>
      <w:proofErr w:type="spellStart"/>
      <w:r w:rsidRPr="00A567BF">
        <w:rPr>
          <w:lang w:val="en-US"/>
        </w:rPr>
        <w:t>ferme</w:t>
      </w:r>
      <w:proofErr w:type="spellEnd"/>
      <w:r w:rsidRPr="00A567BF">
        <w:rPr>
          <w:lang w:val="en-US"/>
        </w:rPr>
        <w:t xml:space="preserve"> </w:t>
      </w:r>
      <w:proofErr w:type="spellStart"/>
      <w:r w:rsidRPr="00A567BF">
        <w:rPr>
          <w:lang w:val="en-US"/>
        </w:rPr>
        <w:t>absque</w:t>
      </w:r>
      <w:proofErr w:type="spellEnd"/>
      <w:r w:rsidRPr="00A567BF">
        <w:rPr>
          <w:lang w:val="en-US"/>
        </w:rPr>
        <w:t xml:space="preserve"> mora </w:t>
      </w:r>
      <w:proofErr w:type="spellStart"/>
      <w:r w:rsidRPr="00A567BF">
        <w:rPr>
          <w:lang w:val="en-US"/>
        </w:rPr>
        <w:t>penetrantem</w:t>
      </w:r>
      <w:proofErr w:type="spellEnd"/>
      <w:r w:rsidRPr="00A567BF">
        <w:rPr>
          <w:lang w:val="en-US"/>
        </w:rPr>
        <w:t xml:space="preserve"> … </w:t>
      </w:r>
      <w:proofErr w:type="spellStart"/>
      <w:r w:rsidRPr="00A567BF">
        <w:rPr>
          <w:lang w:val="en-US"/>
        </w:rPr>
        <w:t>Possit</w:t>
      </w:r>
      <w:proofErr w:type="spellEnd"/>
      <w:r w:rsidRPr="00A567BF">
        <w:rPr>
          <w:lang w:val="en-US"/>
        </w:rPr>
        <w:t xml:space="preserve"> </w:t>
      </w:r>
      <w:proofErr w:type="spellStart"/>
      <w:r w:rsidRPr="00A567BF">
        <w:rPr>
          <w:lang w:val="en-US"/>
        </w:rPr>
        <w:t>etiam</w:t>
      </w:r>
      <w:proofErr w:type="spellEnd"/>
      <w:r w:rsidRPr="00A567BF">
        <w:rPr>
          <w:lang w:val="en-US"/>
        </w:rPr>
        <w:t xml:space="preserve"> </w:t>
      </w:r>
      <w:proofErr w:type="spellStart"/>
      <w:r w:rsidRPr="00A567BF">
        <w:rPr>
          <w:lang w:val="en-US"/>
        </w:rPr>
        <w:t>quis</w:t>
      </w:r>
      <w:proofErr w:type="spellEnd"/>
      <w:r w:rsidRPr="00A567BF">
        <w:rPr>
          <w:lang w:val="en-US"/>
        </w:rPr>
        <w:t xml:space="preserve"> </w:t>
      </w:r>
      <w:proofErr w:type="spellStart"/>
      <w:r w:rsidRPr="00A567BF">
        <w:rPr>
          <w:lang w:val="en-US"/>
        </w:rPr>
        <w:t>dicere</w:t>
      </w:r>
      <w:proofErr w:type="spellEnd"/>
      <w:r w:rsidRPr="00A567BF">
        <w:rPr>
          <w:lang w:val="en-US"/>
        </w:rPr>
        <w:t xml:space="preserve"> </w:t>
      </w:r>
      <w:proofErr w:type="spellStart"/>
      <w:r w:rsidRPr="00A567BF">
        <w:rPr>
          <w:lang w:val="en-US"/>
        </w:rPr>
        <w:t>ventosum</w:t>
      </w:r>
      <w:proofErr w:type="spellEnd"/>
      <w:r w:rsidRPr="00A567BF">
        <w:rPr>
          <w:lang w:val="en-US"/>
        </w:rPr>
        <w:t xml:space="preserve"> </w:t>
      </w:r>
      <w:proofErr w:type="spellStart"/>
      <w:r w:rsidRPr="00A567BF">
        <w:rPr>
          <w:lang w:val="en-US"/>
        </w:rPr>
        <w:t>illud</w:t>
      </w:r>
      <w:proofErr w:type="spellEnd"/>
      <w:r w:rsidRPr="00A567BF">
        <w:rPr>
          <w:lang w:val="en-US"/>
        </w:rPr>
        <w:t xml:space="preserve"> </w:t>
      </w:r>
      <w:proofErr w:type="spellStart"/>
      <w:r w:rsidRPr="00A567BF">
        <w:rPr>
          <w:lang w:val="en-US"/>
        </w:rPr>
        <w:t>nomen</w:t>
      </w:r>
      <w:proofErr w:type="spellEnd"/>
      <w:r w:rsidRPr="00A567BF">
        <w:rPr>
          <w:lang w:val="en-US"/>
        </w:rPr>
        <w:t xml:space="preserve"> spiritus </w:t>
      </w:r>
      <w:proofErr w:type="spellStart"/>
      <w:r w:rsidRPr="00A567BF">
        <w:rPr>
          <w:lang w:val="en-US"/>
        </w:rPr>
        <w:t>aerei</w:t>
      </w:r>
      <w:proofErr w:type="spellEnd"/>
      <w:r w:rsidRPr="00A567BF">
        <w:rPr>
          <w:lang w:val="en-US"/>
        </w:rPr>
        <w:t xml:space="preserve"> </w:t>
      </w:r>
      <w:proofErr w:type="spellStart"/>
      <w:r w:rsidRPr="00A567BF">
        <w:rPr>
          <w:lang w:val="en-US"/>
        </w:rPr>
        <w:t>coelestium</w:t>
      </w:r>
      <w:proofErr w:type="spellEnd"/>
      <w:r w:rsidRPr="00A567BF">
        <w:rPr>
          <w:lang w:val="en-US"/>
        </w:rPr>
        <w:t xml:space="preserve"> </w:t>
      </w:r>
      <w:proofErr w:type="spellStart"/>
      <w:r w:rsidRPr="00A567BF">
        <w:rPr>
          <w:lang w:val="en-US"/>
        </w:rPr>
        <w:t>intelligentiarum</w:t>
      </w:r>
      <w:proofErr w:type="spellEnd"/>
      <w:r w:rsidRPr="00A567BF">
        <w:rPr>
          <w:lang w:val="en-US"/>
        </w:rPr>
        <w:t xml:space="preserve"> </w:t>
      </w:r>
      <w:proofErr w:type="spellStart"/>
      <w:r w:rsidRPr="00A567BF">
        <w:rPr>
          <w:lang w:val="en-US"/>
        </w:rPr>
        <w:t>deiformitatem</w:t>
      </w:r>
      <w:proofErr w:type="spellEnd"/>
      <w:r w:rsidRPr="00A567BF">
        <w:rPr>
          <w:lang w:val="en-US"/>
        </w:rPr>
        <w:t xml:space="preserve"> </w:t>
      </w:r>
      <w:proofErr w:type="spellStart"/>
      <w:r w:rsidRPr="00A567BF">
        <w:rPr>
          <w:lang w:val="en-US"/>
        </w:rPr>
        <w:t>designare</w:t>
      </w:r>
      <w:proofErr w:type="spellEnd"/>
      <w:r w:rsidRPr="00A567BF">
        <w:rPr>
          <w:lang w:val="en-US"/>
        </w:rPr>
        <w:t xml:space="preserve">: </w:t>
      </w:r>
      <w:proofErr w:type="spellStart"/>
      <w:r w:rsidRPr="00A567BF">
        <w:rPr>
          <w:lang w:val="en-US"/>
        </w:rPr>
        <w:t>siquidem</w:t>
      </w:r>
      <w:proofErr w:type="spellEnd"/>
      <w:r w:rsidRPr="00A567BF">
        <w:rPr>
          <w:lang w:val="en-US"/>
        </w:rPr>
        <w:t xml:space="preserve"> et </w:t>
      </w:r>
      <w:proofErr w:type="spellStart"/>
      <w:r w:rsidRPr="00A567BF">
        <w:rPr>
          <w:lang w:val="en-US"/>
        </w:rPr>
        <w:t>illi</w:t>
      </w:r>
      <w:proofErr w:type="spellEnd"/>
      <w:r w:rsidRPr="00A567BF">
        <w:rPr>
          <w:lang w:val="en-US"/>
        </w:rPr>
        <w:t xml:space="preserve"> </w:t>
      </w:r>
      <w:proofErr w:type="spellStart"/>
      <w:r w:rsidRPr="00A567BF">
        <w:rPr>
          <w:lang w:val="en-US"/>
        </w:rPr>
        <w:t>divinae</w:t>
      </w:r>
      <w:proofErr w:type="spellEnd"/>
      <w:r w:rsidRPr="00A567BF">
        <w:rPr>
          <w:lang w:val="en-US"/>
        </w:rPr>
        <w:t xml:space="preserve"> </w:t>
      </w:r>
      <w:proofErr w:type="spellStart"/>
      <w:r w:rsidRPr="00A567BF">
        <w:rPr>
          <w:lang w:val="en-US"/>
        </w:rPr>
        <w:t>efficacitatis</w:t>
      </w:r>
      <w:proofErr w:type="spellEnd"/>
      <w:r w:rsidRPr="00A567BF">
        <w:rPr>
          <w:lang w:val="en-US"/>
        </w:rPr>
        <w:t xml:space="preserve"> imago </w:t>
      </w:r>
      <w:proofErr w:type="spellStart"/>
      <w:r w:rsidRPr="00A567BF">
        <w:rPr>
          <w:lang w:val="en-US"/>
        </w:rPr>
        <w:t>quaedam</w:t>
      </w:r>
      <w:proofErr w:type="spellEnd"/>
      <w:r w:rsidRPr="00A567BF">
        <w:rPr>
          <w:lang w:val="en-US"/>
        </w:rPr>
        <w:t xml:space="preserve"> </w:t>
      </w:r>
      <w:proofErr w:type="spellStart"/>
      <w:r w:rsidRPr="00A567BF">
        <w:rPr>
          <w:lang w:val="en-US"/>
        </w:rPr>
        <w:t>inest</w:t>
      </w:r>
      <w:proofErr w:type="spellEnd"/>
      <w:r w:rsidRPr="00A567BF">
        <w:rPr>
          <w:lang w:val="en-US"/>
        </w:rPr>
        <w:t xml:space="preserve"> ac </w:t>
      </w:r>
      <w:proofErr w:type="spellStart"/>
      <w:r w:rsidRPr="00A567BF">
        <w:rPr>
          <w:lang w:val="en-US"/>
        </w:rPr>
        <w:t>figura</w:t>
      </w:r>
      <w:proofErr w:type="spellEnd"/>
      <w:r w:rsidRPr="00A567BF">
        <w:rPr>
          <w:lang w:val="en-US"/>
        </w:rPr>
        <w:t xml:space="preserve"> … </w:t>
      </w:r>
      <w:proofErr w:type="spellStart"/>
      <w:r w:rsidRPr="00A567BF">
        <w:rPr>
          <w:lang w:val="en-US"/>
        </w:rPr>
        <w:t>nempe</w:t>
      </w:r>
      <w:proofErr w:type="spellEnd"/>
      <w:r w:rsidRPr="00A567BF">
        <w:rPr>
          <w:lang w:val="en-US"/>
        </w:rPr>
        <w:t xml:space="preserve"> </w:t>
      </w:r>
      <w:proofErr w:type="spellStart"/>
      <w:r w:rsidRPr="00A567BF">
        <w:rPr>
          <w:lang w:val="en-US"/>
        </w:rPr>
        <w:t>ob</w:t>
      </w:r>
      <w:proofErr w:type="spellEnd"/>
      <w:r w:rsidRPr="00A567BF">
        <w:rPr>
          <w:lang w:val="en-US"/>
        </w:rPr>
        <w:t xml:space="preserve"> </w:t>
      </w:r>
      <w:proofErr w:type="spellStart"/>
      <w:r w:rsidRPr="00A567BF">
        <w:rPr>
          <w:lang w:val="en-US"/>
        </w:rPr>
        <w:t>vivificam</w:t>
      </w:r>
      <w:proofErr w:type="spellEnd"/>
      <w:r w:rsidRPr="00A567BF">
        <w:rPr>
          <w:lang w:val="en-US"/>
        </w:rPr>
        <w:t xml:space="preserve"> </w:t>
      </w:r>
      <w:proofErr w:type="spellStart"/>
      <w:r w:rsidRPr="00A567BF">
        <w:rPr>
          <w:lang w:val="en-US"/>
        </w:rPr>
        <w:t>mobilitatem</w:t>
      </w:r>
      <w:proofErr w:type="spellEnd"/>
      <w:r w:rsidRPr="00A567BF">
        <w:rPr>
          <w:lang w:val="en-US"/>
        </w:rPr>
        <w:t xml:space="preserve"> </w:t>
      </w:r>
      <w:proofErr w:type="spellStart"/>
      <w:r w:rsidRPr="00A567BF">
        <w:rPr>
          <w:lang w:val="en-US"/>
        </w:rPr>
        <w:t>velocemque</w:t>
      </w:r>
      <w:proofErr w:type="spellEnd"/>
      <w:r w:rsidRPr="00A567BF">
        <w:rPr>
          <w:lang w:val="en-US"/>
        </w:rPr>
        <w:t xml:space="preserve"> et </w:t>
      </w:r>
      <w:proofErr w:type="spellStart"/>
      <w:r w:rsidRPr="00A567BF">
        <w:rPr>
          <w:lang w:val="en-US"/>
        </w:rPr>
        <w:t>insuperabilem</w:t>
      </w:r>
      <w:proofErr w:type="spellEnd"/>
      <w:r w:rsidRPr="00A567BF">
        <w:rPr>
          <w:lang w:val="en-US"/>
        </w:rPr>
        <w:t xml:space="preserve"> </w:t>
      </w:r>
      <w:proofErr w:type="spellStart"/>
      <w:r w:rsidRPr="00A567BF">
        <w:rPr>
          <w:lang w:val="en-US"/>
        </w:rPr>
        <w:t>meatum</w:t>
      </w:r>
      <w:proofErr w:type="spellEnd"/>
      <w:r w:rsidRPr="00A567BF">
        <w:rPr>
          <w:lang w:val="en-US"/>
        </w:rPr>
        <w:t xml:space="preserve">, </w:t>
      </w:r>
      <w:proofErr w:type="spellStart"/>
      <w:r w:rsidRPr="00A567BF">
        <w:rPr>
          <w:lang w:val="en-US"/>
        </w:rPr>
        <w:t>nec</w:t>
      </w:r>
      <w:proofErr w:type="spellEnd"/>
      <w:r w:rsidRPr="00A567BF">
        <w:rPr>
          <w:lang w:val="en-US"/>
        </w:rPr>
        <w:t xml:space="preserve"> non </w:t>
      </w:r>
      <w:proofErr w:type="spellStart"/>
      <w:r w:rsidRPr="00A567BF">
        <w:rPr>
          <w:lang w:val="en-US"/>
        </w:rPr>
        <w:t>inaspectabile</w:t>
      </w:r>
      <w:proofErr w:type="spellEnd"/>
      <w:r w:rsidRPr="00A567BF">
        <w:rPr>
          <w:lang w:val="en-US"/>
        </w:rPr>
        <w:t xml:space="preserve"> </w:t>
      </w:r>
      <w:proofErr w:type="spellStart"/>
      <w:r w:rsidRPr="00A567BF">
        <w:rPr>
          <w:lang w:val="en-US"/>
        </w:rPr>
        <w:t>latibulum</w:t>
      </w:r>
      <w:proofErr w:type="spellEnd"/>
      <w:r w:rsidRPr="00A567BF">
        <w:rPr>
          <w:lang w:val="en-US"/>
        </w:rPr>
        <w:t xml:space="preserve"> </w:t>
      </w:r>
      <w:proofErr w:type="spellStart"/>
      <w:r w:rsidRPr="00A567BF">
        <w:rPr>
          <w:lang w:val="en-US"/>
        </w:rPr>
        <w:t>moventium</w:t>
      </w:r>
      <w:proofErr w:type="spellEnd"/>
      <w:r w:rsidRPr="00A567BF">
        <w:rPr>
          <w:lang w:val="en-US"/>
        </w:rPr>
        <w:t xml:space="preserve"> </w:t>
      </w:r>
      <w:proofErr w:type="spellStart"/>
      <w:r w:rsidRPr="00A567BF">
        <w:rPr>
          <w:lang w:val="en-US"/>
        </w:rPr>
        <w:t>principorum</w:t>
      </w:r>
      <w:proofErr w:type="spellEnd"/>
      <w:r w:rsidRPr="00A567BF">
        <w:rPr>
          <w:lang w:val="en-US"/>
        </w:rPr>
        <w:t xml:space="preserve"> ac </w:t>
      </w:r>
      <w:proofErr w:type="spellStart"/>
      <w:r w:rsidRPr="00A567BF">
        <w:rPr>
          <w:lang w:val="en-US"/>
        </w:rPr>
        <w:t>terminationum</w:t>
      </w:r>
      <w:proofErr w:type="spellEnd"/>
      <w:r w:rsidRPr="00A567BF">
        <w:rPr>
          <w:lang w:val="en-US"/>
        </w:rPr>
        <w:t>.” Pseudo-Dionysius the Areopagite, “Opera Omnia,” 333–36 (</w:t>
      </w:r>
      <w:r w:rsidRPr="00A567BF">
        <w:rPr>
          <w:i/>
          <w:iCs/>
          <w:lang w:val="en-US"/>
        </w:rPr>
        <w:t xml:space="preserve">De </w:t>
      </w:r>
      <w:proofErr w:type="spellStart"/>
      <w:r w:rsidRPr="00A567BF">
        <w:rPr>
          <w:i/>
          <w:iCs/>
          <w:lang w:val="en-US"/>
        </w:rPr>
        <w:t>coelesti</w:t>
      </w:r>
      <w:proofErr w:type="spellEnd"/>
      <w:r w:rsidRPr="00A567BF">
        <w:rPr>
          <w:i/>
          <w:iCs/>
          <w:lang w:val="en-US"/>
        </w:rPr>
        <w:t xml:space="preserve"> </w:t>
      </w:r>
      <w:proofErr w:type="spellStart"/>
      <w:r w:rsidRPr="00A567BF">
        <w:rPr>
          <w:i/>
          <w:iCs/>
          <w:lang w:val="en-US"/>
        </w:rPr>
        <w:t>hierarchia</w:t>
      </w:r>
      <w:proofErr w:type="spellEnd"/>
      <w:r w:rsidRPr="00A567BF">
        <w:rPr>
          <w:lang w:val="en-US"/>
        </w:rPr>
        <w:t xml:space="preserve"> 15.6); English translation from Pseudo-Dionysius, </w:t>
      </w:r>
      <w:r w:rsidRPr="00A567BF">
        <w:rPr>
          <w:i/>
          <w:iCs/>
          <w:lang w:val="en-US"/>
        </w:rPr>
        <w:t>The Complete Works</w:t>
      </w:r>
      <w:r w:rsidRPr="00A567BF">
        <w:rPr>
          <w:lang w:val="en-US"/>
        </w:rPr>
        <w:t xml:space="preserve">, 187; see also </w:t>
      </w:r>
      <w:proofErr w:type="spellStart"/>
      <w:r w:rsidRPr="00A567BF">
        <w:rPr>
          <w:lang w:val="en-US"/>
        </w:rPr>
        <w:t>Bussagli</w:t>
      </w:r>
      <w:proofErr w:type="spellEnd"/>
      <w:r w:rsidRPr="00A567BF">
        <w:rPr>
          <w:lang w:val="en-US"/>
        </w:rPr>
        <w:t xml:space="preserve">, </w:t>
      </w:r>
      <w:r w:rsidRPr="00A567BF">
        <w:rPr>
          <w:i/>
          <w:iCs/>
          <w:lang w:val="en-US"/>
        </w:rPr>
        <w:t xml:space="preserve">Storia </w:t>
      </w:r>
      <w:proofErr w:type="spellStart"/>
      <w:r w:rsidRPr="00A567BF">
        <w:rPr>
          <w:i/>
          <w:iCs/>
          <w:lang w:val="en-US"/>
        </w:rPr>
        <w:t>degli</w:t>
      </w:r>
      <w:proofErr w:type="spellEnd"/>
      <w:r w:rsidRPr="00A567BF">
        <w:rPr>
          <w:i/>
          <w:iCs/>
          <w:lang w:val="en-US"/>
        </w:rPr>
        <w:t xml:space="preserve"> </w:t>
      </w:r>
      <w:proofErr w:type="spellStart"/>
      <w:r w:rsidRPr="00A567BF">
        <w:rPr>
          <w:i/>
          <w:iCs/>
          <w:lang w:val="en-US"/>
        </w:rPr>
        <w:t>angeli</w:t>
      </w:r>
      <w:proofErr w:type="spellEnd"/>
      <w:r w:rsidRPr="00A567BF">
        <w:rPr>
          <w:lang w:val="en-US"/>
        </w:rPr>
        <w:t>, 111.</w:t>
      </w:r>
    </w:p>
  </w:footnote>
  <w:footnote w:id="314">
    <w:p w14:paraId="7887DB02" w14:textId="77777777" w:rsidR="00182EED" w:rsidRDefault="00182EED" w:rsidP="008A116C">
      <w:pPr>
        <w:pStyle w:val="FootnoteText"/>
      </w:pPr>
      <w:r w:rsidRPr="00073E38">
        <w:rPr>
          <w:rStyle w:val="FootnoteReference"/>
        </w:rPr>
        <w:footnoteRef/>
      </w:r>
      <w:r>
        <w:t xml:space="preserve"> </w:t>
      </w:r>
      <w:r w:rsidRPr="00694310">
        <w:rPr>
          <w:lang w:val="en-US"/>
        </w:rPr>
        <w:t xml:space="preserve">Isidore of Seville, </w:t>
      </w:r>
      <w:r w:rsidRPr="00694310">
        <w:rPr>
          <w:i/>
          <w:iCs/>
          <w:lang w:val="en-US"/>
        </w:rPr>
        <w:t xml:space="preserve">Liber </w:t>
      </w:r>
      <w:proofErr w:type="spellStart"/>
      <w:r w:rsidRPr="00694310">
        <w:rPr>
          <w:i/>
          <w:iCs/>
          <w:lang w:val="en-US"/>
        </w:rPr>
        <w:t>Sententiarum</w:t>
      </w:r>
      <w:proofErr w:type="spellEnd"/>
      <w:r w:rsidRPr="00694310">
        <w:rPr>
          <w:lang w:val="en-US"/>
        </w:rPr>
        <w:t xml:space="preserve"> I. 10, 19 and Thomas Aquinas, </w:t>
      </w:r>
      <w:r w:rsidRPr="00694310">
        <w:rPr>
          <w:i/>
          <w:iCs/>
          <w:lang w:val="en-US"/>
        </w:rPr>
        <w:t xml:space="preserve">Summa </w:t>
      </w:r>
      <w:proofErr w:type="spellStart"/>
      <w:r w:rsidRPr="00694310">
        <w:rPr>
          <w:i/>
          <w:iCs/>
          <w:lang w:val="en-US"/>
        </w:rPr>
        <w:t>Theologiae</w:t>
      </w:r>
      <w:proofErr w:type="spellEnd"/>
      <w:r w:rsidRPr="00694310">
        <w:rPr>
          <w:lang w:val="en-US"/>
        </w:rPr>
        <w:t xml:space="preserve"> I, q.51, a. 2, ad 3, quoted in </w:t>
      </w:r>
      <w:proofErr w:type="spellStart"/>
      <w:r w:rsidRPr="00694310">
        <w:rPr>
          <w:lang w:val="en-US"/>
        </w:rPr>
        <w:t>Bussagli</w:t>
      </w:r>
      <w:proofErr w:type="spellEnd"/>
      <w:r w:rsidRPr="00694310">
        <w:rPr>
          <w:lang w:val="en-US"/>
        </w:rPr>
        <w:t xml:space="preserve">, </w:t>
      </w:r>
      <w:r w:rsidRPr="00694310">
        <w:rPr>
          <w:i/>
          <w:iCs/>
          <w:lang w:val="en-US"/>
        </w:rPr>
        <w:t xml:space="preserve">Storia </w:t>
      </w:r>
      <w:proofErr w:type="spellStart"/>
      <w:r w:rsidRPr="00694310">
        <w:rPr>
          <w:i/>
          <w:iCs/>
          <w:lang w:val="en-US"/>
        </w:rPr>
        <w:t>degli</w:t>
      </w:r>
      <w:proofErr w:type="spellEnd"/>
      <w:r w:rsidRPr="00694310">
        <w:rPr>
          <w:i/>
          <w:iCs/>
          <w:lang w:val="en-US"/>
        </w:rPr>
        <w:t xml:space="preserve"> </w:t>
      </w:r>
      <w:proofErr w:type="spellStart"/>
      <w:r w:rsidRPr="00694310">
        <w:rPr>
          <w:i/>
          <w:iCs/>
          <w:lang w:val="en-US"/>
        </w:rPr>
        <w:t>angeli</w:t>
      </w:r>
      <w:proofErr w:type="spellEnd"/>
      <w:r w:rsidRPr="00694310">
        <w:rPr>
          <w:lang w:val="en-US"/>
        </w:rPr>
        <w:t>, 96–97.</w:t>
      </w:r>
    </w:p>
  </w:footnote>
  <w:footnote w:id="315">
    <w:p w14:paraId="0EE9DB1C" w14:textId="77777777" w:rsidR="00182EED" w:rsidRDefault="00182EED" w:rsidP="008A116C">
      <w:pPr>
        <w:pStyle w:val="FootnoteText"/>
      </w:pPr>
      <w:r w:rsidRPr="00073E38">
        <w:rPr>
          <w:rStyle w:val="FootnoteReference"/>
        </w:rPr>
        <w:footnoteRef/>
      </w:r>
      <w:r>
        <w:t xml:space="preserve"> </w:t>
      </w:r>
      <w:r w:rsidRPr="00694310">
        <w:rPr>
          <w:lang w:val="en-US"/>
        </w:rPr>
        <w:t>Ibid., 98–100.</w:t>
      </w:r>
    </w:p>
  </w:footnote>
  <w:footnote w:id="316">
    <w:p w14:paraId="3C876C8E" w14:textId="77777777" w:rsidR="00182EED" w:rsidRDefault="00182EED" w:rsidP="008A116C">
      <w:pPr>
        <w:pStyle w:val="FootnoteText"/>
      </w:pPr>
      <w:r w:rsidRPr="00073E38">
        <w:rPr>
          <w:rStyle w:val="FootnoteReference"/>
        </w:rPr>
        <w:footnoteRef/>
      </w:r>
      <w:r>
        <w:t xml:space="preserve"> </w:t>
      </w:r>
      <w:r>
        <w:rPr>
          <w:noProof/>
        </w:rPr>
        <w:t>Ibid., 100.</w:t>
      </w:r>
    </w:p>
  </w:footnote>
  <w:footnote w:id="317">
    <w:p w14:paraId="325C63F2" w14:textId="77777777" w:rsidR="00182EED" w:rsidRDefault="00182EED" w:rsidP="008A116C">
      <w:pPr>
        <w:pStyle w:val="FootnoteText"/>
      </w:pPr>
      <w:r w:rsidRPr="00073E38">
        <w:rPr>
          <w:rStyle w:val="FootnoteReference"/>
        </w:rPr>
        <w:footnoteRef/>
      </w:r>
      <w:r>
        <w:t xml:space="preserve"> </w:t>
      </w:r>
      <w:r w:rsidRPr="002C1CB7">
        <w:rPr>
          <w:lang w:val="en-US"/>
        </w:rPr>
        <w:t xml:space="preserve">Marco </w:t>
      </w:r>
      <w:proofErr w:type="spellStart"/>
      <w:r w:rsidRPr="002C1CB7">
        <w:rPr>
          <w:lang w:val="en-US"/>
        </w:rPr>
        <w:t>Bussagli</w:t>
      </w:r>
      <w:proofErr w:type="spellEnd"/>
      <w:r w:rsidRPr="002C1CB7">
        <w:rPr>
          <w:lang w:val="en-US"/>
        </w:rPr>
        <w:t>, “</w:t>
      </w:r>
      <w:proofErr w:type="spellStart"/>
      <w:r w:rsidRPr="002C1CB7">
        <w:rPr>
          <w:lang w:val="en-US"/>
        </w:rPr>
        <w:t>Gli</w:t>
      </w:r>
      <w:proofErr w:type="spellEnd"/>
      <w:r w:rsidRPr="002C1CB7">
        <w:rPr>
          <w:lang w:val="en-US"/>
        </w:rPr>
        <w:t xml:space="preserve"> </w:t>
      </w:r>
      <w:proofErr w:type="spellStart"/>
      <w:r w:rsidRPr="002C1CB7">
        <w:rPr>
          <w:lang w:val="en-US"/>
        </w:rPr>
        <w:t>Angeli</w:t>
      </w:r>
      <w:proofErr w:type="spellEnd"/>
      <w:r w:rsidRPr="002C1CB7">
        <w:rPr>
          <w:lang w:val="en-US"/>
        </w:rPr>
        <w:t xml:space="preserve"> dal </w:t>
      </w:r>
      <w:proofErr w:type="spellStart"/>
      <w:r w:rsidRPr="002C1CB7">
        <w:rPr>
          <w:lang w:val="en-US"/>
        </w:rPr>
        <w:t>Rinascimento</w:t>
      </w:r>
      <w:proofErr w:type="spellEnd"/>
      <w:r w:rsidRPr="002C1CB7">
        <w:rPr>
          <w:lang w:val="en-US"/>
        </w:rPr>
        <w:t xml:space="preserve"> al </w:t>
      </w:r>
      <w:proofErr w:type="spellStart"/>
      <w:r w:rsidRPr="002C1CB7">
        <w:rPr>
          <w:lang w:val="en-US"/>
        </w:rPr>
        <w:t>Barocco</w:t>
      </w:r>
      <w:proofErr w:type="spellEnd"/>
      <w:r w:rsidRPr="002C1CB7">
        <w:rPr>
          <w:lang w:val="en-US"/>
        </w:rPr>
        <w:t xml:space="preserve">. Dalla luce </w:t>
      </w:r>
      <w:proofErr w:type="spellStart"/>
      <w:r w:rsidRPr="002C1CB7">
        <w:rPr>
          <w:lang w:val="en-US"/>
        </w:rPr>
        <w:t>alla</w:t>
      </w:r>
      <w:proofErr w:type="spellEnd"/>
      <w:r w:rsidRPr="002C1CB7">
        <w:rPr>
          <w:lang w:val="en-US"/>
        </w:rPr>
        <w:t xml:space="preserve"> carne,” in </w:t>
      </w:r>
      <w:proofErr w:type="spellStart"/>
      <w:r w:rsidRPr="002C1CB7">
        <w:rPr>
          <w:i/>
          <w:iCs/>
          <w:lang w:val="en-US"/>
        </w:rPr>
        <w:t>Angeli</w:t>
      </w:r>
      <w:proofErr w:type="spellEnd"/>
      <w:r w:rsidRPr="002C1CB7">
        <w:rPr>
          <w:i/>
          <w:iCs/>
          <w:lang w:val="en-US"/>
        </w:rPr>
        <w:t xml:space="preserve">: </w:t>
      </w:r>
      <w:proofErr w:type="spellStart"/>
      <w:r w:rsidRPr="002C1CB7">
        <w:rPr>
          <w:i/>
          <w:iCs/>
          <w:lang w:val="en-US"/>
        </w:rPr>
        <w:t>volti</w:t>
      </w:r>
      <w:proofErr w:type="spellEnd"/>
      <w:r w:rsidRPr="002C1CB7">
        <w:rPr>
          <w:i/>
          <w:iCs/>
          <w:lang w:val="en-US"/>
        </w:rPr>
        <w:t xml:space="preserve"> </w:t>
      </w:r>
      <w:proofErr w:type="spellStart"/>
      <w:r w:rsidRPr="002C1CB7">
        <w:rPr>
          <w:i/>
          <w:iCs/>
          <w:lang w:val="en-US"/>
        </w:rPr>
        <w:t>dell’invisibile</w:t>
      </w:r>
      <w:proofErr w:type="spellEnd"/>
      <w:r w:rsidRPr="002C1CB7">
        <w:rPr>
          <w:i/>
          <w:iCs/>
          <w:lang w:val="en-US"/>
        </w:rPr>
        <w:t xml:space="preserve">, </w:t>
      </w:r>
      <w:r w:rsidRPr="002C1CB7">
        <w:rPr>
          <w:lang w:val="en-US"/>
        </w:rPr>
        <w:t xml:space="preserve">exh.cat., ed. Serenella </w:t>
      </w:r>
      <w:proofErr w:type="spellStart"/>
      <w:r w:rsidRPr="002C1CB7">
        <w:rPr>
          <w:lang w:val="en-US"/>
        </w:rPr>
        <w:t>Castri</w:t>
      </w:r>
      <w:proofErr w:type="spellEnd"/>
      <w:r w:rsidRPr="002C1CB7">
        <w:rPr>
          <w:lang w:val="en-US"/>
        </w:rPr>
        <w:t xml:space="preserve"> (Turin: Umberto </w:t>
      </w:r>
      <w:proofErr w:type="spellStart"/>
      <w:r w:rsidRPr="002C1CB7">
        <w:rPr>
          <w:lang w:val="en-US"/>
        </w:rPr>
        <w:t>Allemandi</w:t>
      </w:r>
      <w:proofErr w:type="spellEnd"/>
      <w:r w:rsidRPr="002C1CB7">
        <w:rPr>
          <w:lang w:val="en-US"/>
        </w:rPr>
        <w:t xml:space="preserve">, 2010), 59. Another example of transparent angels can be seen in Gentile da </w:t>
      </w:r>
      <w:proofErr w:type="spellStart"/>
      <w:r w:rsidRPr="002C1CB7">
        <w:rPr>
          <w:lang w:val="en-US"/>
        </w:rPr>
        <w:t>Fabriano’s</w:t>
      </w:r>
      <w:proofErr w:type="spellEnd"/>
      <w:r w:rsidRPr="002C1CB7">
        <w:rPr>
          <w:lang w:val="en-US"/>
        </w:rPr>
        <w:t xml:space="preserve"> fresco with the Virgin and child in Orvieto’s cathedral, where two angels appeared underneath the figure of St Catherine of Alexandria, when this was removed during conservation works.</w:t>
      </w:r>
    </w:p>
  </w:footnote>
  <w:footnote w:id="318">
    <w:p w14:paraId="1D730505" w14:textId="77777777" w:rsidR="00182EED" w:rsidRDefault="00182EED" w:rsidP="008A116C">
      <w:pPr>
        <w:pStyle w:val="FootnoteText"/>
      </w:pPr>
      <w:r w:rsidRPr="00073E38">
        <w:rPr>
          <w:rStyle w:val="FootnoteReference"/>
        </w:rPr>
        <w:footnoteRef/>
      </w:r>
      <w:r>
        <w:t xml:space="preserve"> </w:t>
      </w:r>
      <w:r w:rsidRPr="008D2185">
        <w:rPr>
          <w:lang w:val="en-US"/>
        </w:rPr>
        <w:t>Examples can be found in ibid., 60–61.</w:t>
      </w:r>
    </w:p>
  </w:footnote>
  <w:footnote w:id="319">
    <w:p w14:paraId="60945CF1" w14:textId="77777777" w:rsidR="00182EED" w:rsidRDefault="00182EED" w:rsidP="008A116C">
      <w:pPr>
        <w:pStyle w:val="FootnoteText"/>
      </w:pPr>
      <w:r w:rsidRPr="00073E38">
        <w:rPr>
          <w:rStyle w:val="FootnoteReference"/>
        </w:rPr>
        <w:footnoteRef/>
      </w:r>
      <w:r>
        <w:t xml:space="preserve"> </w:t>
      </w:r>
      <w:proofErr w:type="spellStart"/>
      <w:r w:rsidRPr="008D2185">
        <w:rPr>
          <w:lang w:val="en-US"/>
        </w:rPr>
        <w:t>Bussagli</w:t>
      </w:r>
      <w:proofErr w:type="spellEnd"/>
      <w:r w:rsidRPr="008D2185">
        <w:rPr>
          <w:lang w:val="en-US"/>
        </w:rPr>
        <w:t xml:space="preserve">, </w:t>
      </w:r>
      <w:r w:rsidRPr="008D2185">
        <w:rPr>
          <w:i/>
          <w:iCs/>
          <w:lang w:val="en-US"/>
        </w:rPr>
        <w:t xml:space="preserve">Storia </w:t>
      </w:r>
      <w:proofErr w:type="spellStart"/>
      <w:r w:rsidRPr="008D2185">
        <w:rPr>
          <w:i/>
          <w:iCs/>
          <w:lang w:val="en-US"/>
        </w:rPr>
        <w:t>degli</w:t>
      </w:r>
      <w:proofErr w:type="spellEnd"/>
      <w:r w:rsidRPr="008D2185">
        <w:rPr>
          <w:i/>
          <w:iCs/>
          <w:lang w:val="en-US"/>
        </w:rPr>
        <w:t xml:space="preserve"> </w:t>
      </w:r>
      <w:proofErr w:type="spellStart"/>
      <w:r w:rsidRPr="008D2185">
        <w:rPr>
          <w:i/>
          <w:iCs/>
          <w:lang w:val="en-US"/>
        </w:rPr>
        <w:t>angeli</w:t>
      </w:r>
      <w:proofErr w:type="spellEnd"/>
      <w:r w:rsidRPr="008D2185">
        <w:rPr>
          <w:lang w:val="en-US"/>
        </w:rPr>
        <w:t>, 195–96.</w:t>
      </w:r>
    </w:p>
  </w:footnote>
  <w:footnote w:id="320">
    <w:p w14:paraId="36BE785F" w14:textId="77777777" w:rsidR="00182EED" w:rsidRDefault="00182EED" w:rsidP="008A116C">
      <w:pPr>
        <w:pStyle w:val="FootnoteText"/>
      </w:pPr>
      <w:r w:rsidRPr="00073E38">
        <w:rPr>
          <w:rStyle w:val="FootnoteReference"/>
        </w:rPr>
        <w:footnoteRef/>
      </w:r>
      <w:r>
        <w:t xml:space="preserve"> </w:t>
      </w:r>
      <w:r w:rsidRPr="008D2185">
        <w:rPr>
          <w:lang w:val="en-US"/>
        </w:rPr>
        <w:t>Ibid., 194–95. The topic of angels as mirror of God will be considered in chapter 3 of this thesis.</w:t>
      </w:r>
    </w:p>
  </w:footnote>
  <w:footnote w:id="321">
    <w:p w14:paraId="441CA0CA" w14:textId="77777777" w:rsidR="00182EED" w:rsidRDefault="00182EED" w:rsidP="008A116C">
      <w:pPr>
        <w:pStyle w:val="FootnoteText"/>
      </w:pPr>
      <w:r w:rsidRPr="00073E38">
        <w:rPr>
          <w:rStyle w:val="FootnoteReference"/>
        </w:rPr>
        <w:footnoteRef/>
      </w:r>
      <w:r>
        <w:t xml:space="preserve"> </w:t>
      </w:r>
      <w:r w:rsidRPr="002C1CB7">
        <w:rPr>
          <w:lang w:val="en-US"/>
        </w:rPr>
        <w:t xml:space="preserve">Alessio </w:t>
      </w:r>
      <w:proofErr w:type="spellStart"/>
      <w:r w:rsidRPr="002C1CB7">
        <w:rPr>
          <w:lang w:val="en-US"/>
        </w:rPr>
        <w:t>Geretti</w:t>
      </w:r>
      <w:proofErr w:type="spellEnd"/>
      <w:r w:rsidRPr="002C1CB7">
        <w:rPr>
          <w:lang w:val="en-US"/>
        </w:rPr>
        <w:t xml:space="preserve">, “Missus </w:t>
      </w:r>
      <w:proofErr w:type="spellStart"/>
      <w:r w:rsidRPr="002C1CB7">
        <w:rPr>
          <w:lang w:val="en-US"/>
        </w:rPr>
        <w:t>est</w:t>
      </w:r>
      <w:proofErr w:type="spellEnd"/>
      <w:r w:rsidRPr="002C1CB7">
        <w:rPr>
          <w:lang w:val="en-US"/>
        </w:rPr>
        <w:t xml:space="preserve"> Angelus,” in </w:t>
      </w:r>
      <w:proofErr w:type="spellStart"/>
      <w:r w:rsidRPr="002C1CB7">
        <w:rPr>
          <w:i/>
          <w:iCs/>
          <w:lang w:val="en-US"/>
        </w:rPr>
        <w:t>Angeli</w:t>
      </w:r>
      <w:proofErr w:type="spellEnd"/>
      <w:r w:rsidRPr="002C1CB7">
        <w:rPr>
          <w:i/>
          <w:iCs/>
          <w:lang w:val="en-US"/>
        </w:rPr>
        <w:t xml:space="preserve">: </w:t>
      </w:r>
      <w:proofErr w:type="spellStart"/>
      <w:r w:rsidRPr="002C1CB7">
        <w:rPr>
          <w:i/>
          <w:iCs/>
          <w:lang w:val="en-US"/>
        </w:rPr>
        <w:t>volti</w:t>
      </w:r>
      <w:proofErr w:type="spellEnd"/>
      <w:r w:rsidRPr="002C1CB7">
        <w:rPr>
          <w:i/>
          <w:iCs/>
          <w:lang w:val="en-US"/>
        </w:rPr>
        <w:t xml:space="preserve"> </w:t>
      </w:r>
      <w:proofErr w:type="spellStart"/>
      <w:r w:rsidRPr="002C1CB7">
        <w:rPr>
          <w:i/>
          <w:iCs/>
          <w:lang w:val="en-US"/>
        </w:rPr>
        <w:t>dell’invisibile</w:t>
      </w:r>
      <w:proofErr w:type="spellEnd"/>
      <w:r w:rsidRPr="002C1CB7">
        <w:rPr>
          <w:i/>
          <w:iCs/>
          <w:lang w:val="en-US"/>
        </w:rPr>
        <w:t xml:space="preserve">, </w:t>
      </w:r>
      <w:r w:rsidRPr="002C1CB7">
        <w:rPr>
          <w:lang w:val="en-US"/>
        </w:rPr>
        <w:t xml:space="preserve">exh.cat., ed. Serenella </w:t>
      </w:r>
      <w:proofErr w:type="spellStart"/>
      <w:r w:rsidRPr="002C1CB7">
        <w:rPr>
          <w:lang w:val="en-US"/>
        </w:rPr>
        <w:t>Castri</w:t>
      </w:r>
      <w:proofErr w:type="spellEnd"/>
      <w:r w:rsidRPr="002C1CB7">
        <w:rPr>
          <w:lang w:val="en-US"/>
        </w:rPr>
        <w:t xml:space="preserve"> (Turin: Umberto </w:t>
      </w:r>
      <w:proofErr w:type="spellStart"/>
      <w:r w:rsidRPr="002C1CB7">
        <w:rPr>
          <w:lang w:val="en-US"/>
        </w:rPr>
        <w:t>Allemandi</w:t>
      </w:r>
      <w:proofErr w:type="spellEnd"/>
      <w:r w:rsidRPr="002C1CB7">
        <w:rPr>
          <w:lang w:val="en-US"/>
        </w:rPr>
        <w:t>, 2010), 21.</w:t>
      </w:r>
    </w:p>
  </w:footnote>
  <w:footnote w:id="322">
    <w:p w14:paraId="19513BC7" w14:textId="77777777" w:rsidR="00182EED" w:rsidRDefault="00182EED" w:rsidP="008A116C">
      <w:pPr>
        <w:pStyle w:val="FootnoteText"/>
      </w:pPr>
      <w:r w:rsidRPr="00073E38">
        <w:rPr>
          <w:rStyle w:val="FootnoteReference"/>
        </w:rPr>
        <w:footnoteRef/>
      </w:r>
      <w:r>
        <w:t xml:space="preserve"> </w:t>
      </w:r>
      <w:r>
        <w:rPr>
          <w:noProof/>
        </w:rPr>
        <w:t>Ibid., 22.</w:t>
      </w:r>
    </w:p>
  </w:footnote>
  <w:footnote w:id="323">
    <w:p w14:paraId="5C6F0554" w14:textId="77777777" w:rsidR="00182EED" w:rsidRDefault="00182EED" w:rsidP="008A116C">
      <w:pPr>
        <w:pStyle w:val="FootnoteText"/>
      </w:pPr>
      <w:r w:rsidRPr="00073E38">
        <w:rPr>
          <w:rStyle w:val="FootnoteReference"/>
        </w:rPr>
        <w:footnoteRef/>
      </w:r>
      <w:r>
        <w:t xml:space="preserve"> </w:t>
      </w:r>
      <w:r>
        <w:rPr>
          <w:noProof/>
        </w:rPr>
        <w:t>Ibid.</w:t>
      </w:r>
    </w:p>
  </w:footnote>
  <w:footnote w:id="324">
    <w:p w14:paraId="2A2C3EA9" w14:textId="77777777" w:rsidR="00182EED" w:rsidRDefault="00182EED" w:rsidP="008A116C">
      <w:pPr>
        <w:pStyle w:val="FootnoteText"/>
      </w:pPr>
      <w:r w:rsidRPr="00073E38">
        <w:rPr>
          <w:rStyle w:val="FootnoteReference"/>
        </w:rPr>
        <w:footnoteRef/>
      </w:r>
      <w:r>
        <w:t xml:space="preserve"> </w:t>
      </w:r>
      <w:r w:rsidRPr="008D2185">
        <w:rPr>
          <w:lang w:val="en-US"/>
        </w:rPr>
        <w:t xml:space="preserve">Luke 24:4, English Standard Version. See </w:t>
      </w:r>
      <w:proofErr w:type="spellStart"/>
      <w:r w:rsidRPr="008D2185">
        <w:rPr>
          <w:lang w:val="en-US"/>
        </w:rPr>
        <w:t>Bussagli</w:t>
      </w:r>
      <w:proofErr w:type="spellEnd"/>
      <w:r w:rsidRPr="008D2185">
        <w:rPr>
          <w:lang w:val="en-US"/>
        </w:rPr>
        <w:t xml:space="preserve">, </w:t>
      </w:r>
      <w:r w:rsidRPr="008D2185">
        <w:rPr>
          <w:i/>
          <w:iCs/>
          <w:lang w:val="en-US"/>
        </w:rPr>
        <w:t xml:space="preserve">Storia </w:t>
      </w:r>
      <w:proofErr w:type="spellStart"/>
      <w:r w:rsidRPr="008D2185">
        <w:rPr>
          <w:i/>
          <w:iCs/>
          <w:lang w:val="en-US"/>
        </w:rPr>
        <w:t>degli</w:t>
      </w:r>
      <w:proofErr w:type="spellEnd"/>
      <w:r w:rsidRPr="008D2185">
        <w:rPr>
          <w:i/>
          <w:iCs/>
          <w:lang w:val="en-US"/>
        </w:rPr>
        <w:t xml:space="preserve"> </w:t>
      </w:r>
      <w:proofErr w:type="spellStart"/>
      <w:r w:rsidRPr="008D2185">
        <w:rPr>
          <w:i/>
          <w:iCs/>
          <w:lang w:val="en-US"/>
        </w:rPr>
        <w:t>angeli</w:t>
      </w:r>
      <w:proofErr w:type="spellEnd"/>
      <w:r w:rsidRPr="008D2185">
        <w:rPr>
          <w:lang w:val="en-US"/>
        </w:rPr>
        <w:t>, 235–36.</w:t>
      </w:r>
    </w:p>
  </w:footnote>
  <w:footnote w:id="325">
    <w:p w14:paraId="7E6C9662" w14:textId="77777777" w:rsidR="00182EED" w:rsidRDefault="00182EED" w:rsidP="008A116C">
      <w:pPr>
        <w:pStyle w:val="FootnoteText"/>
      </w:pPr>
      <w:r w:rsidRPr="00073E38">
        <w:rPr>
          <w:rStyle w:val="FootnoteReference"/>
        </w:rPr>
        <w:footnoteRef/>
      </w:r>
      <w:r>
        <w:t xml:space="preserve"> </w:t>
      </w:r>
      <w:r>
        <w:rPr>
          <w:noProof/>
        </w:rPr>
        <w:t>Ibid., 208.</w:t>
      </w:r>
    </w:p>
  </w:footnote>
  <w:footnote w:id="326">
    <w:p w14:paraId="26D22843" w14:textId="77777777" w:rsidR="00182EED" w:rsidRDefault="00182EED" w:rsidP="008A116C">
      <w:pPr>
        <w:pStyle w:val="FootnoteText"/>
      </w:pPr>
      <w:r w:rsidRPr="00073E38">
        <w:rPr>
          <w:rStyle w:val="FootnoteReference"/>
        </w:rPr>
        <w:footnoteRef/>
      </w:r>
      <w:r>
        <w:t xml:space="preserve"> </w:t>
      </w:r>
      <w:r w:rsidRPr="00230640">
        <w:rPr>
          <w:lang w:val="en-US"/>
        </w:rPr>
        <w:t>Ibid., 208–9.</w:t>
      </w:r>
    </w:p>
  </w:footnote>
  <w:footnote w:id="327">
    <w:p w14:paraId="675F5327" w14:textId="77777777" w:rsidR="00182EED" w:rsidRDefault="00182EED" w:rsidP="008A116C">
      <w:pPr>
        <w:pStyle w:val="FootnoteText"/>
      </w:pPr>
      <w:r w:rsidRPr="00073E38">
        <w:rPr>
          <w:rStyle w:val="FootnoteReference"/>
        </w:rPr>
        <w:footnoteRef/>
      </w:r>
      <w:r>
        <w:t xml:space="preserve"> </w:t>
      </w:r>
      <w:r>
        <w:rPr>
          <w:noProof/>
        </w:rPr>
        <w:t>Ibid., 208.</w:t>
      </w:r>
    </w:p>
  </w:footnote>
  <w:footnote w:id="328">
    <w:p w14:paraId="4F05DD94" w14:textId="77777777" w:rsidR="00182EED" w:rsidRDefault="00182EED" w:rsidP="008A116C">
      <w:pPr>
        <w:pStyle w:val="FootnoteText"/>
      </w:pPr>
      <w:r w:rsidRPr="00073E38">
        <w:rPr>
          <w:rStyle w:val="FootnoteReference"/>
        </w:rPr>
        <w:footnoteRef/>
      </w:r>
      <w:r w:rsidRPr="00EF50EE">
        <w:rPr>
          <w:lang w:val="it-IT"/>
        </w:rPr>
        <w:t xml:space="preserve"> </w:t>
      </w:r>
      <w:r w:rsidRPr="001521DD">
        <w:rPr>
          <w:noProof/>
          <w:lang w:val="it-IT"/>
        </w:rPr>
        <w:t>Ibid., 276.</w:t>
      </w:r>
      <w:r w:rsidRPr="001521DD">
        <w:rPr>
          <w:noProof/>
          <w:szCs w:val="18"/>
        </w:rPr>
        <w:t xml:space="preserve">See Boethius concept of </w:t>
      </w:r>
      <w:r w:rsidRPr="001521DD">
        <w:rPr>
          <w:i/>
          <w:noProof/>
          <w:szCs w:val="18"/>
        </w:rPr>
        <w:t>musica mundana</w:t>
      </w:r>
      <w:r w:rsidRPr="001521DD">
        <w:rPr>
          <w:noProof/>
          <w:szCs w:val="18"/>
        </w:rPr>
        <w:t xml:space="preserve"> discussed in this thesis, Chapter 1.5.</w:t>
      </w:r>
    </w:p>
  </w:footnote>
  <w:footnote w:id="329">
    <w:p w14:paraId="2F124B83" w14:textId="77777777" w:rsidR="00182EED" w:rsidRPr="0049227C" w:rsidRDefault="00182EED" w:rsidP="008A116C">
      <w:pPr>
        <w:pStyle w:val="FootnoteText"/>
        <w:rPr>
          <w:szCs w:val="18"/>
        </w:rPr>
      </w:pPr>
      <w:r w:rsidRPr="00073E38">
        <w:rPr>
          <w:rStyle w:val="FootnoteReference"/>
        </w:rPr>
        <w:footnoteRef/>
      </w:r>
      <w:r w:rsidRPr="00EF50EE">
        <w:rPr>
          <w:szCs w:val="18"/>
          <w:lang w:val="it-IT"/>
        </w:rPr>
        <w:t xml:space="preserve"> “</w:t>
      </w:r>
      <w:proofErr w:type="spellStart"/>
      <w:r w:rsidRPr="00EF50EE">
        <w:rPr>
          <w:szCs w:val="18"/>
          <w:lang w:val="it-IT"/>
        </w:rPr>
        <w:t>Sed</w:t>
      </w:r>
      <w:proofErr w:type="spellEnd"/>
      <w:r w:rsidRPr="00EF50EE">
        <w:rPr>
          <w:szCs w:val="18"/>
          <w:lang w:val="it-IT"/>
        </w:rPr>
        <w:t xml:space="preserve"> omnia in </w:t>
      </w:r>
      <w:proofErr w:type="spellStart"/>
      <w:r w:rsidRPr="00EF50EE">
        <w:rPr>
          <w:szCs w:val="18"/>
          <w:lang w:val="it-IT"/>
        </w:rPr>
        <w:t>mensura</w:t>
      </w:r>
      <w:proofErr w:type="spellEnd"/>
      <w:r w:rsidRPr="00EF50EE">
        <w:rPr>
          <w:szCs w:val="18"/>
          <w:lang w:val="it-IT"/>
        </w:rPr>
        <w:t xml:space="preserve">, et numero et </w:t>
      </w:r>
      <w:proofErr w:type="spellStart"/>
      <w:r w:rsidRPr="00EF50EE">
        <w:rPr>
          <w:szCs w:val="18"/>
          <w:lang w:val="it-IT"/>
        </w:rPr>
        <w:t>pondere</w:t>
      </w:r>
      <w:proofErr w:type="spellEnd"/>
      <w:r w:rsidRPr="00EF50EE">
        <w:rPr>
          <w:szCs w:val="18"/>
          <w:lang w:val="it-IT"/>
        </w:rPr>
        <w:t xml:space="preserve"> </w:t>
      </w:r>
      <w:proofErr w:type="spellStart"/>
      <w:r w:rsidRPr="00EF50EE">
        <w:rPr>
          <w:szCs w:val="18"/>
          <w:lang w:val="it-IT"/>
        </w:rPr>
        <w:t>disposuisti</w:t>
      </w:r>
      <w:proofErr w:type="spellEnd"/>
      <w:r w:rsidRPr="00EF50EE">
        <w:rPr>
          <w:szCs w:val="18"/>
          <w:lang w:val="it-IT"/>
        </w:rPr>
        <w:t xml:space="preserve">”. </w:t>
      </w:r>
      <w:r w:rsidRPr="0049227C">
        <w:rPr>
          <w:szCs w:val="18"/>
        </w:rPr>
        <w:t xml:space="preserve">Wisdom 11:21, Biblia Sacra </w:t>
      </w:r>
      <w:proofErr w:type="spellStart"/>
      <w:r w:rsidRPr="0049227C">
        <w:rPr>
          <w:szCs w:val="18"/>
        </w:rPr>
        <w:t>Vulgata</w:t>
      </w:r>
      <w:proofErr w:type="spellEnd"/>
      <w:r w:rsidRPr="0049227C">
        <w:rPr>
          <w:szCs w:val="18"/>
        </w:rPr>
        <w:t>. English version from Common English Bible, Wisdom 11:2</w:t>
      </w:r>
      <w:r>
        <w:rPr>
          <w:szCs w:val="18"/>
        </w:rPr>
        <w:t>1</w:t>
      </w:r>
      <w:r w:rsidRPr="0049227C">
        <w:rPr>
          <w:szCs w:val="18"/>
        </w:rPr>
        <w:t>.</w:t>
      </w:r>
    </w:p>
  </w:footnote>
  <w:footnote w:id="330">
    <w:p w14:paraId="6BE7A4C6" w14:textId="77777777" w:rsidR="00182EED" w:rsidRDefault="00182EED" w:rsidP="008A116C">
      <w:pPr>
        <w:pStyle w:val="FootnoteText"/>
      </w:pPr>
      <w:r w:rsidRPr="00073E38">
        <w:rPr>
          <w:rStyle w:val="FootnoteReference"/>
        </w:rPr>
        <w:footnoteRef/>
      </w:r>
      <w:r>
        <w:t xml:space="preserve"> </w:t>
      </w:r>
      <w:proofErr w:type="spellStart"/>
      <w:r w:rsidRPr="00230640">
        <w:rPr>
          <w:lang w:val="en-US"/>
        </w:rPr>
        <w:t>Bussagli</w:t>
      </w:r>
      <w:proofErr w:type="spellEnd"/>
      <w:r w:rsidRPr="00230640">
        <w:rPr>
          <w:lang w:val="en-US"/>
        </w:rPr>
        <w:t>, “Angels: From Their Origins to the Middle Ages Theology and Iconography,” 19.</w:t>
      </w:r>
    </w:p>
  </w:footnote>
  <w:footnote w:id="331">
    <w:p w14:paraId="30A92502" w14:textId="77777777" w:rsidR="00182EED" w:rsidRDefault="00182EED" w:rsidP="008A116C">
      <w:pPr>
        <w:pStyle w:val="FootnoteText"/>
      </w:pPr>
      <w:r w:rsidRPr="00073E38">
        <w:rPr>
          <w:rStyle w:val="FootnoteReference"/>
        </w:rPr>
        <w:footnoteRef/>
      </w:r>
      <w:r>
        <w:t xml:space="preserve"> </w:t>
      </w:r>
      <w:proofErr w:type="spellStart"/>
      <w:r w:rsidRPr="0090739A">
        <w:rPr>
          <w:lang w:val="en-US"/>
        </w:rPr>
        <w:t>Sannibale</w:t>
      </w:r>
      <w:proofErr w:type="spellEnd"/>
      <w:r w:rsidRPr="0090739A">
        <w:rPr>
          <w:lang w:val="en-US"/>
        </w:rPr>
        <w:t xml:space="preserve"> and </w:t>
      </w:r>
      <w:proofErr w:type="spellStart"/>
      <w:r w:rsidRPr="0090739A">
        <w:rPr>
          <w:lang w:val="en-US"/>
        </w:rPr>
        <w:t>Liverani</w:t>
      </w:r>
      <w:proofErr w:type="spellEnd"/>
      <w:r w:rsidRPr="0090739A">
        <w:rPr>
          <w:lang w:val="en-US"/>
        </w:rPr>
        <w:t>, “The Classic Origins of Angel Iconography,” 68.</w:t>
      </w:r>
    </w:p>
  </w:footnote>
  <w:footnote w:id="332">
    <w:p w14:paraId="63FD98EA" w14:textId="77777777" w:rsidR="00182EED" w:rsidRDefault="00182EED" w:rsidP="008A116C">
      <w:pPr>
        <w:pStyle w:val="FootnoteText"/>
      </w:pPr>
      <w:r w:rsidRPr="00073E38">
        <w:rPr>
          <w:rStyle w:val="FootnoteReference"/>
        </w:rPr>
        <w:footnoteRef/>
      </w:r>
      <w:r>
        <w:t xml:space="preserve"> </w:t>
      </w:r>
      <w:proofErr w:type="spellStart"/>
      <w:r w:rsidRPr="0090739A">
        <w:rPr>
          <w:lang w:val="en-US"/>
        </w:rPr>
        <w:t>Bussagli</w:t>
      </w:r>
      <w:proofErr w:type="spellEnd"/>
      <w:r w:rsidRPr="0090739A">
        <w:rPr>
          <w:lang w:val="en-US"/>
        </w:rPr>
        <w:t>, “Angels: From Their Origins to the Middle Ages Theology and Iconography,” 20.</w:t>
      </w:r>
    </w:p>
  </w:footnote>
  <w:footnote w:id="333">
    <w:p w14:paraId="12E02506" w14:textId="77777777" w:rsidR="00182EED" w:rsidRDefault="00182EED" w:rsidP="008A116C">
      <w:pPr>
        <w:pStyle w:val="FootnoteText"/>
      </w:pPr>
      <w:r w:rsidRPr="00073E38">
        <w:rPr>
          <w:rStyle w:val="FootnoteReference"/>
        </w:rPr>
        <w:footnoteRef/>
      </w:r>
      <w:r>
        <w:t xml:space="preserve"> </w:t>
      </w:r>
      <w:r>
        <w:rPr>
          <w:noProof/>
        </w:rPr>
        <w:t>Ibid., 19.</w:t>
      </w:r>
    </w:p>
  </w:footnote>
  <w:footnote w:id="334">
    <w:p w14:paraId="3BF90CC1" w14:textId="77777777" w:rsidR="00182EED" w:rsidRDefault="00182EED" w:rsidP="008A116C">
      <w:pPr>
        <w:pStyle w:val="FootnoteText"/>
      </w:pPr>
      <w:r w:rsidRPr="00073E38">
        <w:rPr>
          <w:rStyle w:val="FootnoteReference"/>
        </w:rPr>
        <w:footnoteRef/>
      </w:r>
      <w:r>
        <w:t xml:space="preserve"> </w:t>
      </w:r>
      <w:r>
        <w:rPr>
          <w:lang w:val="en-US"/>
        </w:rPr>
        <w:t>Ibid.</w:t>
      </w:r>
    </w:p>
  </w:footnote>
  <w:footnote w:id="335">
    <w:p w14:paraId="5C6B1D15" w14:textId="77777777" w:rsidR="00182EED" w:rsidRDefault="00182EED" w:rsidP="008A116C">
      <w:pPr>
        <w:pStyle w:val="FootnoteText"/>
      </w:pPr>
      <w:r w:rsidRPr="00073E38">
        <w:rPr>
          <w:rStyle w:val="FootnoteReference"/>
        </w:rPr>
        <w:footnoteRef/>
      </w:r>
      <w:r>
        <w:t xml:space="preserve"> </w:t>
      </w:r>
      <w:r w:rsidRPr="0090739A">
        <w:rPr>
          <w:lang w:val="en-US"/>
        </w:rPr>
        <w:t xml:space="preserve">Charles Dempsey, </w:t>
      </w:r>
      <w:r w:rsidRPr="0090739A">
        <w:rPr>
          <w:i/>
          <w:iCs/>
          <w:lang w:val="en-US"/>
        </w:rPr>
        <w:t>Inventing the Renaissance Putto</w:t>
      </w:r>
      <w:r w:rsidRPr="0090739A">
        <w:rPr>
          <w:lang w:val="en-US"/>
        </w:rPr>
        <w:t xml:space="preserve"> (Chapel Hill and London: The University of North Carolina Press, 2001), 18–20.</w:t>
      </w:r>
    </w:p>
  </w:footnote>
  <w:footnote w:id="336">
    <w:p w14:paraId="144787B9" w14:textId="77777777" w:rsidR="00182EED" w:rsidRDefault="00182EED" w:rsidP="008A116C">
      <w:pPr>
        <w:pStyle w:val="FootnoteText"/>
      </w:pPr>
      <w:r w:rsidRPr="00073E38">
        <w:rPr>
          <w:rStyle w:val="FootnoteReference"/>
        </w:rPr>
        <w:footnoteRef/>
      </w:r>
      <w:r>
        <w:t xml:space="preserve"> </w:t>
      </w:r>
      <w:r>
        <w:rPr>
          <w:noProof/>
        </w:rPr>
        <w:t>Ibid., 40.</w:t>
      </w:r>
    </w:p>
  </w:footnote>
  <w:footnote w:id="337">
    <w:p w14:paraId="172E7690" w14:textId="77777777" w:rsidR="00182EED" w:rsidRDefault="00182EED" w:rsidP="008A116C">
      <w:pPr>
        <w:pStyle w:val="FootnoteText"/>
      </w:pPr>
      <w:r w:rsidRPr="00073E38">
        <w:rPr>
          <w:rStyle w:val="FootnoteReference"/>
        </w:rPr>
        <w:footnoteRef/>
      </w:r>
      <w:r>
        <w:t xml:space="preserve"> </w:t>
      </w:r>
      <w:r w:rsidRPr="0090739A">
        <w:rPr>
          <w:lang w:val="en-US"/>
        </w:rPr>
        <w:t>Ibid., 3–6, 13.</w:t>
      </w:r>
    </w:p>
  </w:footnote>
  <w:footnote w:id="338">
    <w:p w14:paraId="6C87282F" w14:textId="77777777" w:rsidR="00182EED" w:rsidRDefault="00182EED" w:rsidP="008A116C">
      <w:pPr>
        <w:pStyle w:val="FootnoteText"/>
      </w:pPr>
      <w:r w:rsidRPr="00073E38">
        <w:rPr>
          <w:rStyle w:val="FootnoteReference"/>
        </w:rPr>
        <w:footnoteRef/>
      </w:r>
      <w:r>
        <w:t xml:space="preserve"> </w:t>
      </w:r>
      <w:r>
        <w:rPr>
          <w:noProof/>
        </w:rPr>
        <w:t>Ibid., 41.</w:t>
      </w:r>
    </w:p>
  </w:footnote>
  <w:footnote w:id="339">
    <w:p w14:paraId="181D83EB" w14:textId="77777777" w:rsidR="00182EED" w:rsidRDefault="00182EED" w:rsidP="008A116C">
      <w:pPr>
        <w:pStyle w:val="FootnoteText"/>
      </w:pPr>
      <w:r w:rsidRPr="00073E38">
        <w:rPr>
          <w:rStyle w:val="FootnoteReference"/>
        </w:rPr>
        <w:footnoteRef/>
      </w:r>
      <w:r>
        <w:t xml:space="preserve"> </w:t>
      </w:r>
      <w:r>
        <w:rPr>
          <w:noProof/>
        </w:rPr>
        <w:t>Ibid.</w:t>
      </w:r>
    </w:p>
  </w:footnote>
  <w:footnote w:id="340">
    <w:p w14:paraId="3F5A9720" w14:textId="77777777" w:rsidR="00182EED" w:rsidRDefault="00182EED" w:rsidP="008A116C">
      <w:pPr>
        <w:pStyle w:val="FootnoteText"/>
      </w:pPr>
      <w:r w:rsidRPr="00073E38">
        <w:rPr>
          <w:rStyle w:val="FootnoteReference"/>
        </w:rPr>
        <w:footnoteRef/>
      </w:r>
      <w:r>
        <w:t xml:space="preserve"> </w:t>
      </w:r>
      <w:r w:rsidRPr="00115185">
        <w:rPr>
          <w:lang w:val="en-US"/>
        </w:rPr>
        <w:t xml:space="preserve">Charles L. Stinger, </w:t>
      </w:r>
      <w:r w:rsidRPr="00115185">
        <w:rPr>
          <w:i/>
          <w:iCs/>
          <w:lang w:val="en-US"/>
        </w:rPr>
        <w:t xml:space="preserve">Humanism and the Church </w:t>
      </w:r>
      <w:r w:rsidRPr="00115185">
        <w:rPr>
          <w:i/>
          <w:iCs/>
          <w:lang w:val="en-US"/>
        </w:rPr>
        <w:t xml:space="preserve">Fathers : </w:t>
      </w:r>
      <w:proofErr w:type="spellStart"/>
      <w:r w:rsidRPr="00115185">
        <w:rPr>
          <w:i/>
          <w:iCs/>
          <w:lang w:val="en-US"/>
        </w:rPr>
        <w:t>Ambrogio</w:t>
      </w:r>
      <w:proofErr w:type="spellEnd"/>
      <w:r w:rsidRPr="00115185">
        <w:rPr>
          <w:i/>
          <w:iCs/>
          <w:lang w:val="en-US"/>
        </w:rPr>
        <w:t xml:space="preserve"> </w:t>
      </w:r>
      <w:proofErr w:type="spellStart"/>
      <w:r w:rsidRPr="00115185">
        <w:rPr>
          <w:i/>
          <w:iCs/>
          <w:lang w:val="en-US"/>
        </w:rPr>
        <w:t>Traversari</w:t>
      </w:r>
      <w:proofErr w:type="spellEnd"/>
      <w:r w:rsidRPr="00115185">
        <w:rPr>
          <w:i/>
          <w:iCs/>
          <w:lang w:val="en-US"/>
        </w:rPr>
        <w:t xml:space="preserve"> (1386-1439) and Christian Antiquity in the Italian Renaissance</w:t>
      </w:r>
      <w:r w:rsidRPr="00115185">
        <w:rPr>
          <w:lang w:val="en-US"/>
        </w:rPr>
        <w:t xml:space="preserve"> (Albany: State University of New York Press, 1977), 158–62.</w:t>
      </w:r>
    </w:p>
  </w:footnote>
  <w:footnote w:id="341">
    <w:p w14:paraId="11648EC7" w14:textId="77777777" w:rsidR="00182EED" w:rsidRDefault="00182EED" w:rsidP="008A116C">
      <w:pPr>
        <w:pStyle w:val="FootnoteText"/>
      </w:pPr>
      <w:r w:rsidRPr="00073E38">
        <w:rPr>
          <w:rStyle w:val="FootnoteReference"/>
        </w:rPr>
        <w:footnoteRef/>
      </w:r>
      <w:r>
        <w:t xml:space="preserve"> </w:t>
      </w:r>
      <w:r w:rsidRPr="0090739A">
        <w:rPr>
          <w:lang w:val="en-US"/>
        </w:rPr>
        <w:t>Ibid., 88, 107–8.</w:t>
      </w:r>
    </w:p>
  </w:footnote>
  <w:footnote w:id="342">
    <w:p w14:paraId="59C62E33" w14:textId="77777777" w:rsidR="00182EED" w:rsidRDefault="00182EED" w:rsidP="008A116C">
      <w:pPr>
        <w:pStyle w:val="FootnoteText"/>
      </w:pPr>
      <w:r w:rsidRPr="00073E38">
        <w:rPr>
          <w:rStyle w:val="FootnoteReference"/>
        </w:rPr>
        <w:footnoteRef/>
      </w:r>
      <w:r>
        <w:t xml:space="preserve"> </w:t>
      </w:r>
      <w:r w:rsidRPr="0090739A">
        <w:rPr>
          <w:lang w:val="en-US"/>
        </w:rPr>
        <w:t xml:space="preserve">Bruce Gordon, “The Renaissance Angel,” in </w:t>
      </w:r>
      <w:r w:rsidRPr="0090739A">
        <w:rPr>
          <w:i/>
          <w:iCs/>
          <w:lang w:val="en-US"/>
        </w:rPr>
        <w:t>Angels in the Early Modern World</w:t>
      </w:r>
      <w:r w:rsidRPr="0090739A">
        <w:rPr>
          <w:lang w:val="en-US"/>
        </w:rPr>
        <w:t>, ed. Peter Marshall and Alexandra Walsham (Cambridge: Cambridge University Press, 2006), 41–43. Pico’s ideas will be discussed later in this chapter.</w:t>
      </w:r>
    </w:p>
  </w:footnote>
  <w:footnote w:id="343">
    <w:p w14:paraId="22E7466D" w14:textId="77777777" w:rsidR="00182EED" w:rsidRDefault="00182EED" w:rsidP="008A116C">
      <w:pPr>
        <w:pStyle w:val="FootnoteText"/>
      </w:pPr>
      <w:r w:rsidRPr="00073E38">
        <w:rPr>
          <w:rStyle w:val="FootnoteReference"/>
        </w:rPr>
        <w:footnoteRef/>
      </w:r>
      <w:r>
        <w:t xml:space="preserve"> </w:t>
      </w:r>
      <w:r w:rsidRPr="0090739A">
        <w:rPr>
          <w:lang w:val="en-US"/>
        </w:rPr>
        <w:t xml:space="preserve">On biblical references to angelic musicianship see especially </w:t>
      </w:r>
      <w:proofErr w:type="spellStart"/>
      <w:r w:rsidRPr="0090739A">
        <w:rPr>
          <w:lang w:val="en-US"/>
        </w:rPr>
        <w:t>Rastall</w:t>
      </w:r>
      <w:proofErr w:type="spellEnd"/>
      <w:r w:rsidRPr="0090739A">
        <w:rPr>
          <w:lang w:val="en-US"/>
        </w:rPr>
        <w:t>, “Heaven: The Musical Repertory,” 163–65.</w:t>
      </w:r>
    </w:p>
  </w:footnote>
  <w:footnote w:id="344">
    <w:p w14:paraId="1D858CA8" w14:textId="77777777" w:rsidR="00182EED" w:rsidRPr="00E622FA" w:rsidRDefault="00182EED" w:rsidP="008A116C">
      <w:pPr>
        <w:pStyle w:val="Footnote"/>
        <w:rPr>
          <w:noProof/>
        </w:rPr>
      </w:pPr>
      <w:r w:rsidRPr="00073E38">
        <w:rPr>
          <w:rStyle w:val="FootnoteReference"/>
        </w:rPr>
        <w:footnoteRef/>
      </w:r>
      <w:r w:rsidRPr="00E622FA">
        <w:rPr>
          <w:noProof/>
        </w:rPr>
        <w:t xml:space="preserve"> “Sanctus, Sanctus, Sanctus, Dominus exercituum </w:t>
      </w:r>
      <w:r w:rsidRPr="00E622FA">
        <w:rPr>
          <w:rStyle w:val="text"/>
          <w:noProof/>
        </w:rPr>
        <w:t>plena est omnis terra gloria eius”</w:t>
      </w:r>
      <w:r>
        <w:rPr>
          <w:rStyle w:val="text"/>
          <w:noProof/>
        </w:rPr>
        <w:t xml:space="preserve"> </w:t>
      </w:r>
      <w:r w:rsidRPr="00E622FA">
        <w:rPr>
          <w:i/>
          <w:noProof/>
        </w:rPr>
        <w:t>Vulgata</w:t>
      </w:r>
      <w:r w:rsidRPr="00E622FA">
        <w:rPr>
          <w:noProof/>
        </w:rPr>
        <w:t>, Isaias 6:3</w:t>
      </w:r>
      <w:r>
        <w:rPr>
          <w:noProof/>
        </w:rPr>
        <w:t xml:space="preserve">. English translation from </w:t>
      </w:r>
      <w:r w:rsidRPr="00E622FA">
        <w:rPr>
          <w:noProof/>
        </w:rPr>
        <w:t xml:space="preserve">Isaiah 6:3, English Standard Version. </w:t>
      </w:r>
    </w:p>
  </w:footnote>
  <w:footnote w:id="345">
    <w:p w14:paraId="2771C055" w14:textId="77777777" w:rsidR="00182EED" w:rsidRPr="000509EE" w:rsidRDefault="00182EED" w:rsidP="008A116C">
      <w:pPr>
        <w:pStyle w:val="Footnote"/>
      </w:pPr>
      <w:r w:rsidRPr="00073E38">
        <w:rPr>
          <w:rStyle w:val="FootnoteReference"/>
        </w:rPr>
        <w:footnoteRef/>
      </w:r>
      <w:r w:rsidRPr="000509EE">
        <w:rPr>
          <w:lang w:val="fr-FR"/>
        </w:rPr>
        <w:t xml:space="preserve"> </w:t>
      </w:r>
      <w:r w:rsidRPr="00E622FA">
        <w:rPr>
          <w:lang w:val="fr-FR"/>
        </w:rPr>
        <w:t xml:space="preserve">“Sanctus </w:t>
      </w:r>
      <w:proofErr w:type="spellStart"/>
      <w:r w:rsidRPr="00E622FA">
        <w:rPr>
          <w:lang w:val="fr-FR"/>
        </w:rPr>
        <w:t>sanctus</w:t>
      </w:r>
      <w:proofErr w:type="spellEnd"/>
      <w:r w:rsidRPr="00E622FA">
        <w:rPr>
          <w:lang w:val="fr-FR"/>
        </w:rPr>
        <w:t xml:space="preserve"> </w:t>
      </w:r>
      <w:proofErr w:type="spellStart"/>
      <w:r w:rsidRPr="00E622FA">
        <w:rPr>
          <w:lang w:val="fr-FR"/>
        </w:rPr>
        <w:t>sanctus</w:t>
      </w:r>
      <w:proofErr w:type="spellEnd"/>
      <w:r w:rsidRPr="00E622FA">
        <w:rPr>
          <w:lang w:val="fr-FR"/>
        </w:rPr>
        <w:t xml:space="preserve"> Dominus Deus </w:t>
      </w:r>
      <w:proofErr w:type="spellStart"/>
      <w:r w:rsidRPr="00E622FA">
        <w:rPr>
          <w:lang w:val="fr-FR"/>
        </w:rPr>
        <w:t>omnipotens</w:t>
      </w:r>
      <w:proofErr w:type="spellEnd"/>
      <w:r w:rsidRPr="00E622FA">
        <w:rPr>
          <w:lang w:val="fr-FR"/>
        </w:rPr>
        <w:t xml:space="preserve"> qui erat et qui est et qui </w:t>
      </w:r>
      <w:proofErr w:type="spellStart"/>
      <w:r w:rsidRPr="00E622FA">
        <w:rPr>
          <w:lang w:val="fr-FR"/>
        </w:rPr>
        <w:t>venturus</w:t>
      </w:r>
      <w:proofErr w:type="spellEnd"/>
      <w:r w:rsidRPr="00E622FA">
        <w:rPr>
          <w:lang w:val="fr-FR"/>
        </w:rPr>
        <w:t xml:space="preserve"> est.” </w:t>
      </w:r>
      <w:proofErr w:type="spellStart"/>
      <w:r w:rsidRPr="000509EE">
        <w:rPr>
          <w:i/>
        </w:rPr>
        <w:t>Vulgata</w:t>
      </w:r>
      <w:proofErr w:type="spellEnd"/>
      <w:r w:rsidRPr="000509EE">
        <w:t xml:space="preserve">, </w:t>
      </w:r>
      <w:proofErr w:type="spellStart"/>
      <w:r w:rsidRPr="000509EE">
        <w:t>Apocalypsis</w:t>
      </w:r>
      <w:proofErr w:type="spellEnd"/>
      <w:r w:rsidRPr="000509EE">
        <w:t xml:space="preserve"> 4:8. </w:t>
      </w:r>
      <w:r>
        <w:t xml:space="preserve">English translation from </w:t>
      </w:r>
      <w:proofErr w:type="spellStart"/>
      <w:r w:rsidRPr="000509EE">
        <w:rPr>
          <w:lang w:val="fr-FR"/>
        </w:rPr>
        <w:t>Revelation</w:t>
      </w:r>
      <w:proofErr w:type="spellEnd"/>
      <w:r w:rsidRPr="000509EE">
        <w:rPr>
          <w:lang w:val="fr-FR"/>
        </w:rPr>
        <w:t xml:space="preserve"> 4:8, English Standard Version</w:t>
      </w:r>
      <w:r w:rsidRPr="000509EE">
        <w:rPr>
          <w:noProof/>
          <w:lang w:val="fr-FR"/>
        </w:rPr>
        <w:t>.</w:t>
      </w:r>
    </w:p>
  </w:footnote>
  <w:footnote w:id="346">
    <w:p w14:paraId="51EC324D" w14:textId="77777777" w:rsidR="00182EED" w:rsidRPr="00E622FA" w:rsidRDefault="00182EED" w:rsidP="008A116C">
      <w:pPr>
        <w:pStyle w:val="FootnoteText"/>
        <w:rPr>
          <w:szCs w:val="18"/>
        </w:rPr>
      </w:pPr>
      <w:r w:rsidRPr="00073E38">
        <w:rPr>
          <w:rStyle w:val="FootnoteReference"/>
        </w:rPr>
        <w:footnoteRef/>
      </w:r>
      <w:r w:rsidRPr="00E622FA">
        <w:rPr>
          <w:szCs w:val="18"/>
        </w:rPr>
        <w:t xml:space="preserve"> Revelation 5:11-12 and 8:6-13, English Standard Version. </w:t>
      </w:r>
      <w:r w:rsidRPr="000509EE">
        <w:rPr>
          <w:szCs w:val="18"/>
        </w:rPr>
        <w:t>See also Gill, 122.</w:t>
      </w:r>
    </w:p>
  </w:footnote>
  <w:footnote w:id="347">
    <w:p w14:paraId="6D52A15E" w14:textId="77777777" w:rsidR="00182EED" w:rsidRPr="000509EE" w:rsidRDefault="00182EED" w:rsidP="008A116C">
      <w:pPr>
        <w:pStyle w:val="Footnote"/>
      </w:pPr>
      <w:r w:rsidRPr="00073E38">
        <w:rPr>
          <w:rStyle w:val="FootnoteReference"/>
        </w:rPr>
        <w:footnoteRef/>
      </w:r>
      <w:r w:rsidRPr="000509EE">
        <w:t xml:space="preserve"> </w:t>
      </w:r>
      <w:r w:rsidRPr="000509EE">
        <w:rPr>
          <w:noProof/>
        </w:rPr>
        <w:t xml:space="preserve">“Gloria in altissimis Deo et in terra pax in hominibus bonae voluntatis.” </w:t>
      </w:r>
      <w:r w:rsidRPr="005601AB">
        <w:rPr>
          <w:i/>
          <w:iCs/>
          <w:noProof/>
        </w:rPr>
        <w:t>Vulgata</w:t>
      </w:r>
      <w:r w:rsidRPr="000509EE">
        <w:rPr>
          <w:noProof/>
        </w:rPr>
        <w:t xml:space="preserve">, Lucas 2:14. </w:t>
      </w:r>
      <w:r>
        <w:rPr>
          <w:noProof/>
        </w:rPr>
        <w:t>English translation from</w:t>
      </w:r>
    </w:p>
    <w:p w14:paraId="1605747C" w14:textId="77777777" w:rsidR="00182EED" w:rsidRPr="000509EE" w:rsidRDefault="00182EED" w:rsidP="008A116C">
      <w:pPr>
        <w:pStyle w:val="Footnote"/>
      </w:pPr>
      <w:r w:rsidRPr="000509EE">
        <w:t>Luke 2:14, English Standard Version.</w:t>
      </w:r>
    </w:p>
  </w:footnote>
  <w:footnote w:id="348">
    <w:p w14:paraId="6A526AB9" w14:textId="77777777" w:rsidR="00182EED" w:rsidRPr="00371796" w:rsidRDefault="00182EED" w:rsidP="008A116C">
      <w:pPr>
        <w:pStyle w:val="Footnote"/>
      </w:pPr>
      <w:r w:rsidRPr="00073E38">
        <w:rPr>
          <w:rStyle w:val="FootnoteReference"/>
        </w:rPr>
        <w:footnoteRef/>
      </w:r>
      <w:r w:rsidRPr="000509EE">
        <w:t xml:space="preserve"> “Laudate </w:t>
      </w:r>
      <w:proofErr w:type="spellStart"/>
      <w:r w:rsidRPr="000509EE">
        <w:t>eum</w:t>
      </w:r>
      <w:proofErr w:type="spellEnd"/>
      <w:r w:rsidRPr="000509EE">
        <w:t xml:space="preserve"> in </w:t>
      </w:r>
      <w:proofErr w:type="spellStart"/>
      <w:r w:rsidRPr="000509EE">
        <w:t>sono</w:t>
      </w:r>
      <w:proofErr w:type="spellEnd"/>
      <w:r w:rsidRPr="000509EE">
        <w:t xml:space="preserve"> </w:t>
      </w:r>
      <w:proofErr w:type="spellStart"/>
      <w:r w:rsidRPr="000509EE">
        <w:t>tubae</w:t>
      </w:r>
      <w:proofErr w:type="spellEnd"/>
      <w:r w:rsidRPr="000509EE">
        <w:t xml:space="preserve"> </w:t>
      </w:r>
      <w:proofErr w:type="spellStart"/>
      <w:r w:rsidRPr="000509EE">
        <w:t>laudate</w:t>
      </w:r>
      <w:proofErr w:type="spellEnd"/>
      <w:r w:rsidRPr="000509EE">
        <w:t xml:space="preserve"> </w:t>
      </w:r>
      <w:proofErr w:type="spellStart"/>
      <w:r w:rsidRPr="000509EE">
        <w:t>eum</w:t>
      </w:r>
      <w:proofErr w:type="spellEnd"/>
      <w:r w:rsidRPr="000509EE">
        <w:t xml:space="preserve"> in </w:t>
      </w:r>
      <w:proofErr w:type="spellStart"/>
      <w:r w:rsidRPr="000509EE">
        <w:t>psalterio</w:t>
      </w:r>
      <w:proofErr w:type="spellEnd"/>
      <w:r w:rsidRPr="000509EE">
        <w:t xml:space="preserve"> et cithara/ </w:t>
      </w:r>
      <w:proofErr w:type="spellStart"/>
      <w:r w:rsidRPr="000509EE">
        <w:t>laudate</w:t>
      </w:r>
      <w:proofErr w:type="spellEnd"/>
      <w:r w:rsidRPr="000509EE">
        <w:t xml:space="preserve"> </w:t>
      </w:r>
      <w:proofErr w:type="spellStart"/>
      <w:r w:rsidRPr="000509EE">
        <w:t>eum</w:t>
      </w:r>
      <w:proofErr w:type="spellEnd"/>
      <w:r w:rsidRPr="000509EE">
        <w:t xml:space="preserve"> in </w:t>
      </w:r>
      <w:proofErr w:type="spellStart"/>
      <w:r w:rsidRPr="000509EE">
        <w:t>tympano</w:t>
      </w:r>
      <w:proofErr w:type="spellEnd"/>
      <w:r w:rsidRPr="000509EE">
        <w:t xml:space="preserve"> et choro </w:t>
      </w:r>
      <w:proofErr w:type="spellStart"/>
      <w:r w:rsidRPr="000509EE">
        <w:t>laudate</w:t>
      </w:r>
      <w:proofErr w:type="spellEnd"/>
      <w:r w:rsidRPr="000509EE">
        <w:t xml:space="preserve"> </w:t>
      </w:r>
      <w:proofErr w:type="spellStart"/>
      <w:r w:rsidRPr="000509EE">
        <w:t>eum</w:t>
      </w:r>
      <w:proofErr w:type="spellEnd"/>
      <w:r w:rsidRPr="000509EE">
        <w:t xml:space="preserve"> in cordis et </w:t>
      </w:r>
      <w:proofErr w:type="spellStart"/>
      <w:r w:rsidRPr="000509EE">
        <w:t>organo</w:t>
      </w:r>
      <w:proofErr w:type="spellEnd"/>
      <w:r w:rsidRPr="000509EE">
        <w:t xml:space="preserve">/ </w:t>
      </w:r>
      <w:proofErr w:type="spellStart"/>
      <w:r w:rsidRPr="000509EE">
        <w:t>laudate</w:t>
      </w:r>
      <w:proofErr w:type="spellEnd"/>
      <w:r w:rsidRPr="000509EE">
        <w:t xml:space="preserve"> </w:t>
      </w:r>
      <w:proofErr w:type="spellStart"/>
      <w:r w:rsidRPr="000509EE">
        <w:t>eum</w:t>
      </w:r>
      <w:proofErr w:type="spellEnd"/>
      <w:r w:rsidRPr="000509EE">
        <w:t xml:space="preserve"> in </w:t>
      </w:r>
      <w:proofErr w:type="spellStart"/>
      <w:r w:rsidRPr="000509EE">
        <w:t>cymbalis</w:t>
      </w:r>
      <w:proofErr w:type="spellEnd"/>
      <w:r w:rsidRPr="000509EE">
        <w:t xml:space="preserve"> bene </w:t>
      </w:r>
      <w:proofErr w:type="spellStart"/>
      <w:r w:rsidRPr="000509EE">
        <w:t>sonantibus</w:t>
      </w:r>
      <w:proofErr w:type="spellEnd"/>
      <w:r w:rsidRPr="000509EE">
        <w:t xml:space="preserve"> </w:t>
      </w:r>
      <w:proofErr w:type="spellStart"/>
      <w:r w:rsidRPr="000509EE">
        <w:t>laudate</w:t>
      </w:r>
      <w:proofErr w:type="spellEnd"/>
      <w:r w:rsidRPr="000509EE">
        <w:t xml:space="preserve"> </w:t>
      </w:r>
      <w:proofErr w:type="spellStart"/>
      <w:r w:rsidRPr="000509EE">
        <w:t>eum</w:t>
      </w:r>
      <w:proofErr w:type="spellEnd"/>
      <w:r w:rsidRPr="000509EE">
        <w:t xml:space="preserve"> in </w:t>
      </w:r>
      <w:proofErr w:type="spellStart"/>
      <w:r w:rsidRPr="000509EE">
        <w:t>cymbalis</w:t>
      </w:r>
      <w:proofErr w:type="spellEnd"/>
      <w:r w:rsidRPr="000509EE">
        <w:t xml:space="preserve"> </w:t>
      </w:r>
      <w:proofErr w:type="spellStart"/>
      <w:r w:rsidRPr="000509EE">
        <w:t>iubilationis</w:t>
      </w:r>
      <w:proofErr w:type="spellEnd"/>
      <w:r w:rsidRPr="000509EE">
        <w:t xml:space="preserve">.” </w:t>
      </w:r>
      <w:proofErr w:type="spellStart"/>
      <w:r w:rsidRPr="005601AB">
        <w:rPr>
          <w:i/>
          <w:iCs/>
        </w:rPr>
        <w:t>Vulgata</w:t>
      </w:r>
      <w:proofErr w:type="spellEnd"/>
      <w:r w:rsidRPr="00D252A8">
        <w:t xml:space="preserve">, </w:t>
      </w:r>
      <w:proofErr w:type="spellStart"/>
      <w:r w:rsidRPr="00D252A8">
        <w:t>Psalmi</w:t>
      </w:r>
      <w:proofErr w:type="spellEnd"/>
      <w:r w:rsidRPr="00D252A8">
        <w:t xml:space="preserve"> 150:3-5</w:t>
      </w:r>
      <w:r>
        <w:t xml:space="preserve">. English translation from </w:t>
      </w:r>
      <w:r w:rsidRPr="000509EE">
        <w:t>Psalm 150 :3-5, English Standard Version.</w:t>
      </w:r>
    </w:p>
  </w:footnote>
  <w:footnote w:id="349">
    <w:p w14:paraId="76D52574" w14:textId="77777777" w:rsidR="00182EED" w:rsidRDefault="00182EED" w:rsidP="008A116C">
      <w:pPr>
        <w:pStyle w:val="FootnoteText"/>
      </w:pPr>
      <w:r w:rsidRPr="00073E38">
        <w:rPr>
          <w:rStyle w:val="FootnoteReference"/>
        </w:rPr>
        <w:footnoteRef/>
      </w:r>
      <w:r>
        <w:t xml:space="preserve"> </w:t>
      </w:r>
      <w:r w:rsidRPr="00FE77A6">
        <w:rPr>
          <w:lang w:val="en-US"/>
        </w:rPr>
        <w:t xml:space="preserve">See </w:t>
      </w:r>
      <w:proofErr w:type="spellStart"/>
      <w:r w:rsidRPr="00FE77A6">
        <w:rPr>
          <w:lang w:val="en-US"/>
        </w:rPr>
        <w:t>Rastall</w:t>
      </w:r>
      <w:proofErr w:type="spellEnd"/>
      <w:r w:rsidRPr="00FE77A6">
        <w:rPr>
          <w:lang w:val="en-US"/>
        </w:rPr>
        <w:t>, “Heaven: The Musical Repertory,” 171.</w:t>
      </w:r>
    </w:p>
  </w:footnote>
  <w:footnote w:id="350">
    <w:p w14:paraId="6A0AC2B5" w14:textId="77777777" w:rsidR="00182EED" w:rsidRDefault="00182EED" w:rsidP="008A116C">
      <w:pPr>
        <w:pStyle w:val="FootnoteText"/>
      </w:pPr>
      <w:r w:rsidRPr="00073E38">
        <w:rPr>
          <w:rStyle w:val="FootnoteReference"/>
        </w:rPr>
        <w:footnoteRef/>
      </w:r>
      <w:r>
        <w:t xml:space="preserve"> </w:t>
      </w:r>
      <w:r w:rsidRPr="00851643">
        <w:rPr>
          <w:lang w:val="en-US"/>
        </w:rPr>
        <w:t xml:space="preserve">Johannes Tinctoris, “Opus </w:t>
      </w:r>
      <w:proofErr w:type="spellStart"/>
      <w:r w:rsidRPr="00851643">
        <w:rPr>
          <w:lang w:val="en-US"/>
        </w:rPr>
        <w:t>Musices</w:t>
      </w:r>
      <w:proofErr w:type="spellEnd"/>
      <w:r w:rsidRPr="00851643">
        <w:rPr>
          <w:lang w:val="en-US"/>
        </w:rPr>
        <w:t>” ca 1483, MS. 835 fol.2r.</w:t>
      </w:r>
    </w:p>
  </w:footnote>
  <w:footnote w:id="351">
    <w:p w14:paraId="39DC856D" w14:textId="77777777" w:rsidR="00182EED" w:rsidRDefault="00182EED" w:rsidP="008A116C">
      <w:pPr>
        <w:pStyle w:val="FootnoteText"/>
      </w:pPr>
      <w:r w:rsidRPr="00073E38">
        <w:rPr>
          <w:rStyle w:val="FootnoteReference"/>
        </w:rPr>
        <w:footnoteRef/>
      </w:r>
      <w:r>
        <w:t xml:space="preserve"> </w:t>
      </w:r>
      <w:r w:rsidRPr="00832402">
        <w:rPr>
          <w:lang w:val="en-US"/>
        </w:rPr>
        <w:t xml:space="preserve">On Luca </w:t>
      </w:r>
      <w:proofErr w:type="spellStart"/>
      <w:r w:rsidRPr="00832402">
        <w:rPr>
          <w:lang w:val="en-US"/>
        </w:rPr>
        <w:t>della</w:t>
      </w:r>
      <w:proofErr w:type="spellEnd"/>
      <w:r w:rsidRPr="00832402">
        <w:rPr>
          <w:lang w:val="en-US"/>
        </w:rPr>
        <w:t xml:space="preserve"> </w:t>
      </w:r>
      <w:proofErr w:type="spellStart"/>
      <w:r w:rsidRPr="00832402">
        <w:rPr>
          <w:lang w:val="en-US"/>
        </w:rPr>
        <w:t>Robbia’s</w:t>
      </w:r>
      <w:proofErr w:type="spellEnd"/>
      <w:r w:rsidRPr="00832402">
        <w:rPr>
          <w:lang w:val="en-US"/>
        </w:rPr>
        <w:t xml:space="preserve"> </w:t>
      </w:r>
      <w:proofErr w:type="spellStart"/>
      <w:r w:rsidRPr="00832402">
        <w:rPr>
          <w:lang w:val="en-US"/>
        </w:rPr>
        <w:t>Cantoria</w:t>
      </w:r>
      <w:proofErr w:type="spellEnd"/>
      <w:r w:rsidRPr="00832402">
        <w:rPr>
          <w:lang w:val="en-US"/>
        </w:rPr>
        <w:t xml:space="preserve"> see especially Gary M Radke, </w:t>
      </w:r>
      <w:r w:rsidRPr="00832402">
        <w:rPr>
          <w:i/>
          <w:iCs/>
          <w:lang w:val="en-US"/>
        </w:rPr>
        <w:t>Make a Joyful Noise: Renaissance Art and Music at Florence Cathedral</w:t>
      </w:r>
      <w:r w:rsidRPr="00832402">
        <w:rPr>
          <w:lang w:val="en-US"/>
        </w:rPr>
        <w:t xml:space="preserve"> (New Haven: Yale University Press, 2014).</w:t>
      </w:r>
    </w:p>
  </w:footnote>
  <w:footnote w:id="352">
    <w:p w14:paraId="5BF7811C" w14:textId="77777777" w:rsidR="00182EED" w:rsidRDefault="00182EED" w:rsidP="008A116C">
      <w:pPr>
        <w:pStyle w:val="FootnoteText"/>
      </w:pPr>
      <w:r w:rsidRPr="00073E38">
        <w:rPr>
          <w:rStyle w:val="FootnoteReference"/>
        </w:rPr>
        <w:footnoteRef/>
      </w:r>
      <w:r>
        <w:t xml:space="preserve"> </w:t>
      </w:r>
      <w:r w:rsidRPr="00115185">
        <w:rPr>
          <w:lang w:val="en-US"/>
        </w:rPr>
        <w:t xml:space="preserve">Meredith J. Gill, </w:t>
      </w:r>
      <w:r w:rsidRPr="00115185">
        <w:rPr>
          <w:i/>
          <w:iCs/>
          <w:lang w:val="en-US"/>
        </w:rPr>
        <w:t>Angels and the Order of Heaven in Medieval and Renaissance Italy</w:t>
      </w:r>
      <w:r w:rsidRPr="00115185">
        <w:rPr>
          <w:lang w:val="en-US"/>
        </w:rPr>
        <w:t xml:space="preserve"> (Cambridge: Cambridge University Press, 2014), 124.</w:t>
      </w:r>
    </w:p>
  </w:footnote>
  <w:footnote w:id="353">
    <w:p w14:paraId="4120F932" w14:textId="77777777" w:rsidR="00182EED" w:rsidRDefault="00182EED" w:rsidP="008A116C">
      <w:pPr>
        <w:pStyle w:val="FootnoteText"/>
      </w:pPr>
      <w:r w:rsidRPr="00073E38">
        <w:rPr>
          <w:rStyle w:val="FootnoteReference"/>
        </w:rPr>
        <w:footnoteRef/>
      </w:r>
      <w:r>
        <w:t xml:space="preserve"> </w:t>
      </w:r>
      <w:r w:rsidRPr="00832402">
        <w:rPr>
          <w:lang w:val="en-US"/>
        </w:rPr>
        <w:t xml:space="preserve">Susan Grange, </w:t>
      </w:r>
      <w:r w:rsidRPr="00832402">
        <w:rPr>
          <w:i/>
          <w:iCs/>
          <w:lang w:val="en-US"/>
        </w:rPr>
        <w:t>Giovanni Bellini: Music, Art and Venice</w:t>
      </w:r>
      <w:r w:rsidRPr="00832402">
        <w:rPr>
          <w:lang w:val="en-US"/>
        </w:rPr>
        <w:t xml:space="preserve"> (Bloomington, IN: </w:t>
      </w:r>
      <w:proofErr w:type="spellStart"/>
      <w:r w:rsidRPr="00832402">
        <w:rPr>
          <w:lang w:val="en-US"/>
        </w:rPr>
        <w:t>Authorhouse</w:t>
      </w:r>
      <w:proofErr w:type="spellEnd"/>
      <w:r w:rsidRPr="00832402">
        <w:rPr>
          <w:lang w:val="en-US"/>
        </w:rPr>
        <w:t>, 2014), 145.</w:t>
      </w:r>
    </w:p>
  </w:footnote>
  <w:footnote w:id="354">
    <w:p w14:paraId="2904CDD4" w14:textId="77777777" w:rsidR="00182EED" w:rsidRDefault="00182EED" w:rsidP="008A116C">
      <w:pPr>
        <w:pStyle w:val="FootnoteText"/>
      </w:pPr>
      <w:r w:rsidRPr="00073E38">
        <w:rPr>
          <w:rStyle w:val="FootnoteReference"/>
        </w:rPr>
        <w:footnoteRef/>
      </w:r>
      <w:r>
        <w:t xml:space="preserve"> </w:t>
      </w:r>
      <w:r w:rsidRPr="00832402">
        <w:rPr>
          <w:lang w:val="en-US"/>
        </w:rPr>
        <w:t xml:space="preserve">The </w:t>
      </w:r>
      <w:proofErr w:type="spellStart"/>
      <w:r w:rsidRPr="00832402">
        <w:rPr>
          <w:i/>
          <w:iCs/>
          <w:lang w:val="en-US"/>
        </w:rPr>
        <w:t>Legenda</w:t>
      </w:r>
      <w:proofErr w:type="spellEnd"/>
      <w:r w:rsidRPr="00832402">
        <w:rPr>
          <w:i/>
          <w:iCs/>
          <w:lang w:val="en-US"/>
        </w:rPr>
        <w:t xml:space="preserve"> Aurea</w:t>
      </w:r>
      <w:r w:rsidRPr="00832402">
        <w:rPr>
          <w:lang w:val="en-US"/>
        </w:rPr>
        <w:t xml:space="preserve"> was printed in numerous Italian editions both in Latin and in the vernacular from 1475; See Anne Jacobson Schutte, </w:t>
      </w:r>
      <w:r w:rsidRPr="00832402">
        <w:rPr>
          <w:i/>
          <w:iCs/>
          <w:lang w:val="en-US"/>
        </w:rPr>
        <w:t>Printed Italian Vernacular Religious Books 1465-1550 : A Finding List</w:t>
      </w:r>
      <w:r w:rsidRPr="00832402">
        <w:rPr>
          <w:lang w:val="en-US"/>
        </w:rPr>
        <w:t xml:space="preserve"> (Geneva: </w:t>
      </w:r>
      <w:proofErr w:type="spellStart"/>
      <w:r w:rsidRPr="00832402">
        <w:rPr>
          <w:lang w:val="en-US"/>
        </w:rPr>
        <w:t>Droz</w:t>
      </w:r>
      <w:proofErr w:type="spellEnd"/>
      <w:r w:rsidRPr="00832402">
        <w:rPr>
          <w:lang w:val="en-US"/>
        </w:rPr>
        <w:t xml:space="preserve">, 1983), 321–23; Paul F. </w:t>
      </w:r>
      <w:proofErr w:type="spellStart"/>
      <w:r w:rsidRPr="00832402">
        <w:rPr>
          <w:lang w:val="en-US"/>
        </w:rPr>
        <w:t>Grendler</w:t>
      </w:r>
      <w:proofErr w:type="spellEnd"/>
      <w:r w:rsidRPr="00832402">
        <w:rPr>
          <w:lang w:val="en-US"/>
        </w:rPr>
        <w:t xml:space="preserve">, </w:t>
      </w:r>
      <w:r w:rsidRPr="00832402">
        <w:rPr>
          <w:i/>
          <w:iCs/>
          <w:lang w:val="en-US"/>
        </w:rPr>
        <w:t>Schooling in Renaissance Italy: Literacy and Learning, 1300-1600</w:t>
      </w:r>
      <w:r w:rsidRPr="00832402">
        <w:rPr>
          <w:lang w:val="en-US"/>
        </w:rPr>
        <w:t xml:space="preserve">, Reprint edition (Baltimore and London: The Johns Hopkins University Press, 1989), 282–85; Grange, </w:t>
      </w:r>
      <w:r w:rsidRPr="00832402">
        <w:rPr>
          <w:i/>
          <w:iCs/>
          <w:lang w:val="en-US"/>
        </w:rPr>
        <w:t>Giovanni Bellini: Music, Art and Venice</w:t>
      </w:r>
      <w:r w:rsidRPr="00832402">
        <w:rPr>
          <w:lang w:val="en-US"/>
        </w:rPr>
        <w:t xml:space="preserve">, 143; Hammerstein, </w:t>
      </w:r>
      <w:r w:rsidRPr="00832402">
        <w:rPr>
          <w:i/>
          <w:iCs/>
          <w:lang w:val="en-US"/>
        </w:rPr>
        <w:t xml:space="preserve">Die </w:t>
      </w:r>
      <w:proofErr w:type="spellStart"/>
      <w:r w:rsidRPr="00832402">
        <w:rPr>
          <w:i/>
          <w:iCs/>
          <w:lang w:val="en-US"/>
        </w:rPr>
        <w:t>Musik</w:t>
      </w:r>
      <w:proofErr w:type="spellEnd"/>
      <w:r w:rsidRPr="00832402">
        <w:rPr>
          <w:i/>
          <w:iCs/>
          <w:lang w:val="en-US"/>
        </w:rPr>
        <w:t xml:space="preserve"> der Engel</w:t>
      </w:r>
      <w:r w:rsidRPr="00832402">
        <w:rPr>
          <w:lang w:val="en-US"/>
        </w:rPr>
        <w:t>, 60.</w:t>
      </w:r>
    </w:p>
  </w:footnote>
  <w:footnote w:id="355">
    <w:p w14:paraId="38590F9D" w14:textId="77777777" w:rsidR="00182EED" w:rsidRDefault="00182EED" w:rsidP="008A116C">
      <w:pPr>
        <w:pStyle w:val="FootnoteText"/>
      </w:pPr>
      <w:r w:rsidRPr="00073E38">
        <w:rPr>
          <w:rStyle w:val="FootnoteReference"/>
        </w:rPr>
        <w:footnoteRef/>
      </w:r>
      <w:r>
        <w:t xml:space="preserve"> </w:t>
      </w:r>
      <w:r w:rsidRPr="00832402">
        <w:rPr>
          <w:lang w:val="en-US"/>
        </w:rPr>
        <w:t xml:space="preserve">Powers, “The Lira </w:t>
      </w:r>
      <w:r w:rsidRPr="00832402">
        <w:rPr>
          <w:lang w:val="en-US"/>
        </w:rPr>
        <w:t>Da Braccio in the Angel’s Hands in Italian Renaissance Madonna Enthroned Paintings,” 21.</w:t>
      </w:r>
    </w:p>
  </w:footnote>
  <w:footnote w:id="356">
    <w:p w14:paraId="4BB8CC75" w14:textId="77777777" w:rsidR="00182EED" w:rsidRDefault="00182EED" w:rsidP="008A116C">
      <w:pPr>
        <w:pStyle w:val="FootnoteText"/>
      </w:pPr>
      <w:r w:rsidRPr="00073E38">
        <w:rPr>
          <w:rStyle w:val="FootnoteReference"/>
        </w:rPr>
        <w:footnoteRef/>
      </w:r>
      <w:r>
        <w:t xml:space="preserve"> </w:t>
      </w:r>
      <w:r w:rsidRPr="00004ED2">
        <w:rPr>
          <w:lang w:val="en-US"/>
        </w:rPr>
        <w:t xml:space="preserve">Katherine </w:t>
      </w:r>
      <w:proofErr w:type="spellStart"/>
      <w:r w:rsidRPr="00004ED2">
        <w:rPr>
          <w:lang w:val="en-US"/>
        </w:rPr>
        <w:t>Tycz</w:t>
      </w:r>
      <w:proofErr w:type="spellEnd"/>
      <w:r w:rsidRPr="00004ED2">
        <w:rPr>
          <w:lang w:val="en-US"/>
        </w:rPr>
        <w:t xml:space="preserve">, “Praying for Protection,” in </w:t>
      </w:r>
      <w:proofErr w:type="spellStart"/>
      <w:r w:rsidRPr="00004ED2">
        <w:rPr>
          <w:i/>
          <w:iCs/>
          <w:lang w:val="en-US"/>
        </w:rPr>
        <w:t>Madonnas</w:t>
      </w:r>
      <w:proofErr w:type="spellEnd"/>
      <w:r w:rsidRPr="00004ED2">
        <w:rPr>
          <w:i/>
          <w:iCs/>
          <w:lang w:val="en-US"/>
        </w:rPr>
        <w:t xml:space="preserve"> &amp; Miracles: The Holy Home in Renaissance Italy</w:t>
      </w:r>
      <w:r w:rsidRPr="00004ED2">
        <w:rPr>
          <w:lang w:val="en-US"/>
        </w:rPr>
        <w:t xml:space="preserve">, </w:t>
      </w:r>
      <w:proofErr w:type="spellStart"/>
      <w:r w:rsidRPr="00004ED2">
        <w:rPr>
          <w:lang w:val="en-US"/>
        </w:rPr>
        <w:t>Exh.Cat</w:t>
      </w:r>
      <w:proofErr w:type="spellEnd"/>
      <w:r w:rsidRPr="00004ED2">
        <w:rPr>
          <w:lang w:val="en-US"/>
        </w:rPr>
        <w:t xml:space="preserve">., ed. Maya Corry, Deborah Howard, and Mary </w:t>
      </w:r>
      <w:proofErr w:type="spellStart"/>
      <w:r w:rsidRPr="00004ED2">
        <w:rPr>
          <w:lang w:val="en-US"/>
        </w:rPr>
        <w:t>Laven</w:t>
      </w:r>
      <w:proofErr w:type="spellEnd"/>
      <w:r w:rsidRPr="00004ED2">
        <w:rPr>
          <w:lang w:val="en-US"/>
        </w:rPr>
        <w:t xml:space="preserve"> (Cambridge: The Fitzwilliam Museum, 2017), 115.</w:t>
      </w:r>
    </w:p>
  </w:footnote>
  <w:footnote w:id="357">
    <w:p w14:paraId="0B8876DB" w14:textId="77777777" w:rsidR="00182EED" w:rsidRDefault="00182EED" w:rsidP="008A116C">
      <w:pPr>
        <w:pStyle w:val="FootnoteText"/>
      </w:pPr>
      <w:r w:rsidRPr="00073E38">
        <w:rPr>
          <w:rStyle w:val="FootnoteReference"/>
        </w:rPr>
        <w:footnoteRef/>
      </w:r>
      <w:r>
        <w:t xml:space="preserve"> </w:t>
      </w:r>
      <w:r w:rsidRPr="00344D74">
        <w:rPr>
          <w:lang w:val="en-US"/>
        </w:rPr>
        <w:t xml:space="preserve">On Walter Frye’s composition David J Rothenberg, </w:t>
      </w:r>
      <w:r w:rsidRPr="00344D74">
        <w:rPr>
          <w:i/>
          <w:iCs/>
          <w:lang w:val="en-US"/>
        </w:rPr>
        <w:t>The Flower of Paradise: Marian Devotion and Secular Song in Medieval and Renaissance Music</w:t>
      </w:r>
      <w:r w:rsidRPr="00344D74">
        <w:rPr>
          <w:lang w:val="en-US"/>
        </w:rPr>
        <w:t xml:space="preserve"> (New York: Oxford University Press, 2014), 123–50; Paolo Emilio </w:t>
      </w:r>
      <w:proofErr w:type="spellStart"/>
      <w:r w:rsidRPr="00344D74">
        <w:rPr>
          <w:lang w:val="en-US"/>
        </w:rPr>
        <w:t>Carapezza</w:t>
      </w:r>
      <w:proofErr w:type="spellEnd"/>
      <w:r w:rsidRPr="00344D74">
        <w:rPr>
          <w:lang w:val="en-US"/>
        </w:rPr>
        <w:t xml:space="preserve">, “Regina </w:t>
      </w:r>
      <w:proofErr w:type="spellStart"/>
      <w:r w:rsidRPr="00344D74">
        <w:rPr>
          <w:lang w:val="en-US"/>
        </w:rPr>
        <w:t>Angelorum</w:t>
      </w:r>
      <w:proofErr w:type="spellEnd"/>
      <w:r w:rsidRPr="00344D74">
        <w:rPr>
          <w:lang w:val="en-US"/>
        </w:rPr>
        <w:t xml:space="preserve"> in </w:t>
      </w:r>
      <w:proofErr w:type="spellStart"/>
      <w:r w:rsidRPr="00344D74">
        <w:rPr>
          <w:lang w:val="en-US"/>
        </w:rPr>
        <w:t>Musica</w:t>
      </w:r>
      <w:proofErr w:type="spellEnd"/>
      <w:r w:rsidRPr="00344D74">
        <w:rPr>
          <w:lang w:val="en-US"/>
        </w:rPr>
        <w:t xml:space="preserve"> </w:t>
      </w:r>
      <w:proofErr w:type="spellStart"/>
      <w:r w:rsidRPr="00344D74">
        <w:rPr>
          <w:lang w:val="en-US"/>
        </w:rPr>
        <w:t>Picta</w:t>
      </w:r>
      <w:proofErr w:type="spellEnd"/>
      <w:r w:rsidRPr="00344D74">
        <w:rPr>
          <w:lang w:val="en-US"/>
        </w:rPr>
        <w:t xml:space="preserve">,” </w:t>
      </w:r>
      <w:proofErr w:type="spellStart"/>
      <w:r w:rsidRPr="00344D74">
        <w:rPr>
          <w:i/>
          <w:iCs/>
          <w:lang w:val="en-US"/>
        </w:rPr>
        <w:t>Rivista</w:t>
      </w:r>
      <w:proofErr w:type="spellEnd"/>
      <w:r w:rsidRPr="00344D74">
        <w:rPr>
          <w:i/>
          <w:iCs/>
          <w:lang w:val="en-US"/>
        </w:rPr>
        <w:t xml:space="preserve"> </w:t>
      </w:r>
      <w:proofErr w:type="spellStart"/>
      <w:r w:rsidRPr="00344D74">
        <w:rPr>
          <w:i/>
          <w:iCs/>
          <w:lang w:val="en-US"/>
        </w:rPr>
        <w:t>Italiana</w:t>
      </w:r>
      <w:proofErr w:type="spellEnd"/>
      <w:r w:rsidRPr="00344D74">
        <w:rPr>
          <w:i/>
          <w:iCs/>
          <w:lang w:val="en-US"/>
        </w:rPr>
        <w:t xml:space="preserve"> Di </w:t>
      </w:r>
      <w:proofErr w:type="spellStart"/>
      <w:r w:rsidRPr="00344D74">
        <w:rPr>
          <w:i/>
          <w:iCs/>
          <w:lang w:val="en-US"/>
        </w:rPr>
        <w:t>Musicologia</w:t>
      </w:r>
      <w:proofErr w:type="spellEnd"/>
      <w:r w:rsidRPr="00344D74">
        <w:rPr>
          <w:lang w:val="en-US"/>
        </w:rPr>
        <w:t xml:space="preserve"> 10 (1975): 137.</w:t>
      </w:r>
    </w:p>
  </w:footnote>
  <w:footnote w:id="358">
    <w:p w14:paraId="0D445494" w14:textId="77777777" w:rsidR="00182EED" w:rsidRDefault="00182EED" w:rsidP="008A116C">
      <w:pPr>
        <w:pStyle w:val="FootnoteText"/>
      </w:pPr>
      <w:r w:rsidRPr="00073E38">
        <w:rPr>
          <w:rStyle w:val="FootnoteReference"/>
        </w:rPr>
        <w:footnoteRef/>
      </w:r>
      <w:r>
        <w:t xml:space="preserve"> </w:t>
      </w:r>
      <w:r w:rsidRPr="00344D74">
        <w:rPr>
          <w:lang w:val="en-US"/>
        </w:rPr>
        <w:t xml:space="preserve">Brown, “Trecento Angels and the Instruments They Play,” 112; On musical angels see Hammerstein, </w:t>
      </w:r>
      <w:r w:rsidRPr="00344D74">
        <w:rPr>
          <w:i/>
          <w:iCs/>
          <w:lang w:val="en-US"/>
        </w:rPr>
        <w:t xml:space="preserve">Die </w:t>
      </w:r>
      <w:proofErr w:type="spellStart"/>
      <w:r w:rsidRPr="00344D74">
        <w:rPr>
          <w:i/>
          <w:iCs/>
          <w:lang w:val="en-US"/>
        </w:rPr>
        <w:t>Musik</w:t>
      </w:r>
      <w:proofErr w:type="spellEnd"/>
      <w:r w:rsidRPr="00344D74">
        <w:rPr>
          <w:i/>
          <w:iCs/>
          <w:lang w:val="en-US"/>
        </w:rPr>
        <w:t xml:space="preserve"> der Engel</w:t>
      </w:r>
      <w:r w:rsidRPr="00344D74">
        <w:rPr>
          <w:lang w:val="en-US"/>
        </w:rPr>
        <w:t>, 1962.</w:t>
      </w:r>
    </w:p>
  </w:footnote>
  <w:footnote w:id="359">
    <w:p w14:paraId="116D5AE8" w14:textId="77777777" w:rsidR="00182EED" w:rsidRDefault="00182EED" w:rsidP="008A116C">
      <w:pPr>
        <w:pStyle w:val="FootnoteText"/>
      </w:pPr>
      <w:r w:rsidRPr="00073E38">
        <w:rPr>
          <w:rStyle w:val="FootnoteReference"/>
        </w:rPr>
        <w:footnoteRef/>
      </w:r>
      <w:r>
        <w:t xml:space="preserve"> </w:t>
      </w:r>
      <w:r w:rsidRPr="00344D74">
        <w:rPr>
          <w:lang w:val="en-US"/>
        </w:rPr>
        <w:t>“</w:t>
      </w:r>
      <w:proofErr w:type="spellStart"/>
      <w:r w:rsidRPr="00344D74">
        <w:rPr>
          <w:lang w:val="en-US"/>
        </w:rPr>
        <w:t>Pictores</w:t>
      </w:r>
      <w:proofErr w:type="spellEnd"/>
      <w:r w:rsidRPr="00344D74">
        <w:rPr>
          <w:lang w:val="en-US"/>
        </w:rPr>
        <w:t xml:space="preserve"> </w:t>
      </w:r>
      <w:proofErr w:type="spellStart"/>
      <w:r w:rsidRPr="00344D74">
        <w:rPr>
          <w:lang w:val="en-US"/>
        </w:rPr>
        <w:t>quando</w:t>
      </w:r>
      <w:proofErr w:type="spellEnd"/>
      <w:r w:rsidRPr="00344D74">
        <w:rPr>
          <w:lang w:val="en-US"/>
        </w:rPr>
        <w:t xml:space="preserve"> </w:t>
      </w:r>
      <w:proofErr w:type="spellStart"/>
      <w:r w:rsidRPr="00344D74">
        <w:rPr>
          <w:lang w:val="en-US"/>
        </w:rPr>
        <w:t>beatorum</w:t>
      </w:r>
      <w:proofErr w:type="spellEnd"/>
      <w:r w:rsidRPr="00344D74">
        <w:rPr>
          <w:lang w:val="en-US"/>
        </w:rPr>
        <w:t xml:space="preserve"> </w:t>
      </w:r>
      <w:proofErr w:type="spellStart"/>
      <w:r w:rsidRPr="00344D74">
        <w:rPr>
          <w:lang w:val="en-US"/>
        </w:rPr>
        <w:t>gaudia</w:t>
      </w:r>
      <w:proofErr w:type="spellEnd"/>
      <w:r w:rsidRPr="00344D74">
        <w:rPr>
          <w:lang w:val="en-US"/>
        </w:rPr>
        <w:t xml:space="preserve"> </w:t>
      </w:r>
      <w:proofErr w:type="spellStart"/>
      <w:r w:rsidRPr="00344D74">
        <w:rPr>
          <w:lang w:val="en-US"/>
        </w:rPr>
        <w:t>designare</w:t>
      </w:r>
      <w:proofErr w:type="spellEnd"/>
      <w:r w:rsidRPr="00344D74">
        <w:rPr>
          <w:lang w:val="en-US"/>
        </w:rPr>
        <w:t xml:space="preserve"> </w:t>
      </w:r>
      <w:proofErr w:type="spellStart"/>
      <w:r w:rsidRPr="00344D74">
        <w:rPr>
          <w:lang w:val="en-US"/>
        </w:rPr>
        <w:t>volunt</w:t>
      </w:r>
      <w:proofErr w:type="spellEnd"/>
      <w:r w:rsidRPr="00344D74">
        <w:rPr>
          <w:lang w:val="en-US"/>
        </w:rPr>
        <w:t xml:space="preserve">, </w:t>
      </w:r>
      <w:proofErr w:type="spellStart"/>
      <w:r w:rsidRPr="00344D74">
        <w:rPr>
          <w:lang w:val="en-US"/>
        </w:rPr>
        <w:t>angelos</w:t>
      </w:r>
      <w:proofErr w:type="spellEnd"/>
      <w:r w:rsidRPr="00344D74">
        <w:rPr>
          <w:lang w:val="en-US"/>
        </w:rPr>
        <w:t xml:space="preserve"> </w:t>
      </w:r>
      <w:proofErr w:type="spellStart"/>
      <w:r w:rsidRPr="00344D74">
        <w:rPr>
          <w:lang w:val="en-US"/>
        </w:rPr>
        <w:t>diversa</w:t>
      </w:r>
      <w:proofErr w:type="spellEnd"/>
      <w:r w:rsidRPr="00344D74">
        <w:rPr>
          <w:lang w:val="en-US"/>
        </w:rPr>
        <w:t xml:space="preserve"> </w:t>
      </w:r>
      <w:proofErr w:type="spellStart"/>
      <w:r w:rsidRPr="00344D74">
        <w:rPr>
          <w:lang w:val="en-US"/>
        </w:rPr>
        <w:t>instrumenta</w:t>
      </w:r>
      <w:proofErr w:type="spellEnd"/>
      <w:r w:rsidRPr="00344D74">
        <w:rPr>
          <w:lang w:val="en-US"/>
        </w:rPr>
        <w:t xml:space="preserve"> </w:t>
      </w:r>
      <w:proofErr w:type="spellStart"/>
      <w:r w:rsidRPr="00344D74">
        <w:rPr>
          <w:lang w:val="en-US"/>
        </w:rPr>
        <w:t>musica</w:t>
      </w:r>
      <w:proofErr w:type="spellEnd"/>
      <w:r w:rsidRPr="00344D74">
        <w:rPr>
          <w:lang w:val="en-US"/>
        </w:rPr>
        <w:t xml:space="preserve"> </w:t>
      </w:r>
      <w:proofErr w:type="spellStart"/>
      <w:r w:rsidRPr="00344D74">
        <w:rPr>
          <w:lang w:val="en-US"/>
        </w:rPr>
        <w:t>concrepantes</w:t>
      </w:r>
      <w:proofErr w:type="spellEnd"/>
      <w:r w:rsidRPr="00344D74">
        <w:rPr>
          <w:lang w:val="en-US"/>
        </w:rPr>
        <w:t xml:space="preserve"> </w:t>
      </w:r>
      <w:proofErr w:type="spellStart"/>
      <w:r w:rsidRPr="00344D74">
        <w:rPr>
          <w:lang w:val="en-US"/>
        </w:rPr>
        <w:t>depingunt</w:t>
      </w:r>
      <w:proofErr w:type="spellEnd"/>
      <w:r w:rsidRPr="00344D74">
        <w:rPr>
          <w:lang w:val="en-US"/>
        </w:rPr>
        <w:t xml:space="preserve">. Quod ecclesia non </w:t>
      </w:r>
      <w:proofErr w:type="spellStart"/>
      <w:r w:rsidRPr="00344D74">
        <w:rPr>
          <w:lang w:val="en-US"/>
        </w:rPr>
        <w:t>permitteret</w:t>
      </w:r>
      <w:proofErr w:type="spellEnd"/>
      <w:r w:rsidRPr="00344D74">
        <w:rPr>
          <w:lang w:val="en-US"/>
        </w:rPr>
        <w:t xml:space="preserve"> nisi </w:t>
      </w:r>
      <w:proofErr w:type="spellStart"/>
      <w:r w:rsidRPr="00344D74">
        <w:rPr>
          <w:lang w:val="en-US"/>
        </w:rPr>
        <w:t>gaudia</w:t>
      </w:r>
      <w:proofErr w:type="spellEnd"/>
      <w:r w:rsidRPr="00344D74">
        <w:rPr>
          <w:lang w:val="en-US"/>
        </w:rPr>
        <w:t xml:space="preserve"> </w:t>
      </w:r>
      <w:proofErr w:type="spellStart"/>
      <w:r w:rsidRPr="00344D74">
        <w:rPr>
          <w:lang w:val="en-US"/>
        </w:rPr>
        <w:t>beatorum</w:t>
      </w:r>
      <w:proofErr w:type="spellEnd"/>
      <w:r w:rsidRPr="00344D74">
        <w:rPr>
          <w:lang w:val="en-US"/>
        </w:rPr>
        <w:t xml:space="preserve"> </w:t>
      </w:r>
      <w:proofErr w:type="spellStart"/>
      <w:r w:rsidRPr="00344D74">
        <w:rPr>
          <w:lang w:val="en-US"/>
        </w:rPr>
        <w:t>musica</w:t>
      </w:r>
      <w:proofErr w:type="spellEnd"/>
      <w:r w:rsidRPr="00344D74">
        <w:rPr>
          <w:lang w:val="en-US"/>
        </w:rPr>
        <w:t xml:space="preserve"> </w:t>
      </w:r>
      <w:proofErr w:type="spellStart"/>
      <w:r w:rsidRPr="00344D74">
        <w:rPr>
          <w:lang w:val="en-US"/>
        </w:rPr>
        <w:t>amplificarit</w:t>
      </w:r>
      <w:proofErr w:type="spellEnd"/>
      <w:r w:rsidRPr="00344D74">
        <w:rPr>
          <w:lang w:val="en-US"/>
        </w:rPr>
        <w:t xml:space="preserve"> </w:t>
      </w:r>
      <w:proofErr w:type="spellStart"/>
      <w:r w:rsidRPr="00344D74">
        <w:rPr>
          <w:lang w:val="en-US"/>
        </w:rPr>
        <w:t>crederet</w:t>
      </w:r>
      <w:proofErr w:type="spellEnd"/>
      <w:r w:rsidRPr="00344D74">
        <w:rPr>
          <w:lang w:val="en-US"/>
        </w:rPr>
        <w:t xml:space="preserve">.” Johannes Tinctoris, “A Compendium of Music’s Effects,” in </w:t>
      </w:r>
      <w:r w:rsidRPr="00344D74">
        <w:rPr>
          <w:i/>
          <w:iCs/>
          <w:lang w:val="en-US"/>
        </w:rPr>
        <w:t>“That Liberal and Virtuous Art”: Three Humanist Treatises on Music</w:t>
      </w:r>
      <w:r w:rsidRPr="00344D74">
        <w:rPr>
          <w:lang w:val="en-US"/>
        </w:rPr>
        <w:t>, ed. and trans. J. Donald Cullington (Newtownabbey: University of Ulster, 2001), Third effect, par. 53–54, page 60.</w:t>
      </w:r>
    </w:p>
  </w:footnote>
  <w:footnote w:id="360">
    <w:p w14:paraId="2B451F0B" w14:textId="77777777" w:rsidR="00182EED" w:rsidRDefault="00182EED" w:rsidP="008A116C">
      <w:pPr>
        <w:pStyle w:val="FootnoteText"/>
      </w:pPr>
      <w:r w:rsidRPr="00073E38">
        <w:rPr>
          <w:rStyle w:val="FootnoteReference"/>
        </w:rPr>
        <w:footnoteRef/>
      </w:r>
      <w:r>
        <w:t xml:space="preserve"> </w:t>
      </w:r>
      <w:r w:rsidRPr="00344D74">
        <w:rPr>
          <w:lang w:val="en-US"/>
        </w:rPr>
        <w:t>“</w:t>
      </w:r>
      <w:proofErr w:type="spellStart"/>
      <w:r w:rsidRPr="00344D74">
        <w:rPr>
          <w:lang w:val="en-US"/>
        </w:rPr>
        <w:t>Musica</w:t>
      </w:r>
      <w:proofErr w:type="spellEnd"/>
      <w:r w:rsidRPr="00344D74">
        <w:rPr>
          <w:lang w:val="en-US"/>
        </w:rPr>
        <w:t xml:space="preserve"> angelica </w:t>
      </w:r>
      <w:proofErr w:type="spellStart"/>
      <w:r w:rsidRPr="00344D74">
        <w:rPr>
          <w:lang w:val="en-US"/>
        </w:rPr>
        <w:t>est</w:t>
      </w:r>
      <w:proofErr w:type="spellEnd"/>
      <w:r w:rsidRPr="00344D74">
        <w:rPr>
          <w:lang w:val="en-US"/>
        </w:rPr>
        <w:t xml:space="preserve"> </w:t>
      </w:r>
      <w:proofErr w:type="spellStart"/>
      <w:r w:rsidRPr="00344D74">
        <w:rPr>
          <w:lang w:val="en-US"/>
        </w:rPr>
        <w:t>illa</w:t>
      </w:r>
      <w:proofErr w:type="spellEnd"/>
      <w:r w:rsidRPr="00344D74">
        <w:rPr>
          <w:lang w:val="en-US"/>
        </w:rPr>
        <w:t xml:space="preserve"> </w:t>
      </w:r>
      <w:proofErr w:type="spellStart"/>
      <w:r w:rsidRPr="00344D74">
        <w:rPr>
          <w:lang w:val="en-US"/>
        </w:rPr>
        <w:t>quae</w:t>
      </w:r>
      <w:proofErr w:type="spellEnd"/>
      <w:r w:rsidRPr="00344D74">
        <w:rPr>
          <w:lang w:val="en-US"/>
        </w:rPr>
        <w:t xml:space="preserve"> ab </w:t>
      </w:r>
      <w:proofErr w:type="spellStart"/>
      <w:r w:rsidRPr="00344D74">
        <w:rPr>
          <w:lang w:val="en-US"/>
        </w:rPr>
        <w:t>angelis</w:t>
      </w:r>
      <w:proofErr w:type="spellEnd"/>
      <w:r w:rsidRPr="00344D74">
        <w:rPr>
          <w:lang w:val="en-US"/>
        </w:rPr>
        <w:t xml:space="preserve"> ante </w:t>
      </w:r>
      <w:proofErr w:type="spellStart"/>
      <w:r w:rsidRPr="00344D74">
        <w:rPr>
          <w:lang w:val="en-US"/>
        </w:rPr>
        <w:t>conspectum</w:t>
      </w:r>
      <w:proofErr w:type="spellEnd"/>
      <w:r w:rsidRPr="00344D74">
        <w:rPr>
          <w:lang w:val="en-US"/>
        </w:rPr>
        <w:t xml:space="preserve"> Dei semper </w:t>
      </w:r>
      <w:proofErr w:type="spellStart"/>
      <w:r w:rsidRPr="00344D74">
        <w:rPr>
          <w:lang w:val="en-US"/>
        </w:rPr>
        <w:t>administrat</w:t>
      </w:r>
      <w:proofErr w:type="spellEnd"/>
      <w:r w:rsidRPr="00344D74">
        <w:rPr>
          <w:lang w:val="en-US"/>
        </w:rPr>
        <w:t>[</w:t>
      </w:r>
      <w:proofErr w:type="spellStart"/>
      <w:r w:rsidRPr="00344D74">
        <w:rPr>
          <w:lang w:val="en-US"/>
        </w:rPr>
        <w:t>ur</w:t>
      </w:r>
      <w:proofErr w:type="spellEnd"/>
      <w:r w:rsidRPr="00344D74">
        <w:rPr>
          <w:lang w:val="en-US"/>
        </w:rPr>
        <w:t xml:space="preserve">].” Quoted in original Latin and English translation in Willem Elders, </w:t>
      </w:r>
      <w:r w:rsidRPr="00344D74">
        <w:rPr>
          <w:i/>
          <w:iCs/>
          <w:lang w:val="en-US"/>
        </w:rPr>
        <w:t>Symbolic Scores: Studies in the Music of the Renaissance</w:t>
      </w:r>
      <w:r w:rsidRPr="00344D74">
        <w:rPr>
          <w:lang w:val="en-US"/>
        </w:rPr>
        <w:t xml:space="preserve"> (Leiden; New York: E. J. Brill, 1994), 214; see also Oliver Huck, “The Music of the Angels in Fourteenth- and Early Fifteenth-Century Music,” </w:t>
      </w:r>
      <w:proofErr w:type="spellStart"/>
      <w:r w:rsidRPr="00344D74">
        <w:rPr>
          <w:i/>
          <w:iCs/>
          <w:lang w:val="en-US"/>
        </w:rPr>
        <w:t>Musica</w:t>
      </w:r>
      <w:proofErr w:type="spellEnd"/>
      <w:r w:rsidRPr="00344D74">
        <w:rPr>
          <w:i/>
          <w:iCs/>
          <w:lang w:val="en-US"/>
        </w:rPr>
        <w:t xml:space="preserve"> </w:t>
      </w:r>
      <w:proofErr w:type="spellStart"/>
      <w:r w:rsidRPr="00344D74">
        <w:rPr>
          <w:i/>
          <w:iCs/>
          <w:lang w:val="en-US"/>
        </w:rPr>
        <w:t>Disciplina</w:t>
      </w:r>
      <w:proofErr w:type="spellEnd"/>
      <w:r w:rsidRPr="00344D74">
        <w:rPr>
          <w:lang w:val="en-US"/>
        </w:rPr>
        <w:t xml:space="preserve"> 53 (2003): 187–89; Compare with </w:t>
      </w:r>
      <w:proofErr w:type="spellStart"/>
      <w:r w:rsidRPr="00344D74">
        <w:rPr>
          <w:lang w:val="en-US"/>
        </w:rPr>
        <w:t>Anicius</w:t>
      </w:r>
      <w:proofErr w:type="spellEnd"/>
      <w:r w:rsidRPr="00344D74">
        <w:rPr>
          <w:lang w:val="en-US"/>
        </w:rPr>
        <w:t xml:space="preserve"> Manlius Severinus Boethius, </w:t>
      </w:r>
      <w:r w:rsidRPr="00344D74">
        <w:rPr>
          <w:i/>
          <w:iCs/>
          <w:lang w:val="en-US"/>
        </w:rPr>
        <w:t xml:space="preserve">De </w:t>
      </w:r>
      <w:proofErr w:type="spellStart"/>
      <w:r w:rsidRPr="00344D74">
        <w:rPr>
          <w:i/>
          <w:iCs/>
          <w:lang w:val="en-US"/>
        </w:rPr>
        <w:t>institutione</w:t>
      </w:r>
      <w:proofErr w:type="spellEnd"/>
      <w:r w:rsidRPr="00344D74">
        <w:rPr>
          <w:i/>
          <w:iCs/>
          <w:lang w:val="en-US"/>
        </w:rPr>
        <w:t xml:space="preserve"> </w:t>
      </w:r>
      <w:proofErr w:type="spellStart"/>
      <w:r w:rsidRPr="00344D74">
        <w:rPr>
          <w:i/>
          <w:iCs/>
          <w:lang w:val="en-US"/>
        </w:rPr>
        <w:t>arithmetica</w:t>
      </w:r>
      <w:proofErr w:type="spellEnd"/>
      <w:r w:rsidRPr="00344D74">
        <w:rPr>
          <w:i/>
          <w:iCs/>
          <w:lang w:val="en-US"/>
        </w:rPr>
        <w:t xml:space="preserve"> libri duo; De </w:t>
      </w:r>
      <w:proofErr w:type="spellStart"/>
      <w:r w:rsidRPr="00344D74">
        <w:rPr>
          <w:i/>
          <w:iCs/>
          <w:lang w:val="en-US"/>
        </w:rPr>
        <w:t>institutione</w:t>
      </w:r>
      <w:proofErr w:type="spellEnd"/>
      <w:r w:rsidRPr="00344D74">
        <w:rPr>
          <w:i/>
          <w:iCs/>
          <w:lang w:val="en-US"/>
        </w:rPr>
        <w:t xml:space="preserve"> </w:t>
      </w:r>
      <w:proofErr w:type="spellStart"/>
      <w:r w:rsidRPr="00344D74">
        <w:rPr>
          <w:i/>
          <w:iCs/>
          <w:lang w:val="en-US"/>
        </w:rPr>
        <w:t>musica</w:t>
      </w:r>
      <w:proofErr w:type="spellEnd"/>
      <w:r w:rsidRPr="00344D74">
        <w:rPr>
          <w:i/>
          <w:iCs/>
          <w:lang w:val="en-US"/>
        </w:rPr>
        <w:t xml:space="preserve"> libri </w:t>
      </w:r>
      <w:proofErr w:type="spellStart"/>
      <w:r w:rsidRPr="00344D74">
        <w:rPr>
          <w:i/>
          <w:iCs/>
          <w:lang w:val="en-US"/>
        </w:rPr>
        <w:t>quinque</w:t>
      </w:r>
      <w:proofErr w:type="spellEnd"/>
      <w:r w:rsidRPr="00344D74">
        <w:rPr>
          <w:lang w:val="en-US"/>
        </w:rPr>
        <w:t xml:space="preserve">, ed. Gottfried </w:t>
      </w:r>
      <w:proofErr w:type="spellStart"/>
      <w:r w:rsidRPr="00344D74">
        <w:rPr>
          <w:lang w:val="en-US"/>
        </w:rPr>
        <w:t>Friedlein</w:t>
      </w:r>
      <w:proofErr w:type="spellEnd"/>
      <w:r w:rsidRPr="00344D74">
        <w:rPr>
          <w:lang w:val="en-US"/>
        </w:rPr>
        <w:t xml:space="preserve"> (</w:t>
      </w:r>
      <w:proofErr w:type="spellStart"/>
      <w:r w:rsidRPr="00344D74">
        <w:rPr>
          <w:lang w:val="en-US"/>
        </w:rPr>
        <w:t>Lipsiae</w:t>
      </w:r>
      <w:proofErr w:type="spellEnd"/>
      <w:r w:rsidRPr="00344D74">
        <w:rPr>
          <w:lang w:val="en-US"/>
        </w:rPr>
        <w:t xml:space="preserve">: B.G. Teubner, 1867), 187–89; </w:t>
      </w:r>
      <w:proofErr w:type="spellStart"/>
      <w:r w:rsidRPr="00344D74">
        <w:rPr>
          <w:lang w:val="en-US"/>
        </w:rPr>
        <w:t>Anicius</w:t>
      </w:r>
      <w:proofErr w:type="spellEnd"/>
      <w:r w:rsidRPr="00344D74">
        <w:rPr>
          <w:lang w:val="en-US"/>
        </w:rPr>
        <w:t xml:space="preserve"> Manlius Severinus Boethius, </w:t>
      </w:r>
      <w:r w:rsidRPr="00344D74">
        <w:rPr>
          <w:i/>
          <w:iCs/>
          <w:lang w:val="en-US"/>
        </w:rPr>
        <w:t>Fundamentals of Music</w:t>
      </w:r>
      <w:r w:rsidRPr="00344D74">
        <w:rPr>
          <w:lang w:val="en-US"/>
        </w:rPr>
        <w:t xml:space="preserve">, ed. Claude V. </w:t>
      </w:r>
      <w:proofErr w:type="spellStart"/>
      <w:r w:rsidRPr="00344D74">
        <w:rPr>
          <w:lang w:val="en-US"/>
        </w:rPr>
        <w:t>Palisca</w:t>
      </w:r>
      <w:proofErr w:type="spellEnd"/>
      <w:r w:rsidRPr="00344D74">
        <w:rPr>
          <w:lang w:val="en-US"/>
        </w:rPr>
        <w:t>, trans. Calvin M. Bower (New Haven and London: Yale University Press, 1989), 9–10.</w:t>
      </w:r>
    </w:p>
  </w:footnote>
  <w:footnote w:id="361">
    <w:p w14:paraId="15C4BBA5" w14:textId="77777777" w:rsidR="00182EED" w:rsidRDefault="00182EED" w:rsidP="008A116C">
      <w:pPr>
        <w:pStyle w:val="FootnoteText"/>
      </w:pPr>
      <w:r w:rsidRPr="00073E38">
        <w:rPr>
          <w:rStyle w:val="FootnoteReference"/>
        </w:rPr>
        <w:footnoteRef/>
      </w:r>
      <w:r>
        <w:t xml:space="preserve"> </w:t>
      </w:r>
      <w:r w:rsidRPr="00685A2C">
        <w:rPr>
          <w:lang w:val="en-US"/>
        </w:rPr>
        <w:t>For Jewish and Christian views on the language that angels speak (whether Hebrew or an esoteric heavenly language) see John C</w:t>
      </w:r>
      <w:r>
        <w:rPr>
          <w:lang w:val="en-US"/>
        </w:rPr>
        <w:t>.</w:t>
      </w:r>
      <w:r w:rsidRPr="00685A2C">
        <w:rPr>
          <w:lang w:val="en-US"/>
        </w:rPr>
        <w:t xml:space="preserve"> Poirier, </w:t>
      </w:r>
      <w:r w:rsidRPr="00685A2C">
        <w:rPr>
          <w:i/>
          <w:iCs/>
          <w:lang w:val="en-US"/>
        </w:rPr>
        <w:t>The Tongues of Angels: The Concept of Angelic Languages in Classical Jewish and Christian Texts</w:t>
      </w:r>
      <w:r w:rsidRPr="00685A2C">
        <w:rPr>
          <w:lang w:val="en-US"/>
        </w:rPr>
        <w:t xml:space="preserve"> (Tübingen: Mohr </w:t>
      </w:r>
      <w:proofErr w:type="spellStart"/>
      <w:r w:rsidRPr="00685A2C">
        <w:rPr>
          <w:lang w:val="en-US"/>
        </w:rPr>
        <w:t>Siebeck</w:t>
      </w:r>
      <w:proofErr w:type="spellEnd"/>
      <w:r w:rsidRPr="00685A2C">
        <w:rPr>
          <w:lang w:val="en-US"/>
        </w:rPr>
        <w:t>, 2010).</w:t>
      </w:r>
    </w:p>
  </w:footnote>
  <w:footnote w:id="362">
    <w:p w14:paraId="375F69D5" w14:textId="77777777" w:rsidR="00182EED" w:rsidRDefault="00182EED" w:rsidP="008A116C">
      <w:pPr>
        <w:pStyle w:val="FootnoteText"/>
      </w:pPr>
      <w:r w:rsidRPr="00073E38">
        <w:rPr>
          <w:rStyle w:val="FootnoteReference"/>
        </w:rPr>
        <w:footnoteRef/>
      </w:r>
      <w:r>
        <w:t xml:space="preserve"> </w:t>
      </w:r>
      <w:r w:rsidRPr="00685A2C">
        <w:rPr>
          <w:lang w:val="en-US"/>
        </w:rPr>
        <w:t>Huck, “The Music of the Angels in Fourteenth- and Early Fifteenth-Century Music,” 101.</w:t>
      </w:r>
    </w:p>
  </w:footnote>
  <w:footnote w:id="363">
    <w:p w14:paraId="626BCF64" w14:textId="77777777" w:rsidR="00182EED" w:rsidRDefault="00182EED" w:rsidP="008A116C">
      <w:pPr>
        <w:pStyle w:val="FootnoteText"/>
      </w:pPr>
      <w:r w:rsidRPr="00073E38">
        <w:rPr>
          <w:rStyle w:val="FootnoteReference"/>
        </w:rPr>
        <w:footnoteRef/>
      </w:r>
      <w:r>
        <w:t xml:space="preserve"> </w:t>
      </w:r>
      <w:r>
        <w:rPr>
          <w:noProof/>
        </w:rPr>
        <w:t>Ibid.</w:t>
      </w:r>
    </w:p>
  </w:footnote>
  <w:footnote w:id="364">
    <w:p w14:paraId="5D002650" w14:textId="77777777" w:rsidR="00182EED" w:rsidRDefault="00182EED" w:rsidP="008A116C">
      <w:pPr>
        <w:pStyle w:val="FootnoteText"/>
      </w:pPr>
      <w:r w:rsidRPr="00073E38">
        <w:rPr>
          <w:rStyle w:val="FootnoteReference"/>
        </w:rPr>
        <w:footnoteRef/>
      </w:r>
      <w:r>
        <w:t xml:space="preserve"> </w:t>
      </w:r>
      <w:r w:rsidRPr="00685A2C">
        <w:rPr>
          <w:lang w:val="en-US"/>
        </w:rPr>
        <w:t xml:space="preserve">See also </w:t>
      </w:r>
      <w:proofErr w:type="spellStart"/>
      <w:r w:rsidRPr="00685A2C">
        <w:rPr>
          <w:lang w:val="en-US"/>
        </w:rPr>
        <w:t>Rastall</w:t>
      </w:r>
      <w:proofErr w:type="spellEnd"/>
      <w:r w:rsidRPr="00685A2C">
        <w:rPr>
          <w:lang w:val="en-US"/>
        </w:rPr>
        <w:t>, “Heaven: The Musical Repertory,” 163.</w:t>
      </w:r>
    </w:p>
  </w:footnote>
  <w:footnote w:id="365">
    <w:p w14:paraId="69CAB5FC" w14:textId="77777777" w:rsidR="00182EED" w:rsidRDefault="00182EED" w:rsidP="008A116C">
      <w:pPr>
        <w:pStyle w:val="FootnoteText"/>
      </w:pPr>
      <w:r w:rsidRPr="00073E38">
        <w:rPr>
          <w:rStyle w:val="FootnoteReference"/>
        </w:rPr>
        <w:footnoteRef/>
      </w:r>
      <w:r>
        <w:t xml:space="preserve"> </w:t>
      </w:r>
      <w:r w:rsidRPr="00685A2C">
        <w:rPr>
          <w:lang w:val="en-US"/>
        </w:rPr>
        <w:t xml:space="preserve">Ibid., 146–65; see also Keck, </w:t>
      </w:r>
      <w:r w:rsidRPr="00685A2C">
        <w:rPr>
          <w:i/>
          <w:iCs/>
          <w:lang w:val="en-US"/>
        </w:rPr>
        <w:t>Angels and Angelology in the Middle Ages</w:t>
      </w:r>
      <w:r w:rsidRPr="00685A2C">
        <w:rPr>
          <w:lang w:val="en-US"/>
        </w:rPr>
        <w:t>, 64.</w:t>
      </w:r>
    </w:p>
  </w:footnote>
  <w:footnote w:id="366">
    <w:p w14:paraId="20B4661B" w14:textId="77777777" w:rsidR="00182EED" w:rsidRDefault="00182EED" w:rsidP="008A116C">
      <w:pPr>
        <w:pStyle w:val="FootnoteText"/>
      </w:pPr>
      <w:r w:rsidRPr="00073E38">
        <w:rPr>
          <w:rStyle w:val="FootnoteReference"/>
        </w:rPr>
        <w:footnoteRef/>
      </w:r>
      <w:r>
        <w:t xml:space="preserve"> </w:t>
      </w:r>
      <w:r w:rsidRPr="00115185">
        <w:rPr>
          <w:lang w:val="en-US"/>
        </w:rPr>
        <w:t xml:space="preserve">Gill, </w:t>
      </w:r>
      <w:r w:rsidRPr="00115185">
        <w:rPr>
          <w:i/>
          <w:iCs/>
          <w:lang w:val="en-US"/>
        </w:rPr>
        <w:t>Angels and the Order of Heaven in Medieval and Renaissance Italy</w:t>
      </w:r>
      <w:r w:rsidRPr="00115185">
        <w:rPr>
          <w:lang w:val="en-US"/>
        </w:rPr>
        <w:t xml:space="preserve">, 24; see also Keck, </w:t>
      </w:r>
      <w:r w:rsidRPr="00115185">
        <w:rPr>
          <w:i/>
          <w:iCs/>
          <w:lang w:val="en-US"/>
        </w:rPr>
        <w:t>Angels and Angelology in the Middle Ages</w:t>
      </w:r>
      <w:r w:rsidRPr="00115185">
        <w:rPr>
          <w:lang w:val="en-US"/>
        </w:rPr>
        <w:t>, 64.</w:t>
      </w:r>
    </w:p>
  </w:footnote>
  <w:footnote w:id="367">
    <w:p w14:paraId="43BDE051" w14:textId="77777777" w:rsidR="00182EED" w:rsidRDefault="00182EED" w:rsidP="008A116C">
      <w:pPr>
        <w:pStyle w:val="FootnoteText"/>
      </w:pPr>
      <w:r w:rsidRPr="00073E38">
        <w:rPr>
          <w:rStyle w:val="FootnoteReference"/>
        </w:rPr>
        <w:footnoteRef/>
      </w:r>
      <w:r>
        <w:t xml:space="preserve"> </w:t>
      </w:r>
      <w:r w:rsidRPr="00115185">
        <w:rPr>
          <w:lang w:val="en-US"/>
        </w:rPr>
        <w:t xml:space="preserve">See Gill, </w:t>
      </w:r>
      <w:r w:rsidRPr="00115185">
        <w:rPr>
          <w:i/>
          <w:iCs/>
          <w:lang w:val="en-US"/>
        </w:rPr>
        <w:t>Angels and the Order of Heaven in Medieval and Renaissance Italy</w:t>
      </w:r>
      <w:r w:rsidRPr="00115185">
        <w:rPr>
          <w:lang w:val="en-US"/>
        </w:rPr>
        <w:t xml:space="preserve">, 25; Keck, </w:t>
      </w:r>
      <w:r w:rsidRPr="00115185">
        <w:rPr>
          <w:i/>
          <w:iCs/>
          <w:lang w:val="en-US"/>
        </w:rPr>
        <w:t>Angels and Angelology in the Middle Ages</w:t>
      </w:r>
      <w:r w:rsidRPr="00115185">
        <w:rPr>
          <w:lang w:val="en-US"/>
        </w:rPr>
        <w:t>, 43.</w:t>
      </w:r>
    </w:p>
  </w:footnote>
  <w:footnote w:id="368">
    <w:p w14:paraId="66535A57" w14:textId="77777777" w:rsidR="00182EED" w:rsidRDefault="00182EED" w:rsidP="008A116C">
      <w:pPr>
        <w:pStyle w:val="FootnoteText"/>
      </w:pPr>
      <w:r w:rsidRPr="00073E38">
        <w:rPr>
          <w:rStyle w:val="FootnoteReference"/>
        </w:rPr>
        <w:footnoteRef/>
      </w:r>
      <w:r>
        <w:t xml:space="preserve"> </w:t>
      </w:r>
      <w:r w:rsidRPr="00115185">
        <w:rPr>
          <w:lang w:val="en-US"/>
        </w:rPr>
        <w:t xml:space="preserve">See Gill, </w:t>
      </w:r>
      <w:r w:rsidRPr="00115185">
        <w:rPr>
          <w:i/>
          <w:iCs/>
          <w:lang w:val="en-US"/>
        </w:rPr>
        <w:t>Angels and the Order of Heaven in Medieval and Renaissance Italy</w:t>
      </w:r>
      <w:r w:rsidRPr="00115185">
        <w:rPr>
          <w:lang w:val="en-US"/>
        </w:rPr>
        <w:t xml:space="preserve">, 25; Keck, </w:t>
      </w:r>
      <w:r w:rsidRPr="00115185">
        <w:rPr>
          <w:i/>
          <w:iCs/>
          <w:lang w:val="en-US"/>
        </w:rPr>
        <w:t>Angels and Angelology in the Middle Ages</w:t>
      </w:r>
      <w:r w:rsidRPr="00115185">
        <w:rPr>
          <w:lang w:val="en-US"/>
        </w:rPr>
        <w:t>, 43.</w:t>
      </w:r>
    </w:p>
  </w:footnote>
  <w:footnote w:id="369">
    <w:p w14:paraId="26BDB06C" w14:textId="77777777" w:rsidR="00182EED" w:rsidRDefault="00182EED" w:rsidP="008A116C">
      <w:pPr>
        <w:pStyle w:val="FootnoteText"/>
      </w:pPr>
      <w:r w:rsidRPr="00073E38">
        <w:rPr>
          <w:rStyle w:val="FootnoteReference"/>
        </w:rPr>
        <w:footnoteRef/>
      </w:r>
      <w:r>
        <w:t xml:space="preserve"> </w:t>
      </w:r>
      <w:r w:rsidRPr="00800C51">
        <w:rPr>
          <w:lang w:val="en-US"/>
        </w:rPr>
        <w:t xml:space="preserve">“O </w:t>
      </w:r>
      <w:proofErr w:type="spellStart"/>
      <w:r w:rsidRPr="00800C51">
        <w:rPr>
          <w:lang w:val="en-US"/>
        </w:rPr>
        <w:t>frate</w:t>
      </w:r>
      <w:proofErr w:type="spellEnd"/>
      <w:r w:rsidRPr="00800C51">
        <w:rPr>
          <w:lang w:val="en-US"/>
        </w:rPr>
        <w:t xml:space="preserve"> Ruffino, </w:t>
      </w:r>
      <w:proofErr w:type="spellStart"/>
      <w:r w:rsidRPr="00800C51">
        <w:rPr>
          <w:lang w:val="en-US"/>
        </w:rPr>
        <w:t>non sai</w:t>
      </w:r>
      <w:proofErr w:type="spellEnd"/>
      <w:r w:rsidRPr="00800C51">
        <w:rPr>
          <w:lang w:val="en-US"/>
        </w:rPr>
        <w:t xml:space="preserve"> </w:t>
      </w:r>
      <w:proofErr w:type="spellStart"/>
      <w:r w:rsidRPr="00800C51">
        <w:rPr>
          <w:lang w:val="en-US"/>
        </w:rPr>
        <w:t>tu</w:t>
      </w:r>
      <w:proofErr w:type="spellEnd"/>
      <w:r w:rsidRPr="00800C51">
        <w:rPr>
          <w:lang w:val="en-US"/>
        </w:rPr>
        <w:t xml:space="preserve"> </w:t>
      </w:r>
      <w:proofErr w:type="spellStart"/>
      <w:r w:rsidRPr="00800C51">
        <w:rPr>
          <w:lang w:val="en-US"/>
        </w:rPr>
        <w:t>che</w:t>
      </w:r>
      <w:proofErr w:type="spellEnd"/>
      <w:r w:rsidRPr="00800C51">
        <w:rPr>
          <w:lang w:val="en-US"/>
        </w:rPr>
        <w:t xml:space="preserve"> </w:t>
      </w:r>
      <w:proofErr w:type="spellStart"/>
      <w:r w:rsidRPr="00800C51">
        <w:rPr>
          <w:lang w:val="en-US"/>
        </w:rPr>
        <w:t>frate</w:t>
      </w:r>
      <w:proofErr w:type="spellEnd"/>
      <w:r w:rsidRPr="00800C51">
        <w:rPr>
          <w:lang w:val="en-US"/>
        </w:rPr>
        <w:t xml:space="preserve"> Francesco è come un </w:t>
      </w:r>
      <w:proofErr w:type="spellStart"/>
      <w:r w:rsidRPr="00800C51">
        <w:rPr>
          <w:lang w:val="en-US"/>
        </w:rPr>
        <w:t>angelo</w:t>
      </w:r>
      <w:proofErr w:type="spellEnd"/>
      <w:r w:rsidRPr="00800C51">
        <w:rPr>
          <w:lang w:val="en-US"/>
        </w:rPr>
        <w:t xml:space="preserve"> di </w:t>
      </w:r>
      <w:proofErr w:type="spellStart"/>
      <w:r w:rsidRPr="00800C51">
        <w:rPr>
          <w:lang w:val="en-US"/>
        </w:rPr>
        <w:t>Dio</w:t>
      </w:r>
      <w:proofErr w:type="spellEnd"/>
      <w:r w:rsidRPr="00800C51">
        <w:rPr>
          <w:lang w:val="en-US"/>
        </w:rPr>
        <w:t xml:space="preserve">, </w:t>
      </w:r>
      <w:proofErr w:type="spellStart"/>
      <w:r w:rsidRPr="00800C51">
        <w:rPr>
          <w:lang w:val="en-US"/>
        </w:rPr>
        <w:t>il</w:t>
      </w:r>
      <w:proofErr w:type="spellEnd"/>
      <w:r w:rsidRPr="00800C51">
        <w:rPr>
          <w:lang w:val="en-US"/>
        </w:rPr>
        <w:t xml:space="preserve"> quale ha luminate </w:t>
      </w:r>
      <w:proofErr w:type="spellStart"/>
      <w:r w:rsidRPr="00800C51">
        <w:rPr>
          <w:lang w:val="en-US"/>
        </w:rPr>
        <w:t>tante</w:t>
      </w:r>
      <w:proofErr w:type="spellEnd"/>
      <w:r w:rsidRPr="00800C51">
        <w:rPr>
          <w:lang w:val="en-US"/>
        </w:rPr>
        <w:t xml:space="preserve"> anime </w:t>
      </w:r>
      <w:proofErr w:type="spellStart"/>
      <w:r w:rsidRPr="00800C51">
        <w:rPr>
          <w:lang w:val="en-US"/>
        </w:rPr>
        <w:t>nel</w:t>
      </w:r>
      <w:proofErr w:type="spellEnd"/>
      <w:r w:rsidRPr="00800C51">
        <w:rPr>
          <w:lang w:val="en-US"/>
        </w:rPr>
        <w:t xml:space="preserve"> </w:t>
      </w:r>
      <w:proofErr w:type="spellStart"/>
      <w:r w:rsidRPr="00800C51">
        <w:rPr>
          <w:lang w:val="en-US"/>
        </w:rPr>
        <w:t>mondo</w:t>
      </w:r>
      <w:proofErr w:type="spellEnd"/>
      <w:r w:rsidRPr="00800C51">
        <w:rPr>
          <w:lang w:val="en-US"/>
        </w:rPr>
        <w:t xml:space="preserve">, e dal quale </w:t>
      </w:r>
      <w:proofErr w:type="spellStart"/>
      <w:r w:rsidRPr="00800C51">
        <w:rPr>
          <w:lang w:val="en-US"/>
        </w:rPr>
        <w:t>noi</w:t>
      </w:r>
      <w:proofErr w:type="spellEnd"/>
      <w:r w:rsidRPr="00800C51">
        <w:rPr>
          <w:lang w:val="en-US"/>
        </w:rPr>
        <w:t xml:space="preserve"> </w:t>
      </w:r>
      <w:proofErr w:type="spellStart"/>
      <w:r w:rsidRPr="00800C51">
        <w:rPr>
          <w:lang w:val="en-US"/>
        </w:rPr>
        <w:t>abbiamo</w:t>
      </w:r>
      <w:proofErr w:type="spellEnd"/>
      <w:r w:rsidRPr="00800C51">
        <w:rPr>
          <w:lang w:val="en-US"/>
        </w:rPr>
        <w:t xml:space="preserve"> </w:t>
      </w:r>
      <w:proofErr w:type="spellStart"/>
      <w:r w:rsidRPr="00800C51">
        <w:rPr>
          <w:lang w:val="en-US"/>
        </w:rPr>
        <w:t>avuto</w:t>
      </w:r>
      <w:proofErr w:type="spellEnd"/>
      <w:r w:rsidRPr="00800C51">
        <w:rPr>
          <w:lang w:val="en-US"/>
        </w:rPr>
        <w:t xml:space="preserve"> la grazia di </w:t>
      </w:r>
      <w:proofErr w:type="spellStart"/>
      <w:r w:rsidRPr="00800C51">
        <w:rPr>
          <w:lang w:val="en-US"/>
        </w:rPr>
        <w:t>Dio</w:t>
      </w:r>
      <w:proofErr w:type="spellEnd"/>
      <w:r w:rsidRPr="00800C51">
        <w:rPr>
          <w:lang w:val="en-US"/>
        </w:rPr>
        <w:t xml:space="preserve">?” Francis of Assisi (Saint), </w:t>
      </w:r>
      <w:r w:rsidRPr="00800C51">
        <w:rPr>
          <w:i/>
          <w:iCs/>
          <w:lang w:val="en-US"/>
        </w:rPr>
        <w:t xml:space="preserve">I </w:t>
      </w:r>
      <w:proofErr w:type="spellStart"/>
      <w:r w:rsidRPr="00800C51">
        <w:rPr>
          <w:i/>
          <w:iCs/>
          <w:lang w:val="en-US"/>
        </w:rPr>
        <w:t>Fioretti</w:t>
      </w:r>
      <w:proofErr w:type="spellEnd"/>
      <w:r w:rsidRPr="00800C51">
        <w:rPr>
          <w:i/>
          <w:iCs/>
          <w:lang w:val="en-US"/>
        </w:rPr>
        <w:t xml:space="preserve"> di S. Francesco (secondo la </w:t>
      </w:r>
      <w:proofErr w:type="spellStart"/>
      <w:r w:rsidRPr="00800C51">
        <w:rPr>
          <w:i/>
          <w:iCs/>
          <w:lang w:val="en-US"/>
        </w:rPr>
        <w:t>lezione</w:t>
      </w:r>
      <w:proofErr w:type="spellEnd"/>
      <w:r w:rsidRPr="00800C51">
        <w:rPr>
          <w:i/>
          <w:iCs/>
          <w:lang w:val="en-US"/>
        </w:rPr>
        <w:t xml:space="preserve"> </w:t>
      </w:r>
      <w:proofErr w:type="spellStart"/>
      <w:r w:rsidRPr="00800C51">
        <w:rPr>
          <w:i/>
          <w:iCs/>
          <w:lang w:val="en-US"/>
        </w:rPr>
        <w:t>adottata</w:t>
      </w:r>
      <w:proofErr w:type="spellEnd"/>
      <w:r w:rsidRPr="00800C51">
        <w:rPr>
          <w:i/>
          <w:iCs/>
          <w:lang w:val="en-US"/>
        </w:rPr>
        <w:t xml:space="preserve"> dal P. A. </w:t>
      </w:r>
      <w:proofErr w:type="spellStart"/>
      <w:r w:rsidRPr="00800C51">
        <w:rPr>
          <w:i/>
          <w:iCs/>
          <w:lang w:val="en-US"/>
        </w:rPr>
        <w:t>Cesari</w:t>
      </w:r>
      <w:proofErr w:type="spellEnd"/>
      <w:r w:rsidRPr="00800C51">
        <w:rPr>
          <w:i/>
          <w:iCs/>
          <w:lang w:val="en-US"/>
        </w:rPr>
        <w:t xml:space="preserve">), e Lo </w:t>
      </w:r>
      <w:proofErr w:type="spellStart"/>
      <w:r w:rsidRPr="00800C51">
        <w:rPr>
          <w:i/>
          <w:iCs/>
          <w:lang w:val="en-US"/>
        </w:rPr>
        <w:t>Specchio</w:t>
      </w:r>
      <w:proofErr w:type="spellEnd"/>
      <w:r w:rsidRPr="00800C51">
        <w:rPr>
          <w:i/>
          <w:iCs/>
          <w:lang w:val="en-US"/>
        </w:rPr>
        <w:t xml:space="preserve"> </w:t>
      </w:r>
      <w:proofErr w:type="spellStart"/>
      <w:r w:rsidRPr="00800C51">
        <w:rPr>
          <w:i/>
          <w:iCs/>
          <w:lang w:val="en-US"/>
        </w:rPr>
        <w:t>della</w:t>
      </w:r>
      <w:proofErr w:type="spellEnd"/>
      <w:r w:rsidRPr="00800C51">
        <w:rPr>
          <w:i/>
          <w:iCs/>
          <w:lang w:val="en-US"/>
        </w:rPr>
        <w:t xml:space="preserve"> </w:t>
      </w:r>
      <w:proofErr w:type="spellStart"/>
      <w:r w:rsidRPr="00800C51">
        <w:rPr>
          <w:i/>
          <w:iCs/>
          <w:lang w:val="en-US"/>
        </w:rPr>
        <w:t>vera</w:t>
      </w:r>
      <w:proofErr w:type="spellEnd"/>
      <w:r w:rsidRPr="00800C51">
        <w:rPr>
          <w:i/>
          <w:iCs/>
          <w:lang w:val="en-US"/>
        </w:rPr>
        <w:t xml:space="preserve"> </w:t>
      </w:r>
      <w:proofErr w:type="spellStart"/>
      <w:r w:rsidRPr="00800C51">
        <w:rPr>
          <w:i/>
          <w:iCs/>
          <w:lang w:val="en-US"/>
        </w:rPr>
        <w:t>penitenza</w:t>
      </w:r>
      <w:proofErr w:type="spellEnd"/>
      <w:r w:rsidRPr="00800C51">
        <w:rPr>
          <w:i/>
          <w:iCs/>
          <w:lang w:val="en-US"/>
        </w:rPr>
        <w:t xml:space="preserve"> di Fra </w:t>
      </w:r>
      <w:proofErr w:type="spellStart"/>
      <w:r w:rsidRPr="00800C51">
        <w:rPr>
          <w:i/>
          <w:iCs/>
          <w:lang w:val="en-US"/>
        </w:rPr>
        <w:t>Iacopo</w:t>
      </w:r>
      <w:proofErr w:type="spellEnd"/>
      <w:r w:rsidRPr="00800C51">
        <w:rPr>
          <w:i/>
          <w:iCs/>
          <w:lang w:val="en-US"/>
        </w:rPr>
        <w:t xml:space="preserve"> </w:t>
      </w:r>
      <w:proofErr w:type="spellStart"/>
      <w:r w:rsidRPr="00800C51">
        <w:rPr>
          <w:i/>
          <w:iCs/>
          <w:lang w:val="en-US"/>
        </w:rPr>
        <w:t>Passavanti</w:t>
      </w:r>
      <w:proofErr w:type="spellEnd"/>
      <w:r w:rsidRPr="00800C51">
        <w:rPr>
          <w:lang w:val="en-US"/>
        </w:rPr>
        <w:t xml:space="preserve">, ed. Antonio </w:t>
      </w:r>
      <w:proofErr w:type="spellStart"/>
      <w:r w:rsidRPr="00800C51">
        <w:rPr>
          <w:lang w:val="en-US"/>
        </w:rPr>
        <w:t>Cesari</w:t>
      </w:r>
      <w:proofErr w:type="spellEnd"/>
      <w:r w:rsidRPr="00800C51">
        <w:rPr>
          <w:lang w:val="en-US"/>
        </w:rPr>
        <w:t xml:space="preserve"> (Firenze: </w:t>
      </w:r>
      <w:proofErr w:type="spellStart"/>
      <w:r w:rsidRPr="00800C51">
        <w:rPr>
          <w:lang w:val="en-US"/>
        </w:rPr>
        <w:t>Poligrafia</w:t>
      </w:r>
      <w:proofErr w:type="spellEnd"/>
      <w:r w:rsidRPr="00800C51">
        <w:rPr>
          <w:lang w:val="en-US"/>
        </w:rPr>
        <w:t xml:space="preserve"> </w:t>
      </w:r>
      <w:proofErr w:type="spellStart"/>
      <w:r w:rsidRPr="00800C51">
        <w:rPr>
          <w:lang w:val="en-US"/>
        </w:rPr>
        <w:t>Italiana</w:t>
      </w:r>
      <w:proofErr w:type="spellEnd"/>
      <w:r w:rsidRPr="00800C51">
        <w:rPr>
          <w:lang w:val="en-US"/>
        </w:rPr>
        <w:t>, 1847), chaps. XXIX, 49.</w:t>
      </w:r>
    </w:p>
  </w:footnote>
  <w:footnote w:id="370">
    <w:p w14:paraId="5625D987" w14:textId="77777777" w:rsidR="00182EED" w:rsidRDefault="00182EED" w:rsidP="008A116C">
      <w:pPr>
        <w:pStyle w:val="FootnoteText"/>
      </w:pPr>
      <w:r w:rsidRPr="00073E38">
        <w:rPr>
          <w:rStyle w:val="FootnoteReference"/>
        </w:rPr>
        <w:footnoteRef/>
      </w:r>
      <w:r>
        <w:t xml:space="preserve"> </w:t>
      </w:r>
      <w:r w:rsidRPr="00800C51">
        <w:rPr>
          <w:lang w:val="en-US"/>
        </w:rPr>
        <w:t>Ronald W</w:t>
      </w:r>
      <w:r>
        <w:rPr>
          <w:lang w:val="en-US"/>
        </w:rPr>
        <w:t>.</w:t>
      </w:r>
      <w:r w:rsidRPr="00800C51">
        <w:rPr>
          <w:lang w:val="en-US"/>
        </w:rPr>
        <w:t xml:space="preserve"> Lightbown, “Heaven Depicted in 15th Century: Italian Painting and Sculpture,” in </w:t>
      </w:r>
      <w:r w:rsidRPr="00800C51">
        <w:rPr>
          <w:i/>
          <w:iCs/>
          <w:lang w:val="en-US"/>
        </w:rPr>
        <w:t xml:space="preserve">Mosaics of Friendship: Studies in Art and History for Eve </w:t>
      </w:r>
      <w:proofErr w:type="spellStart"/>
      <w:r w:rsidRPr="00800C51">
        <w:rPr>
          <w:i/>
          <w:iCs/>
          <w:lang w:val="en-US"/>
        </w:rPr>
        <w:t>Borsook</w:t>
      </w:r>
      <w:proofErr w:type="spellEnd"/>
      <w:r w:rsidRPr="00800C51">
        <w:rPr>
          <w:lang w:val="en-US"/>
        </w:rPr>
        <w:t xml:space="preserve">, ed. Ornella </w:t>
      </w:r>
      <w:proofErr w:type="spellStart"/>
      <w:r w:rsidRPr="00800C51">
        <w:rPr>
          <w:lang w:val="en-US"/>
        </w:rPr>
        <w:t>Francisci</w:t>
      </w:r>
      <w:proofErr w:type="spellEnd"/>
      <w:r w:rsidRPr="00800C51">
        <w:rPr>
          <w:lang w:val="en-US"/>
        </w:rPr>
        <w:t xml:space="preserve"> </w:t>
      </w:r>
      <w:proofErr w:type="spellStart"/>
      <w:r w:rsidRPr="00800C51">
        <w:rPr>
          <w:lang w:val="en-US"/>
        </w:rPr>
        <w:t>Osti</w:t>
      </w:r>
      <w:proofErr w:type="spellEnd"/>
      <w:r w:rsidRPr="00800C51">
        <w:rPr>
          <w:lang w:val="en-US"/>
        </w:rPr>
        <w:t xml:space="preserve"> (Florence: Centro Di, 1999), 82; Gill, </w:t>
      </w:r>
      <w:r w:rsidRPr="00800C51">
        <w:rPr>
          <w:i/>
          <w:iCs/>
          <w:lang w:val="en-US"/>
        </w:rPr>
        <w:t>Angels and the Order of Heaven in Medieval and Renaissance Italy</w:t>
      </w:r>
      <w:r w:rsidRPr="00800C51">
        <w:rPr>
          <w:lang w:val="en-US"/>
        </w:rPr>
        <w:t xml:space="preserve">, 24; For more information on angels wearing ecclesiastical garments, see </w:t>
      </w:r>
      <w:proofErr w:type="spellStart"/>
      <w:r w:rsidRPr="00800C51">
        <w:rPr>
          <w:lang w:val="en-US"/>
        </w:rPr>
        <w:t>Bussagli</w:t>
      </w:r>
      <w:proofErr w:type="spellEnd"/>
      <w:r w:rsidRPr="00800C51">
        <w:rPr>
          <w:lang w:val="en-US"/>
        </w:rPr>
        <w:t xml:space="preserve">, </w:t>
      </w:r>
      <w:r w:rsidRPr="00800C51">
        <w:rPr>
          <w:i/>
          <w:iCs/>
          <w:lang w:val="en-US"/>
        </w:rPr>
        <w:t xml:space="preserve">Storia </w:t>
      </w:r>
      <w:proofErr w:type="spellStart"/>
      <w:r w:rsidRPr="00800C51">
        <w:rPr>
          <w:i/>
          <w:iCs/>
          <w:lang w:val="en-US"/>
        </w:rPr>
        <w:t>degli</w:t>
      </w:r>
      <w:proofErr w:type="spellEnd"/>
      <w:r w:rsidRPr="00800C51">
        <w:rPr>
          <w:i/>
          <w:iCs/>
          <w:lang w:val="en-US"/>
        </w:rPr>
        <w:t xml:space="preserve"> </w:t>
      </w:r>
      <w:proofErr w:type="spellStart"/>
      <w:r w:rsidRPr="00800C51">
        <w:rPr>
          <w:i/>
          <w:iCs/>
          <w:lang w:val="en-US"/>
        </w:rPr>
        <w:t>angeli</w:t>
      </w:r>
      <w:proofErr w:type="spellEnd"/>
      <w:r w:rsidRPr="00800C51">
        <w:rPr>
          <w:lang w:val="en-US"/>
        </w:rPr>
        <w:t>, 159–74.</w:t>
      </w:r>
    </w:p>
  </w:footnote>
  <w:footnote w:id="371">
    <w:p w14:paraId="0516F606" w14:textId="77777777" w:rsidR="00182EED" w:rsidRDefault="00182EED" w:rsidP="008A116C">
      <w:pPr>
        <w:pStyle w:val="FootnoteText"/>
      </w:pPr>
      <w:r w:rsidRPr="00073E38">
        <w:rPr>
          <w:rStyle w:val="FootnoteReference"/>
        </w:rPr>
        <w:footnoteRef/>
      </w:r>
      <w:r>
        <w:t xml:space="preserve"> </w:t>
      </w:r>
      <w:r w:rsidRPr="00550D97">
        <w:rPr>
          <w:lang w:val="en-US"/>
        </w:rPr>
        <w:t xml:space="preserve">Cristina </w:t>
      </w:r>
      <w:proofErr w:type="spellStart"/>
      <w:r w:rsidRPr="00550D97">
        <w:rPr>
          <w:lang w:val="en-US"/>
        </w:rPr>
        <w:t>Acidini</w:t>
      </w:r>
      <w:proofErr w:type="spellEnd"/>
      <w:r w:rsidRPr="00550D97">
        <w:rPr>
          <w:lang w:val="en-US"/>
        </w:rPr>
        <w:t xml:space="preserve"> </w:t>
      </w:r>
      <w:proofErr w:type="spellStart"/>
      <w:r w:rsidRPr="00550D97">
        <w:rPr>
          <w:lang w:val="en-US"/>
        </w:rPr>
        <w:t>Luchinat</w:t>
      </w:r>
      <w:proofErr w:type="spellEnd"/>
      <w:r w:rsidRPr="00550D97">
        <w:rPr>
          <w:lang w:val="en-US"/>
        </w:rPr>
        <w:t xml:space="preserve">, “The Choirs of Angels,” in </w:t>
      </w:r>
      <w:r w:rsidRPr="00550D97">
        <w:rPr>
          <w:i/>
          <w:iCs/>
          <w:lang w:val="en-US"/>
        </w:rPr>
        <w:t xml:space="preserve">The Chapel of the Magi: </w:t>
      </w:r>
      <w:proofErr w:type="spellStart"/>
      <w:r w:rsidRPr="00550D97">
        <w:rPr>
          <w:i/>
          <w:iCs/>
          <w:lang w:val="en-US"/>
        </w:rPr>
        <w:t>Benozzo</w:t>
      </w:r>
      <w:proofErr w:type="spellEnd"/>
      <w:r w:rsidRPr="00550D97">
        <w:rPr>
          <w:i/>
          <w:iCs/>
          <w:lang w:val="en-US"/>
        </w:rPr>
        <w:t xml:space="preserve"> </w:t>
      </w:r>
      <w:proofErr w:type="spellStart"/>
      <w:r w:rsidRPr="00550D97">
        <w:rPr>
          <w:i/>
          <w:iCs/>
          <w:lang w:val="en-US"/>
        </w:rPr>
        <w:t>Gozzoli’s</w:t>
      </w:r>
      <w:proofErr w:type="spellEnd"/>
      <w:r w:rsidRPr="00550D97">
        <w:rPr>
          <w:i/>
          <w:iCs/>
          <w:lang w:val="en-US"/>
        </w:rPr>
        <w:t xml:space="preserve"> Frescoes in the Palazzo Medici-</w:t>
      </w:r>
      <w:proofErr w:type="spellStart"/>
      <w:r w:rsidRPr="00550D97">
        <w:rPr>
          <w:i/>
          <w:iCs/>
          <w:lang w:val="en-US"/>
        </w:rPr>
        <w:t>Riccardi</w:t>
      </w:r>
      <w:proofErr w:type="spellEnd"/>
      <w:r w:rsidRPr="00550D97">
        <w:rPr>
          <w:i/>
          <w:iCs/>
          <w:lang w:val="en-US"/>
        </w:rPr>
        <w:t xml:space="preserve"> Florence</w:t>
      </w:r>
      <w:r w:rsidRPr="00550D97">
        <w:rPr>
          <w:lang w:val="en-US"/>
        </w:rPr>
        <w:t xml:space="preserve">, ed. Cristina </w:t>
      </w:r>
      <w:proofErr w:type="spellStart"/>
      <w:r w:rsidRPr="00550D97">
        <w:rPr>
          <w:lang w:val="en-US"/>
        </w:rPr>
        <w:t>Acidini</w:t>
      </w:r>
      <w:proofErr w:type="spellEnd"/>
      <w:r w:rsidRPr="00550D97">
        <w:rPr>
          <w:lang w:val="en-US"/>
        </w:rPr>
        <w:t xml:space="preserve"> </w:t>
      </w:r>
      <w:proofErr w:type="spellStart"/>
      <w:r w:rsidRPr="00550D97">
        <w:rPr>
          <w:lang w:val="en-US"/>
        </w:rPr>
        <w:t>Luchinat</w:t>
      </w:r>
      <w:proofErr w:type="spellEnd"/>
      <w:r w:rsidRPr="00550D97">
        <w:rPr>
          <w:lang w:val="en-US"/>
        </w:rPr>
        <w:t>, trans. Eleanor Daunt (London: Thames and Hudson, 1994), 266.</w:t>
      </w:r>
    </w:p>
  </w:footnote>
  <w:footnote w:id="372">
    <w:p w14:paraId="5CE8FFD2" w14:textId="77777777" w:rsidR="00182EED" w:rsidRDefault="00182EED" w:rsidP="008A116C">
      <w:pPr>
        <w:pStyle w:val="FootnoteText"/>
      </w:pPr>
      <w:r w:rsidRPr="00073E38">
        <w:rPr>
          <w:rStyle w:val="FootnoteReference"/>
        </w:rPr>
        <w:footnoteRef/>
      </w:r>
      <w:r>
        <w:t xml:space="preserve"> </w:t>
      </w:r>
      <w:r w:rsidRPr="00550D97">
        <w:rPr>
          <w:lang w:val="en-US"/>
        </w:rPr>
        <w:t xml:space="preserve">Keck, </w:t>
      </w:r>
      <w:r w:rsidRPr="00550D97">
        <w:rPr>
          <w:i/>
          <w:iCs/>
          <w:lang w:val="en-US"/>
        </w:rPr>
        <w:t>Angels and Angelology in the Middle Ages</w:t>
      </w:r>
      <w:r w:rsidRPr="00550D97">
        <w:rPr>
          <w:lang w:val="en-US"/>
        </w:rPr>
        <w:t>, 175.</w:t>
      </w:r>
    </w:p>
  </w:footnote>
  <w:footnote w:id="373">
    <w:p w14:paraId="71AB0B9B" w14:textId="77777777" w:rsidR="00182EED" w:rsidRDefault="00182EED" w:rsidP="008A116C">
      <w:pPr>
        <w:pStyle w:val="FootnoteText"/>
      </w:pPr>
      <w:r w:rsidRPr="00073E38">
        <w:rPr>
          <w:rStyle w:val="FootnoteReference"/>
        </w:rPr>
        <w:footnoteRef/>
      </w:r>
      <w:r>
        <w:t xml:space="preserve"> </w:t>
      </w:r>
      <w:r w:rsidRPr="00615EA8">
        <w:rPr>
          <w:lang w:val="en-US"/>
        </w:rPr>
        <w:t>“</w:t>
      </w:r>
      <w:proofErr w:type="spellStart"/>
      <w:r w:rsidRPr="00615EA8">
        <w:rPr>
          <w:lang w:val="en-US"/>
        </w:rPr>
        <w:t>Numquid</w:t>
      </w:r>
      <w:proofErr w:type="spellEnd"/>
      <w:r w:rsidRPr="00615EA8">
        <w:rPr>
          <w:lang w:val="en-US"/>
        </w:rPr>
        <w:t xml:space="preserve"> </w:t>
      </w:r>
      <w:proofErr w:type="spellStart"/>
      <w:r w:rsidRPr="00615EA8">
        <w:rPr>
          <w:lang w:val="en-US"/>
        </w:rPr>
        <w:t>hanc</w:t>
      </w:r>
      <w:proofErr w:type="spellEnd"/>
      <w:r w:rsidRPr="00615EA8">
        <w:rPr>
          <w:lang w:val="en-US"/>
        </w:rPr>
        <w:t xml:space="preserve"> </w:t>
      </w:r>
      <w:proofErr w:type="spellStart"/>
      <w:r w:rsidRPr="00615EA8">
        <w:rPr>
          <w:lang w:val="en-US"/>
        </w:rPr>
        <w:t>vocem</w:t>
      </w:r>
      <w:proofErr w:type="spellEnd"/>
      <w:r w:rsidRPr="00615EA8">
        <w:rPr>
          <w:lang w:val="en-US"/>
        </w:rPr>
        <w:t xml:space="preserve"> </w:t>
      </w:r>
      <w:proofErr w:type="spellStart"/>
      <w:r w:rsidRPr="00615EA8">
        <w:rPr>
          <w:lang w:val="en-US"/>
        </w:rPr>
        <w:t>agnovistis</w:t>
      </w:r>
      <w:proofErr w:type="spellEnd"/>
      <w:r w:rsidRPr="00615EA8">
        <w:rPr>
          <w:lang w:val="en-US"/>
        </w:rPr>
        <w:t xml:space="preserve">? </w:t>
      </w:r>
      <w:proofErr w:type="spellStart"/>
      <w:r w:rsidRPr="00615EA8">
        <w:rPr>
          <w:lang w:val="en-US"/>
        </w:rPr>
        <w:t>numquid</w:t>
      </w:r>
      <w:proofErr w:type="spellEnd"/>
      <w:r w:rsidRPr="00615EA8">
        <w:rPr>
          <w:lang w:val="en-US"/>
        </w:rPr>
        <w:t xml:space="preserve"> nostra </w:t>
      </w:r>
      <w:proofErr w:type="spellStart"/>
      <w:r w:rsidRPr="00615EA8">
        <w:rPr>
          <w:lang w:val="en-US"/>
        </w:rPr>
        <w:t>est</w:t>
      </w:r>
      <w:proofErr w:type="spellEnd"/>
      <w:r w:rsidRPr="00615EA8">
        <w:rPr>
          <w:lang w:val="en-US"/>
        </w:rPr>
        <w:t xml:space="preserve">, </w:t>
      </w:r>
      <w:r w:rsidRPr="00615EA8">
        <w:rPr>
          <w:lang w:val="en-US"/>
        </w:rPr>
        <w:t xml:space="preserve">an </w:t>
      </w:r>
      <w:proofErr w:type="spellStart"/>
      <w:r w:rsidRPr="00615EA8">
        <w:rPr>
          <w:lang w:val="en-US"/>
        </w:rPr>
        <w:t>vero</w:t>
      </w:r>
      <w:proofErr w:type="spellEnd"/>
      <w:r w:rsidRPr="00615EA8">
        <w:rPr>
          <w:lang w:val="en-US"/>
        </w:rPr>
        <w:t xml:space="preserve"> Seraphim? Et nostra et Seraphim, </w:t>
      </w:r>
      <w:proofErr w:type="spellStart"/>
      <w:r w:rsidRPr="00615EA8">
        <w:rPr>
          <w:lang w:val="en-US"/>
        </w:rPr>
        <w:t>beneficio</w:t>
      </w:r>
      <w:proofErr w:type="spellEnd"/>
      <w:r w:rsidRPr="00615EA8">
        <w:rPr>
          <w:lang w:val="en-US"/>
        </w:rPr>
        <w:t xml:space="preserve"> Christi, qui medium </w:t>
      </w:r>
      <w:proofErr w:type="spellStart"/>
      <w:r w:rsidRPr="00615EA8">
        <w:rPr>
          <w:lang w:val="en-US"/>
        </w:rPr>
        <w:t>parietem</w:t>
      </w:r>
      <w:proofErr w:type="spellEnd"/>
      <w:r w:rsidRPr="00615EA8">
        <w:rPr>
          <w:lang w:val="en-US"/>
        </w:rPr>
        <w:t xml:space="preserve"> </w:t>
      </w:r>
      <w:proofErr w:type="spellStart"/>
      <w:r w:rsidRPr="00615EA8">
        <w:rPr>
          <w:lang w:val="en-US"/>
        </w:rPr>
        <w:t>maceriae</w:t>
      </w:r>
      <w:proofErr w:type="spellEnd"/>
      <w:r w:rsidRPr="00615EA8">
        <w:rPr>
          <w:lang w:val="en-US"/>
        </w:rPr>
        <w:t xml:space="preserve"> </w:t>
      </w:r>
      <w:proofErr w:type="spellStart"/>
      <w:r w:rsidRPr="00615EA8">
        <w:rPr>
          <w:lang w:val="en-US"/>
        </w:rPr>
        <w:t>sustulit</w:t>
      </w:r>
      <w:proofErr w:type="spellEnd"/>
      <w:r w:rsidRPr="00615EA8">
        <w:rPr>
          <w:lang w:val="en-US"/>
        </w:rPr>
        <w:t xml:space="preserve">, et </w:t>
      </w:r>
      <w:proofErr w:type="spellStart"/>
      <w:r w:rsidRPr="00615EA8">
        <w:rPr>
          <w:lang w:val="en-US"/>
        </w:rPr>
        <w:t>pacificavit</w:t>
      </w:r>
      <w:proofErr w:type="spellEnd"/>
      <w:r w:rsidRPr="00615EA8">
        <w:rPr>
          <w:lang w:val="en-US"/>
        </w:rPr>
        <w:t xml:space="preserve"> omnia </w:t>
      </w:r>
      <w:proofErr w:type="spellStart"/>
      <w:r w:rsidRPr="00615EA8">
        <w:rPr>
          <w:lang w:val="en-US"/>
        </w:rPr>
        <w:t>quae</w:t>
      </w:r>
      <w:proofErr w:type="spellEnd"/>
      <w:r w:rsidRPr="00615EA8">
        <w:rPr>
          <w:lang w:val="en-US"/>
        </w:rPr>
        <w:t xml:space="preserve"> in </w:t>
      </w:r>
      <w:proofErr w:type="spellStart"/>
      <w:r w:rsidRPr="00615EA8">
        <w:rPr>
          <w:lang w:val="en-US"/>
        </w:rPr>
        <w:t>caelis</w:t>
      </w:r>
      <w:proofErr w:type="spellEnd"/>
      <w:r w:rsidRPr="00615EA8">
        <w:rPr>
          <w:lang w:val="en-US"/>
        </w:rPr>
        <w:t xml:space="preserve"> sunt, et </w:t>
      </w:r>
      <w:proofErr w:type="spellStart"/>
      <w:r w:rsidRPr="00615EA8">
        <w:rPr>
          <w:lang w:val="en-US"/>
        </w:rPr>
        <w:t>quae</w:t>
      </w:r>
      <w:proofErr w:type="spellEnd"/>
      <w:r w:rsidRPr="00615EA8">
        <w:rPr>
          <w:lang w:val="en-US"/>
        </w:rPr>
        <w:t xml:space="preserve"> in </w:t>
      </w:r>
      <w:proofErr w:type="spellStart"/>
      <w:r w:rsidRPr="00615EA8">
        <w:rPr>
          <w:lang w:val="en-US"/>
        </w:rPr>
        <w:t>terris</w:t>
      </w:r>
      <w:proofErr w:type="spellEnd"/>
      <w:r w:rsidRPr="00615EA8">
        <w:rPr>
          <w:lang w:val="en-US"/>
        </w:rPr>
        <w:t xml:space="preserve">.” John Chrysostom (Saint), “In </w:t>
      </w:r>
      <w:proofErr w:type="spellStart"/>
      <w:r w:rsidRPr="00615EA8">
        <w:rPr>
          <w:lang w:val="en-US"/>
        </w:rPr>
        <w:t>illud</w:t>
      </w:r>
      <w:proofErr w:type="spellEnd"/>
      <w:r w:rsidRPr="00615EA8">
        <w:rPr>
          <w:lang w:val="en-US"/>
        </w:rPr>
        <w:t xml:space="preserve">, </w:t>
      </w:r>
      <w:proofErr w:type="spellStart"/>
      <w:r w:rsidRPr="00615EA8">
        <w:rPr>
          <w:lang w:val="en-US"/>
        </w:rPr>
        <w:t>Vidi</w:t>
      </w:r>
      <w:proofErr w:type="spellEnd"/>
      <w:r w:rsidRPr="00615EA8">
        <w:rPr>
          <w:lang w:val="en-US"/>
        </w:rPr>
        <w:t xml:space="preserve"> </w:t>
      </w:r>
      <w:proofErr w:type="spellStart"/>
      <w:r w:rsidRPr="00615EA8">
        <w:rPr>
          <w:lang w:val="en-US"/>
        </w:rPr>
        <w:t>Dominum</w:t>
      </w:r>
      <w:proofErr w:type="spellEnd"/>
      <w:r w:rsidRPr="00615EA8">
        <w:rPr>
          <w:lang w:val="en-US"/>
        </w:rPr>
        <w:t xml:space="preserve">, </w:t>
      </w:r>
      <w:proofErr w:type="spellStart"/>
      <w:r w:rsidRPr="00615EA8">
        <w:rPr>
          <w:lang w:val="en-US"/>
        </w:rPr>
        <w:t>Homilia</w:t>
      </w:r>
      <w:proofErr w:type="spellEnd"/>
      <w:r w:rsidRPr="00615EA8">
        <w:rPr>
          <w:lang w:val="en-US"/>
        </w:rPr>
        <w:t xml:space="preserve"> in Seraphim,” in </w:t>
      </w:r>
      <w:r w:rsidRPr="00615EA8">
        <w:rPr>
          <w:i/>
          <w:iCs/>
          <w:lang w:val="en-US"/>
        </w:rPr>
        <w:t>Opera Omnia</w:t>
      </w:r>
      <w:r w:rsidRPr="00615EA8">
        <w:rPr>
          <w:lang w:val="en-US"/>
        </w:rPr>
        <w:t xml:space="preserve">, ed. J. P. </w:t>
      </w:r>
      <w:proofErr w:type="spellStart"/>
      <w:r w:rsidRPr="00615EA8">
        <w:rPr>
          <w:lang w:val="en-US"/>
        </w:rPr>
        <w:t>Migne</w:t>
      </w:r>
      <w:proofErr w:type="spellEnd"/>
      <w:r w:rsidRPr="00615EA8">
        <w:rPr>
          <w:lang w:val="en-US"/>
        </w:rPr>
        <w:t xml:space="preserve">, vol. 56, </w:t>
      </w:r>
      <w:proofErr w:type="spellStart"/>
      <w:r w:rsidRPr="00615EA8">
        <w:rPr>
          <w:lang w:val="en-US"/>
        </w:rPr>
        <w:t>Patrologia</w:t>
      </w:r>
      <w:proofErr w:type="spellEnd"/>
      <w:r w:rsidRPr="00615EA8">
        <w:rPr>
          <w:lang w:val="en-US"/>
        </w:rPr>
        <w:t xml:space="preserve"> </w:t>
      </w:r>
      <w:proofErr w:type="spellStart"/>
      <w:r w:rsidRPr="00615EA8">
        <w:rPr>
          <w:lang w:val="en-US"/>
        </w:rPr>
        <w:t>Graeca</w:t>
      </w:r>
      <w:proofErr w:type="spellEnd"/>
      <w:r w:rsidRPr="00615EA8">
        <w:rPr>
          <w:lang w:val="en-US"/>
        </w:rPr>
        <w:t xml:space="preserve"> (Paris: </w:t>
      </w:r>
      <w:proofErr w:type="spellStart"/>
      <w:r w:rsidRPr="00615EA8">
        <w:rPr>
          <w:lang w:val="en-US"/>
        </w:rPr>
        <w:t>Migne</w:t>
      </w:r>
      <w:proofErr w:type="spellEnd"/>
      <w:r w:rsidRPr="00615EA8">
        <w:rPr>
          <w:lang w:val="en-US"/>
        </w:rPr>
        <w:t>, 1862), 6.3, 138.</w:t>
      </w:r>
    </w:p>
  </w:footnote>
  <w:footnote w:id="374">
    <w:p w14:paraId="49E91DDD" w14:textId="77777777" w:rsidR="00182EED" w:rsidRDefault="00182EED" w:rsidP="008A116C">
      <w:pPr>
        <w:pStyle w:val="FootnoteText"/>
      </w:pPr>
      <w:r w:rsidRPr="00073E38">
        <w:rPr>
          <w:rStyle w:val="FootnoteReference"/>
        </w:rPr>
        <w:footnoteRef/>
      </w:r>
      <w:r>
        <w:t xml:space="preserve"> </w:t>
      </w:r>
      <w:r w:rsidRPr="00615EA8">
        <w:rPr>
          <w:lang w:val="en-US"/>
        </w:rPr>
        <w:t xml:space="preserve">“Et </w:t>
      </w:r>
      <w:proofErr w:type="spellStart"/>
      <w:r w:rsidRPr="00615EA8">
        <w:rPr>
          <w:lang w:val="en-US"/>
        </w:rPr>
        <w:t>tu</w:t>
      </w:r>
      <w:proofErr w:type="spellEnd"/>
      <w:r w:rsidRPr="00615EA8">
        <w:rPr>
          <w:lang w:val="en-US"/>
        </w:rPr>
        <w:t xml:space="preserve"> </w:t>
      </w:r>
      <w:proofErr w:type="spellStart"/>
      <w:r w:rsidRPr="00615EA8">
        <w:rPr>
          <w:lang w:val="en-US"/>
        </w:rPr>
        <w:t>itaque</w:t>
      </w:r>
      <w:proofErr w:type="spellEnd"/>
      <w:r w:rsidRPr="00615EA8">
        <w:rPr>
          <w:lang w:val="en-US"/>
        </w:rPr>
        <w:t xml:space="preserve"> quasi in </w:t>
      </w:r>
      <w:proofErr w:type="spellStart"/>
      <w:r w:rsidRPr="00615EA8">
        <w:rPr>
          <w:lang w:val="en-US"/>
        </w:rPr>
        <w:t>regiam</w:t>
      </w:r>
      <w:proofErr w:type="spellEnd"/>
      <w:r w:rsidRPr="00615EA8">
        <w:rPr>
          <w:lang w:val="en-US"/>
        </w:rPr>
        <w:t xml:space="preserve"> </w:t>
      </w:r>
      <w:proofErr w:type="spellStart"/>
      <w:r w:rsidRPr="00615EA8">
        <w:rPr>
          <w:lang w:val="en-US"/>
        </w:rPr>
        <w:t>ingrediens</w:t>
      </w:r>
      <w:proofErr w:type="spellEnd"/>
      <w:r w:rsidRPr="00615EA8">
        <w:rPr>
          <w:lang w:val="en-US"/>
        </w:rPr>
        <w:t xml:space="preserve"> non </w:t>
      </w:r>
      <w:proofErr w:type="spellStart"/>
      <w:r w:rsidRPr="00615EA8">
        <w:rPr>
          <w:lang w:val="en-US"/>
        </w:rPr>
        <w:t>terrenam</w:t>
      </w:r>
      <w:proofErr w:type="spellEnd"/>
      <w:r w:rsidRPr="00615EA8">
        <w:rPr>
          <w:lang w:val="en-US"/>
        </w:rPr>
        <w:t xml:space="preserve">, sed in </w:t>
      </w:r>
      <w:proofErr w:type="spellStart"/>
      <w:r w:rsidRPr="00615EA8">
        <w:rPr>
          <w:lang w:val="en-US"/>
        </w:rPr>
        <w:t>multo</w:t>
      </w:r>
      <w:proofErr w:type="spellEnd"/>
      <w:r w:rsidRPr="00615EA8">
        <w:rPr>
          <w:lang w:val="en-US"/>
        </w:rPr>
        <w:t xml:space="preserve"> </w:t>
      </w:r>
      <w:proofErr w:type="spellStart"/>
      <w:r w:rsidRPr="00615EA8">
        <w:rPr>
          <w:lang w:val="en-US"/>
        </w:rPr>
        <w:t>terribiliorem</w:t>
      </w:r>
      <w:proofErr w:type="spellEnd"/>
      <w:r w:rsidRPr="00615EA8">
        <w:rPr>
          <w:lang w:val="en-US"/>
        </w:rPr>
        <w:t xml:space="preserve">, </w:t>
      </w:r>
      <w:proofErr w:type="spellStart"/>
      <w:r w:rsidRPr="00615EA8">
        <w:rPr>
          <w:lang w:val="en-US"/>
        </w:rPr>
        <w:t>nempe</w:t>
      </w:r>
      <w:proofErr w:type="spellEnd"/>
      <w:r w:rsidRPr="00615EA8">
        <w:rPr>
          <w:lang w:val="en-US"/>
        </w:rPr>
        <w:t xml:space="preserve"> </w:t>
      </w:r>
      <w:proofErr w:type="spellStart"/>
      <w:r w:rsidRPr="00615EA8">
        <w:rPr>
          <w:lang w:val="en-US"/>
        </w:rPr>
        <w:t>caelestem</w:t>
      </w:r>
      <w:proofErr w:type="spellEnd"/>
      <w:r w:rsidRPr="00615EA8">
        <w:rPr>
          <w:lang w:val="en-US"/>
        </w:rPr>
        <w:t xml:space="preserve">, </w:t>
      </w:r>
      <w:proofErr w:type="spellStart"/>
      <w:r w:rsidRPr="00615EA8">
        <w:rPr>
          <w:lang w:val="en-US"/>
        </w:rPr>
        <w:t>magnam</w:t>
      </w:r>
      <w:proofErr w:type="spellEnd"/>
      <w:r w:rsidRPr="00615EA8">
        <w:rPr>
          <w:lang w:val="en-US"/>
        </w:rPr>
        <w:t xml:space="preserve"> </w:t>
      </w:r>
      <w:proofErr w:type="spellStart"/>
      <w:r w:rsidRPr="00615EA8">
        <w:rPr>
          <w:lang w:val="en-US"/>
        </w:rPr>
        <w:t>exhibe</w:t>
      </w:r>
      <w:proofErr w:type="spellEnd"/>
      <w:r w:rsidRPr="00615EA8">
        <w:rPr>
          <w:lang w:val="en-US"/>
        </w:rPr>
        <w:t xml:space="preserve"> </w:t>
      </w:r>
      <w:proofErr w:type="spellStart"/>
      <w:r w:rsidRPr="00615EA8">
        <w:rPr>
          <w:lang w:val="en-US"/>
        </w:rPr>
        <w:t>modestiam</w:t>
      </w:r>
      <w:proofErr w:type="spellEnd"/>
      <w:r w:rsidRPr="00615EA8">
        <w:rPr>
          <w:lang w:val="en-US"/>
        </w:rPr>
        <w:t xml:space="preserve">. Nam et cum </w:t>
      </w:r>
      <w:proofErr w:type="spellStart"/>
      <w:r w:rsidRPr="00615EA8">
        <w:rPr>
          <w:lang w:val="en-US"/>
        </w:rPr>
        <w:t>angelis</w:t>
      </w:r>
      <w:proofErr w:type="spellEnd"/>
      <w:r w:rsidRPr="00615EA8">
        <w:rPr>
          <w:lang w:val="en-US"/>
        </w:rPr>
        <w:t xml:space="preserve"> </w:t>
      </w:r>
      <w:proofErr w:type="spellStart"/>
      <w:r w:rsidRPr="00615EA8">
        <w:rPr>
          <w:lang w:val="en-US"/>
        </w:rPr>
        <w:t>choreas</w:t>
      </w:r>
      <w:proofErr w:type="spellEnd"/>
      <w:r w:rsidRPr="00615EA8">
        <w:rPr>
          <w:lang w:val="en-US"/>
        </w:rPr>
        <w:t xml:space="preserve"> </w:t>
      </w:r>
      <w:proofErr w:type="spellStart"/>
      <w:r w:rsidRPr="00615EA8">
        <w:rPr>
          <w:lang w:val="en-US"/>
        </w:rPr>
        <w:t>agis</w:t>
      </w:r>
      <w:proofErr w:type="spellEnd"/>
      <w:r w:rsidRPr="00615EA8">
        <w:rPr>
          <w:lang w:val="en-US"/>
        </w:rPr>
        <w:t xml:space="preserve">, et </w:t>
      </w:r>
      <w:proofErr w:type="spellStart"/>
      <w:r w:rsidRPr="00615EA8">
        <w:rPr>
          <w:lang w:val="en-US"/>
        </w:rPr>
        <w:t>archangelorum</w:t>
      </w:r>
      <w:proofErr w:type="spellEnd"/>
      <w:r w:rsidRPr="00615EA8">
        <w:rPr>
          <w:lang w:val="en-US"/>
        </w:rPr>
        <w:t xml:space="preserve"> es socius, et cum Seraphim </w:t>
      </w:r>
      <w:proofErr w:type="spellStart"/>
      <w:r w:rsidRPr="00615EA8">
        <w:rPr>
          <w:lang w:val="en-US"/>
        </w:rPr>
        <w:t>canis</w:t>
      </w:r>
      <w:proofErr w:type="spellEnd"/>
      <w:r w:rsidRPr="00615EA8">
        <w:rPr>
          <w:lang w:val="en-US"/>
        </w:rPr>
        <w:t xml:space="preserve"> ... His </w:t>
      </w:r>
      <w:proofErr w:type="spellStart"/>
      <w:r w:rsidRPr="00615EA8">
        <w:rPr>
          <w:lang w:val="en-US"/>
        </w:rPr>
        <w:t>itaque</w:t>
      </w:r>
      <w:proofErr w:type="spellEnd"/>
      <w:r w:rsidRPr="00615EA8">
        <w:rPr>
          <w:lang w:val="en-US"/>
        </w:rPr>
        <w:t xml:space="preserve"> </w:t>
      </w:r>
      <w:proofErr w:type="spellStart"/>
      <w:r w:rsidRPr="00615EA8">
        <w:rPr>
          <w:lang w:val="en-US"/>
        </w:rPr>
        <w:t>te</w:t>
      </w:r>
      <w:proofErr w:type="spellEnd"/>
      <w:r w:rsidRPr="00615EA8">
        <w:rPr>
          <w:lang w:val="en-US"/>
        </w:rPr>
        <w:t xml:space="preserve"> </w:t>
      </w:r>
      <w:proofErr w:type="spellStart"/>
      <w:r w:rsidRPr="00615EA8">
        <w:rPr>
          <w:lang w:val="en-US"/>
        </w:rPr>
        <w:t>admisceas</w:t>
      </w:r>
      <w:proofErr w:type="spellEnd"/>
      <w:r w:rsidRPr="00615EA8">
        <w:rPr>
          <w:lang w:val="en-US"/>
        </w:rPr>
        <w:t xml:space="preserve"> in </w:t>
      </w:r>
      <w:proofErr w:type="spellStart"/>
      <w:r w:rsidRPr="00615EA8">
        <w:rPr>
          <w:lang w:val="en-US"/>
        </w:rPr>
        <w:t>precando</w:t>
      </w:r>
      <w:proofErr w:type="spellEnd"/>
      <w:r w:rsidRPr="00615EA8">
        <w:rPr>
          <w:lang w:val="en-US"/>
        </w:rPr>
        <w:t xml:space="preserve">, </w:t>
      </w:r>
      <w:proofErr w:type="spellStart"/>
      <w:r w:rsidRPr="00615EA8">
        <w:rPr>
          <w:lang w:val="en-US"/>
        </w:rPr>
        <w:t>mysticumque</w:t>
      </w:r>
      <w:proofErr w:type="spellEnd"/>
      <w:r w:rsidRPr="00615EA8">
        <w:rPr>
          <w:lang w:val="en-US"/>
        </w:rPr>
        <w:t xml:space="preserve"> </w:t>
      </w:r>
      <w:proofErr w:type="spellStart"/>
      <w:r w:rsidRPr="00615EA8">
        <w:rPr>
          <w:lang w:val="en-US"/>
        </w:rPr>
        <w:t>ipsorum</w:t>
      </w:r>
      <w:proofErr w:type="spellEnd"/>
      <w:r w:rsidRPr="00615EA8">
        <w:rPr>
          <w:lang w:val="en-US"/>
        </w:rPr>
        <w:t xml:space="preserve"> </w:t>
      </w:r>
      <w:proofErr w:type="spellStart"/>
      <w:r w:rsidRPr="00615EA8">
        <w:rPr>
          <w:lang w:val="en-US"/>
        </w:rPr>
        <w:t>ornatum</w:t>
      </w:r>
      <w:proofErr w:type="spellEnd"/>
      <w:r w:rsidRPr="00615EA8">
        <w:rPr>
          <w:lang w:val="en-US"/>
        </w:rPr>
        <w:t xml:space="preserve">, </w:t>
      </w:r>
      <w:proofErr w:type="spellStart"/>
      <w:r w:rsidRPr="00615EA8">
        <w:rPr>
          <w:lang w:val="en-US"/>
        </w:rPr>
        <w:t>imitare</w:t>
      </w:r>
      <w:proofErr w:type="spellEnd"/>
      <w:r w:rsidRPr="00615EA8">
        <w:rPr>
          <w:lang w:val="en-US"/>
        </w:rPr>
        <w:t xml:space="preserve">”. John Chrysostom (Saint), “In </w:t>
      </w:r>
      <w:proofErr w:type="spellStart"/>
      <w:r w:rsidRPr="00615EA8">
        <w:rPr>
          <w:lang w:val="en-US"/>
        </w:rPr>
        <w:t>Matthaeum</w:t>
      </w:r>
      <w:proofErr w:type="spellEnd"/>
      <w:r w:rsidRPr="00615EA8">
        <w:rPr>
          <w:lang w:val="en-US"/>
        </w:rPr>
        <w:t xml:space="preserve"> </w:t>
      </w:r>
      <w:proofErr w:type="spellStart"/>
      <w:r w:rsidRPr="00615EA8">
        <w:rPr>
          <w:lang w:val="en-US"/>
        </w:rPr>
        <w:t>homilia</w:t>
      </w:r>
      <w:proofErr w:type="spellEnd"/>
      <w:r w:rsidRPr="00615EA8">
        <w:rPr>
          <w:lang w:val="en-US"/>
        </w:rPr>
        <w:t xml:space="preserve">,” in </w:t>
      </w:r>
      <w:r w:rsidRPr="00615EA8">
        <w:rPr>
          <w:i/>
          <w:iCs/>
          <w:lang w:val="en-US"/>
        </w:rPr>
        <w:t>Opera Omnia</w:t>
      </w:r>
      <w:r w:rsidRPr="00615EA8">
        <w:rPr>
          <w:lang w:val="en-US"/>
        </w:rPr>
        <w:t xml:space="preserve">, ed. J. P. </w:t>
      </w:r>
      <w:proofErr w:type="spellStart"/>
      <w:r w:rsidRPr="00615EA8">
        <w:rPr>
          <w:lang w:val="en-US"/>
        </w:rPr>
        <w:t>Migne</w:t>
      </w:r>
      <w:proofErr w:type="spellEnd"/>
      <w:r w:rsidRPr="00615EA8">
        <w:rPr>
          <w:lang w:val="en-US"/>
        </w:rPr>
        <w:t xml:space="preserve">, vol. 57, </w:t>
      </w:r>
      <w:proofErr w:type="spellStart"/>
      <w:r w:rsidRPr="00615EA8">
        <w:rPr>
          <w:lang w:val="en-US"/>
        </w:rPr>
        <w:t>Patrologia</w:t>
      </w:r>
      <w:proofErr w:type="spellEnd"/>
      <w:r w:rsidRPr="00615EA8">
        <w:rPr>
          <w:lang w:val="en-US"/>
        </w:rPr>
        <w:t xml:space="preserve"> </w:t>
      </w:r>
      <w:proofErr w:type="spellStart"/>
      <w:r w:rsidRPr="00615EA8">
        <w:rPr>
          <w:lang w:val="en-US"/>
        </w:rPr>
        <w:t>Graeca</w:t>
      </w:r>
      <w:proofErr w:type="spellEnd"/>
      <w:r w:rsidRPr="00615EA8">
        <w:rPr>
          <w:lang w:val="en-US"/>
        </w:rPr>
        <w:t xml:space="preserve"> (Paris: </w:t>
      </w:r>
      <w:proofErr w:type="spellStart"/>
      <w:r w:rsidRPr="00615EA8">
        <w:rPr>
          <w:lang w:val="en-US"/>
        </w:rPr>
        <w:t>Migne</w:t>
      </w:r>
      <w:proofErr w:type="spellEnd"/>
      <w:r w:rsidRPr="00615EA8">
        <w:rPr>
          <w:lang w:val="en-US"/>
        </w:rPr>
        <w:t xml:space="preserve">, 1862), XIX.2, 227; English translation quoted in Christopher J. Samuel, “‘Heavenly Theologians’: The Place </w:t>
      </w:r>
      <w:r>
        <w:rPr>
          <w:lang w:val="en-US"/>
        </w:rPr>
        <w:t>o</w:t>
      </w:r>
      <w:r w:rsidRPr="00615EA8">
        <w:rPr>
          <w:lang w:val="en-US"/>
        </w:rPr>
        <w:t xml:space="preserve">f Angels </w:t>
      </w:r>
      <w:r>
        <w:rPr>
          <w:lang w:val="en-US"/>
        </w:rPr>
        <w:t>i</w:t>
      </w:r>
      <w:r w:rsidRPr="00615EA8">
        <w:rPr>
          <w:lang w:val="en-US"/>
        </w:rPr>
        <w:t xml:space="preserve">n The Theology </w:t>
      </w:r>
      <w:r>
        <w:rPr>
          <w:lang w:val="en-US"/>
        </w:rPr>
        <w:t>o</w:t>
      </w:r>
      <w:r w:rsidRPr="00615EA8">
        <w:rPr>
          <w:lang w:val="en-US"/>
        </w:rPr>
        <w:t>f Martin Luther” (Marquette University, 2014), 109 n. 331.</w:t>
      </w:r>
    </w:p>
  </w:footnote>
  <w:footnote w:id="375">
    <w:p w14:paraId="0F2B7823" w14:textId="77777777" w:rsidR="00182EED" w:rsidRDefault="00182EED" w:rsidP="008A116C">
      <w:pPr>
        <w:pStyle w:val="FootnoteText"/>
      </w:pPr>
      <w:r w:rsidRPr="00073E38">
        <w:rPr>
          <w:rStyle w:val="FootnoteReference"/>
        </w:rPr>
        <w:footnoteRef/>
      </w:r>
      <w:r>
        <w:t xml:space="preserve"> </w:t>
      </w:r>
      <w:r w:rsidRPr="00FE77A6">
        <w:rPr>
          <w:lang w:val="en-US"/>
        </w:rPr>
        <w:t xml:space="preserve">“Quid </w:t>
      </w:r>
      <w:proofErr w:type="spellStart"/>
      <w:r w:rsidRPr="00FE77A6">
        <w:rPr>
          <w:lang w:val="en-US"/>
        </w:rPr>
        <w:t>vero</w:t>
      </w:r>
      <w:proofErr w:type="spellEnd"/>
      <w:r w:rsidRPr="00FE77A6">
        <w:rPr>
          <w:lang w:val="en-US"/>
        </w:rPr>
        <w:t xml:space="preserve">? </w:t>
      </w:r>
      <w:proofErr w:type="spellStart"/>
      <w:r w:rsidRPr="00FE77A6">
        <w:rPr>
          <w:lang w:val="en-US"/>
        </w:rPr>
        <w:t>Hymni</w:t>
      </w:r>
      <w:proofErr w:type="spellEnd"/>
      <w:r w:rsidRPr="00FE77A6">
        <w:rPr>
          <w:lang w:val="en-US"/>
        </w:rPr>
        <w:t xml:space="preserve"> non sunt </w:t>
      </w:r>
      <w:proofErr w:type="spellStart"/>
      <w:r w:rsidRPr="00FE77A6">
        <w:rPr>
          <w:lang w:val="en-US"/>
        </w:rPr>
        <w:t>caelestes</w:t>
      </w:r>
      <w:proofErr w:type="spellEnd"/>
      <w:r w:rsidRPr="00FE77A6">
        <w:rPr>
          <w:lang w:val="en-US"/>
        </w:rPr>
        <w:t xml:space="preserve">? </w:t>
      </w:r>
      <w:proofErr w:type="spellStart"/>
      <w:r w:rsidRPr="00FE77A6">
        <w:rPr>
          <w:lang w:val="en-US"/>
        </w:rPr>
        <w:t>Annon</w:t>
      </w:r>
      <w:proofErr w:type="spellEnd"/>
      <w:r w:rsidRPr="00FE77A6">
        <w:rPr>
          <w:lang w:val="en-US"/>
        </w:rPr>
        <w:t xml:space="preserve"> </w:t>
      </w:r>
      <w:proofErr w:type="spellStart"/>
      <w:r w:rsidRPr="00FE77A6">
        <w:rPr>
          <w:lang w:val="en-US"/>
        </w:rPr>
        <w:t>quae</w:t>
      </w:r>
      <w:proofErr w:type="spellEnd"/>
      <w:r w:rsidRPr="00FE77A6">
        <w:rPr>
          <w:lang w:val="en-US"/>
        </w:rPr>
        <w:t xml:space="preserve"> apud </w:t>
      </w:r>
      <w:proofErr w:type="spellStart"/>
      <w:r w:rsidRPr="00FE77A6">
        <w:rPr>
          <w:lang w:val="en-US"/>
        </w:rPr>
        <w:t>superos</w:t>
      </w:r>
      <w:proofErr w:type="spellEnd"/>
      <w:r w:rsidRPr="00FE77A6">
        <w:rPr>
          <w:lang w:val="en-US"/>
        </w:rPr>
        <w:t xml:space="preserve"> </w:t>
      </w:r>
      <w:proofErr w:type="spellStart"/>
      <w:r w:rsidRPr="00FE77A6">
        <w:rPr>
          <w:lang w:val="en-US"/>
        </w:rPr>
        <w:t>canunt</w:t>
      </w:r>
      <w:proofErr w:type="spellEnd"/>
      <w:r w:rsidRPr="00FE77A6">
        <w:rPr>
          <w:lang w:val="en-US"/>
        </w:rPr>
        <w:t xml:space="preserve"> </w:t>
      </w:r>
      <w:proofErr w:type="spellStart"/>
      <w:r w:rsidRPr="00FE77A6">
        <w:rPr>
          <w:lang w:val="en-US"/>
        </w:rPr>
        <w:t>chori</w:t>
      </w:r>
      <w:proofErr w:type="spellEnd"/>
      <w:r w:rsidRPr="00FE77A6">
        <w:rPr>
          <w:lang w:val="en-US"/>
        </w:rPr>
        <w:t xml:space="preserve"> </w:t>
      </w:r>
      <w:proofErr w:type="spellStart"/>
      <w:r w:rsidRPr="00FE77A6">
        <w:rPr>
          <w:lang w:val="en-US"/>
        </w:rPr>
        <w:t>Virtutum</w:t>
      </w:r>
      <w:proofErr w:type="spellEnd"/>
      <w:r w:rsidRPr="00FE77A6">
        <w:rPr>
          <w:lang w:val="en-US"/>
        </w:rPr>
        <w:t xml:space="preserve"> </w:t>
      </w:r>
      <w:proofErr w:type="spellStart"/>
      <w:r w:rsidRPr="00FE77A6">
        <w:rPr>
          <w:lang w:val="en-US"/>
        </w:rPr>
        <w:t>incorporearum</w:t>
      </w:r>
      <w:proofErr w:type="spellEnd"/>
      <w:r w:rsidRPr="00FE77A6">
        <w:rPr>
          <w:lang w:val="en-US"/>
        </w:rPr>
        <w:t xml:space="preserve">, </w:t>
      </w:r>
      <w:proofErr w:type="spellStart"/>
      <w:r w:rsidRPr="00FE77A6">
        <w:rPr>
          <w:lang w:val="en-US"/>
        </w:rPr>
        <w:t>ea</w:t>
      </w:r>
      <w:proofErr w:type="spellEnd"/>
      <w:r w:rsidRPr="00FE77A6">
        <w:rPr>
          <w:lang w:val="en-US"/>
        </w:rPr>
        <w:t xml:space="preserve"> </w:t>
      </w:r>
      <w:proofErr w:type="spellStart"/>
      <w:r w:rsidRPr="00FE77A6">
        <w:rPr>
          <w:lang w:val="en-US"/>
        </w:rPr>
        <w:t>nos</w:t>
      </w:r>
      <w:proofErr w:type="spellEnd"/>
      <w:r w:rsidRPr="00FE77A6">
        <w:rPr>
          <w:lang w:val="en-US"/>
        </w:rPr>
        <w:t xml:space="preserve"> quoque qui infra </w:t>
      </w:r>
      <w:proofErr w:type="spellStart"/>
      <w:r w:rsidRPr="00FE77A6">
        <w:rPr>
          <w:lang w:val="en-US"/>
        </w:rPr>
        <w:t>sumus</w:t>
      </w:r>
      <w:proofErr w:type="spellEnd"/>
      <w:r w:rsidRPr="00FE77A6">
        <w:rPr>
          <w:lang w:val="en-US"/>
        </w:rPr>
        <w:t xml:space="preserve"> </w:t>
      </w:r>
      <w:proofErr w:type="spellStart"/>
      <w:r w:rsidRPr="00FE77A6">
        <w:rPr>
          <w:lang w:val="en-US"/>
        </w:rPr>
        <w:t>canimus</w:t>
      </w:r>
      <w:proofErr w:type="spellEnd"/>
      <w:r w:rsidRPr="00FE77A6">
        <w:rPr>
          <w:lang w:val="en-US"/>
        </w:rPr>
        <w:t xml:space="preserve"> </w:t>
      </w:r>
      <w:proofErr w:type="spellStart"/>
      <w:r w:rsidRPr="00FE77A6">
        <w:rPr>
          <w:lang w:val="en-US"/>
        </w:rPr>
        <w:t>illis</w:t>
      </w:r>
      <w:proofErr w:type="spellEnd"/>
      <w:r w:rsidRPr="00FE77A6">
        <w:rPr>
          <w:lang w:val="en-US"/>
        </w:rPr>
        <w:t xml:space="preserve"> </w:t>
      </w:r>
      <w:proofErr w:type="spellStart"/>
      <w:r w:rsidRPr="00FE77A6">
        <w:rPr>
          <w:lang w:val="en-US"/>
        </w:rPr>
        <w:t>consonantia</w:t>
      </w:r>
      <w:proofErr w:type="spellEnd"/>
      <w:r w:rsidRPr="00FE77A6">
        <w:rPr>
          <w:lang w:val="en-US"/>
        </w:rPr>
        <w:t xml:space="preserve">? </w:t>
      </w:r>
      <w:proofErr w:type="spellStart"/>
      <w:r w:rsidRPr="00FE77A6">
        <w:rPr>
          <w:lang w:val="en-US"/>
        </w:rPr>
        <w:t>Annon</w:t>
      </w:r>
      <w:proofErr w:type="spellEnd"/>
      <w:r w:rsidRPr="00FE77A6">
        <w:rPr>
          <w:lang w:val="en-US"/>
        </w:rPr>
        <w:t xml:space="preserve"> et </w:t>
      </w:r>
      <w:proofErr w:type="spellStart"/>
      <w:r w:rsidRPr="00FE77A6">
        <w:rPr>
          <w:lang w:val="en-US"/>
        </w:rPr>
        <w:t>ara</w:t>
      </w:r>
      <w:proofErr w:type="spellEnd"/>
      <w:r w:rsidRPr="00FE77A6">
        <w:rPr>
          <w:lang w:val="en-US"/>
        </w:rPr>
        <w:t xml:space="preserve"> </w:t>
      </w:r>
      <w:proofErr w:type="spellStart"/>
      <w:r w:rsidRPr="00FE77A6">
        <w:rPr>
          <w:lang w:val="en-US"/>
        </w:rPr>
        <w:t>est</w:t>
      </w:r>
      <w:proofErr w:type="spellEnd"/>
      <w:r w:rsidRPr="00FE77A6">
        <w:rPr>
          <w:lang w:val="en-US"/>
        </w:rPr>
        <w:t xml:space="preserve"> </w:t>
      </w:r>
      <w:proofErr w:type="spellStart"/>
      <w:r w:rsidRPr="00FE77A6">
        <w:rPr>
          <w:lang w:val="en-US"/>
        </w:rPr>
        <w:t>caelestis</w:t>
      </w:r>
      <w:proofErr w:type="spellEnd"/>
      <w:r w:rsidRPr="00FE77A6">
        <w:rPr>
          <w:lang w:val="en-US"/>
        </w:rPr>
        <w:t xml:space="preserve">? Quomodo? Nihil </w:t>
      </w:r>
      <w:proofErr w:type="spellStart"/>
      <w:r w:rsidRPr="00FE77A6">
        <w:rPr>
          <w:lang w:val="en-US"/>
        </w:rPr>
        <w:t>habet</w:t>
      </w:r>
      <w:proofErr w:type="spellEnd"/>
      <w:r w:rsidRPr="00FE77A6">
        <w:rPr>
          <w:lang w:val="en-US"/>
        </w:rPr>
        <w:t xml:space="preserve"> </w:t>
      </w:r>
      <w:proofErr w:type="spellStart"/>
      <w:r w:rsidRPr="00FE77A6">
        <w:rPr>
          <w:lang w:val="en-US"/>
        </w:rPr>
        <w:t>carnale</w:t>
      </w:r>
      <w:proofErr w:type="spellEnd"/>
      <w:r w:rsidRPr="00FE77A6">
        <w:rPr>
          <w:lang w:val="en-US"/>
        </w:rPr>
        <w:t xml:space="preserve">: sunt </w:t>
      </w:r>
      <w:proofErr w:type="spellStart"/>
      <w:r w:rsidRPr="00FE77A6">
        <w:rPr>
          <w:lang w:val="en-US"/>
        </w:rPr>
        <w:t>spiritualia</w:t>
      </w:r>
      <w:proofErr w:type="spellEnd"/>
      <w:r w:rsidRPr="00FE77A6">
        <w:rPr>
          <w:lang w:val="en-US"/>
        </w:rPr>
        <w:t xml:space="preserve"> omnia </w:t>
      </w:r>
      <w:proofErr w:type="spellStart"/>
      <w:r w:rsidRPr="00FE77A6">
        <w:rPr>
          <w:lang w:val="en-US"/>
        </w:rPr>
        <w:t>quae</w:t>
      </w:r>
      <w:proofErr w:type="spellEnd"/>
      <w:r w:rsidRPr="00FE77A6">
        <w:rPr>
          <w:lang w:val="en-US"/>
        </w:rPr>
        <w:t xml:space="preserve"> sunt proposita … Quomodo </w:t>
      </w:r>
      <w:proofErr w:type="spellStart"/>
      <w:r w:rsidRPr="00FE77A6">
        <w:rPr>
          <w:lang w:val="en-US"/>
        </w:rPr>
        <w:t>autem</w:t>
      </w:r>
      <w:proofErr w:type="spellEnd"/>
      <w:r w:rsidRPr="00FE77A6">
        <w:rPr>
          <w:lang w:val="en-US"/>
        </w:rPr>
        <w:t xml:space="preserve"> non sunt </w:t>
      </w:r>
      <w:proofErr w:type="spellStart"/>
      <w:r w:rsidRPr="00FE77A6">
        <w:rPr>
          <w:lang w:val="en-US"/>
        </w:rPr>
        <w:t>caelestia</w:t>
      </w:r>
      <w:proofErr w:type="spellEnd"/>
      <w:r w:rsidRPr="00FE77A6">
        <w:rPr>
          <w:lang w:val="en-US"/>
        </w:rPr>
        <w:t xml:space="preserve"> </w:t>
      </w:r>
      <w:proofErr w:type="spellStart"/>
      <w:r w:rsidRPr="00FE77A6">
        <w:rPr>
          <w:lang w:val="en-US"/>
        </w:rPr>
        <w:t>quae</w:t>
      </w:r>
      <w:proofErr w:type="spellEnd"/>
      <w:r w:rsidRPr="00FE77A6">
        <w:rPr>
          <w:lang w:val="en-US"/>
        </w:rPr>
        <w:t xml:space="preserve"> </w:t>
      </w:r>
      <w:proofErr w:type="spellStart"/>
      <w:r w:rsidRPr="00FE77A6">
        <w:rPr>
          <w:lang w:val="en-US"/>
        </w:rPr>
        <w:t>perficiuntur</w:t>
      </w:r>
      <w:proofErr w:type="spellEnd"/>
      <w:r w:rsidRPr="00FE77A6">
        <w:rPr>
          <w:lang w:val="en-US"/>
        </w:rPr>
        <w:t xml:space="preserve"> </w:t>
      </w:r>
      <w:proofErr w:type="spellStart"/>
      <w:r w:rsidRPr="00FE77A6">
        <w:rPr>
          <w:lang w:val="en-US"/>
        </w:rPr>
        <w:t>mysteria</w:t>
      </w:r>
      <w:proofErr w:type="spellEnd"/>
      <w:r w:rsidRPr="00FE77A6">
        <w:rPr>
          <w:lang w:val="en-US"/>
        </w:rPr>
        <w:t xml:space="preserve"> … qui </w:t>
      </w:r>
      <w:proofErr w:type="spellStart"/>
      <w:r w:rsidRPr="00FE77A6">
        <w:rPr>
          <w:lang w:val="en-US"/>
        </w:rPr>
        <w:t>nunc</w:t>
      </w:r>
      <w:proofErr w:type="spellEnd"/>
      <w:r w:rsidRPr="00FE77A6">
        <w:rPr>
          <w:lang w:val="en-US"/>
        </w:rPr>
        <w:t xml:space="preserve"> ministrant </w:t>
      </w:r>
      <w:proofErr w:type="spellStart"/>
      <w:r w:rsidRPr="00FE77A6">
        <w:rPr>
          <w:lang w:val="en-US"/>
        </w:rPr>
        <w:t>sibi</w:t>
      </w:r>
      <w:proofErr w:type="spellEnd"/>
      <w:r w:rsidRPr="00FE77A6">
        <w:rPr>
          <w:lang w:val="en-US"/>
        </w:rPr>
        <w:t xml:space="preserve"> </w:t>
      </w:r>
      <w:proofErr w:type="spellStart"/>
      <w:r w:rsidRPr="00FE77A6">
        <w:rPr>
          <w:lang w:val="en-US"/>
        </w:rPr>
        <w:t>ipsis</w:t>
      </w:r>
      <w:proofErr w:type="spellEnd"/>
      <w:r w:rsidRPr="00FE77A6">
        <w:rPr>
          <w:lang w:val="en-US"/>
        </w:rPr>
        <w:t xml:space="preserve"> id ipsum </w:t>
      </w:r>
      <w:proofErr w:type="spellStart"/>
      <w:r w:rsidRPr="00FE77A6">
        <w:rPr>
          <w:lang w:val="en-US"/>
        </w:rPr>
        <w:t>audiunt</w:t>
      </w:r>
      <w:proofErr w:type="spellEnd"/>
      <w:r w:rsidRPr="00FE77A6">
        <w:rPr>
          <w:lang w:val="en-US"/>
        </w:rPr>
        <w:t xml:space="preserve"> dictum?” John Chrysostom (Saint), “In </w:t>
      </w:r>
      <w:proofErr w:type="spellStart"/>
      <w:r w:rsidRPr="00FE77A6">
        <w:rPr>
          <w:lang w:val="en-US"/>
        </w:rPr>
        <w:t>Epistolam</w:t>
      </w:r>
      <w:proofErr w:type="spellEnd"/>
      <w:r w:rsidRPr="00FE77A6">
        <w:rPr>
          <w:lang w:val="en-US"/>
        </w:rPr>
        <w:t xml:space="preserve"> </w:t>
      </w:r>
      <w:proofErr w:type="spellStart"/>
      <w:r w:rsidRPr="00FE77A6">
        <w:rPr>
          <w:lang w:val="en-US"/>
        </w:rPr>
        <w:t>ad</w:t>
      </w:r>
      <w:proofErr w:type="spellEnd"/>
      <w:r w:rsidRPr="00FE77A6">
        <w:rPr>
          <w:lang w:val="en-US"/>
        </w:rPr>
        <w:t xml:space="preserve"> </w:t>
      </w:r>
      <w:proofErr w:type="spellStart"/>
      <w:r w:rsidRPr="00FE77A6">
        <w:rPr>
          <w:lang w:val="en-US"/>
        </w:rPr>
        <w:t>Ebreos</w:t>
      </w:r>
      <w:proofErr w:type="spellEnd"/>
      <w:r w:rsidRPr="00FE77A6">
        <w:rPr>
          <w:lang w:val="en-US"/>
        </w:rPr>
        <w:t xml:space="preserve"> </w:t>
      </w:r>
      <w:proofErr w:type="spellStart"/>
      <w:r w:rsidRPr="00FE77A6">
        <w:rPr>
          <w:lang w:val="en-US"/>
        </w:rPr>
        <w:t>homilia</w:t>
      </w:r>
      <w:proofErr w:type="spellEnd"/>
      <w:r w:rsidRPr="00FE77A6">
        <w:rPr>
          <w:lang w:val="en-US"/>
        </w:rPr>
        <w:t xml:space="preserve">,” in </w:t>
      </w:r>
      <w:r w:rsidRPr="00FE77A6">
        <w:rPr>
          <w:i/>
          <w:iCs/>
          <w:lang w:val="en-US"/>
        </w:rPr>
        <w:t>Opera Omnia</w:t>
      </w:r>
      <w:r w:rsidRPr="00FE77A6">
        <w:rPr>
          <w:lang w:val="en-US"/>
        </w:rPr>
        <w:t xml:space="preserve">, ed. J. P. </w:t>
      </w:r>
      <w:proofErr w:type="spellStart"/>
      <w:r w:rsidRPr="00FE77A6">
        <w:rPr>
          <w:lang w:val="en-US"/>
        </w:rPr>
        <w:t>Migne</w:t>
      </w:r>
      <w:proofErr w:type="spellEnd"/>
      <w:r w:rsidRPr="00FE77A6">
        <w:rPr>
          <w:lang w:val="en-US"/>
        </w:rPr>
        <w:t xml:space="preserve">, vol. 63, </w:t>
      </w:r>
      <w:proofErr w:type="spellStart"/>
      <w:r w:rsidRPr="00FE77A6">
        <w:rPr>
          <w:lang w:val="en-US"/>
        </w:rPr>
        <w:t>Patrologia</w:t>
      </w:r>
      <w:proofErr w:type="spellEnd"/>
      <w:r w:rsidRPr="00FE77A6">
        <w:rPr>
          <w:lang w:val="en-US"/>
        </w:rPr>
        <w:t xml:space="preserve"> </w:t>
      </w:r>
      <w:proofErr w:type="spellStart"/>
      <w:r w:rsidRPr="00FE77A6">
        <w:rPr>
          <w:lang w:val="en-US"/>
        </w:rPr>
        <w:t>Graeca</w:t>
      </w:r>
      <w:proofErr w:type="spellEnd"/>
      <w:r w:rsidRPr="00FE77A6">
        <w:rPr>
          <w:lang w:val="en-US"/>
        </w:rPr>
        <w:t xml:space="preserve"> (Paris: </w:t>
      </w:r>
      <w:proofErr w:type="spellStart"/>
      <w:r w:rsidRPr="00FE77A6">
        <w:rPr>
          <w:lang w:val="en-US"/>
        </w:rPr>
        <w:t>Migne</w:t>
      </w:r>
      <w:proofErr w:type="spellEnd"/>
      <w:r w:rsidRPr="00FE77A6">
        <w:rPr>
          <w:lang w:val="en-US"/>
        </w:rPr>
        <w:t>, 1862), XIV.2, 111-112; English translation from Samuel, “Heavenly Theologians,” 110 n. 332.</w:t>
      </w:r>
    </w:p>
  </w:footnote>
  <w:footnote w:id="376">
    <w:p w14:paraId="11AC89D2" w14:textId="77777777" w:rsidR="00182EED" w:rsidRDefault="00182EED" w:rsidP="008A116C">
      <w:pPr>
        <w:pStyle w:val="FootnoteText"/>
      </w:pPr>
      <w:r w:rsidRPr="00073E38">
        <w:rPr>
          <w:rStyle w:val="FootnoteReference"/>
        </w:rPr>
        <w:footnoteRef/>
      </w:r>
      <w:r>
        <w:t xml:space="preserve"> </w:t>
      </w:r>
      <w:r w:rsidRPr="0059707A">
        <w:rPr>
          <w:lang w:val="en-US"/>
        </w:rPr>
        <w:t>“</w:t>
      </w:r>
      <w:proofErr w:type="spellStart"/>
      <w:r w:rsidRPr="0059707A">
        <w:rPr>
          <w:lang w:val="en-US"/>
        </w:rPr>
        <w:t>Quis</w:t>
      </w:r>
      <w:proofErr w:type="spellEnd"/>
      <w:r w:rsidRPr="0059707A">
        <w:rPr>
          <w:lang w:val="en-US"/>
        </w:rPr>
        <w:t xml:space="preserve"> </w:t>
      </w:r>
      <w:proofErr w:type="spellStart"/>
      <w:r w:rsidRPr="0059707A">
        <w:rPr>
          <w:lang w:val="en-US"/>
        </w:rPr>
        <w:t>enim</w:t>
      </w:r>
      <w:proofErr w:type="spellEnd"/>
      <w:r w:rsidRPr="0059707A">
        <w:rPr>
          <w:lang w:val="en-US"/>
        </w:rPr>
        <w:t xml:space="preserve"> </w:t>
      </w:r>
      <w:proofErr w:type="spellStart"/>
      <w:r w:rsidRPr="0059707A">
        <w:rPr>
          <w:lang w:val="en-US"/>
        </w:rPr>
        <w:t>fidelium</w:t>
      </w:r>
      <w:proofErr w:type="spellEnd"/>
      <w:r w:rsidRPr="0059707A">
        <w:rPr>
          <w:lang w:val="en-US"/>
        </w:rPr>
        <w:t xml:space="preserve"> habere </w:t>
      </w:r>
      <w:proofErr w:type="spellStart"/>
      <w:r w:rsidRPr="0059707A">
        <w:rPr>
          <w:lang w:val="en-US"/>
        </w:rPr>
        <w:t>dubium</w:t>
      </w:r>
      <w:proofErr w:type="spellEnd"/>
      <w:r w:rsidRPr="0059707A">
        <w:rPr>
          <w:lang w:val="en-US"/>
        </w:rPr>
        <w:t xml:space="preserve"> </w:t>
      </w:r>
      <w:proofErr w:type="spellStart"/>
      <w:r w:rsidRPr="0059707A">
        <w:rPr>
          <w:lang w:val="en-US"/>
        </w:rPr>
        <w:t>possit</w:t>
      </w:r>
      <w:proofErr w:type="spellEnd"/>
      <w:r w:rsidRPr="0059707A">
        <w:rPr>
          <w:lang w:val="en-US"/>
        </w:rPr>
        <w:t xml:space="preserve">, in </w:t>
      </w:r>
      <w:proofErr w:type="spellStart"/>
      <w:r w:rsidRPr="0059707A">
        <w:rPr>
          <w:lang w:val="en-US"/>
        </w:rPr>
        <w:t>ipsa</w:t>
      </w:r>
      <w:proofErr w:type="spellEnd"/>
      <w:r w:rsidRPr="0059707A">
        <w:rPr>
          <w:lang w:val="en-US"/>
        </w:rPr>
        <w:t xml:space="preserve"> </w:t>
      </w:r>
      <w:proofErr w:type="spellStart"/>
      <w:r w:rsidRPr="0059707A">
        <w:rPr>
          <w:lang w:val="en-US"/>
        </w:rPr>
        <w:t>immolationis</w:t>
      </w:r>
      <w:proofErr w:type="spellEnd"/>
      <w:r w:rsidRPr="0059707A">
        <w:rPr>
          <w:lang w:val="en-US"/>
        </w:rPr>
        <w:t xml:space="preserve"> hora ad </w:t>
      </w:r>
      <w:proofErr w:type="spellStart"/>
      <w:r w:rsidRPr="0059707A">
        <w:rPr>
          <w:lang w:val="en-US"/>
        </w:rPr>
        <w:t>sacerdotis</w:t>
      </w:r>
      <w:proofErr w:type="spellEnd"/>
      <w:r w:rsidRPr="0059707A">
        <w:rPr>
          <w:lang w:val="en-US"/>
        </w:rPr>
        <w:t xml:space="preserve"> </w:t>
      </w:r>
      <w:proofErr w:type="spellStart"/>
      <w:r w:rsidRPr="0059707A">
        <w:rPr>
          <w:lang w:val="en-US"/>
        </w:rPr>
        <w:t>vocem</w:t>
      </w:r>
      <w:proofErr w:type="spellEnd"/>
      <w:r w:rsidRPr="0059707A">
        <w:rPr>
          <w:lang w:val="en-US"/>
        </w:rPr>
        <w:t xml:space="preserve"> </w:t>
      </w:r>
      <w:proofErr w:type="spellStart"/>
      <w:r w:rsidRPr="0059707A">
        <w:rPr>
          <w:lang w:val="en-US"/>
        </w:rPr>
        <w:t>caelos</w:t>
      </w:r>
      <w:proofErr w:type="spellEnd"/>
      <w:r w:rsidRPr="0059707A">
        <w:rPr>
          <w:lang w:val="en-US"/>
        </w:rPr>
        <w:t xml:space="preserve"> </w:t>
      </w:r>
      <w:proofErr w:type="spellStart"/>
      <w:r w:rsidRPr="0059707A">
        <w:rPr>
          <w:lang w:val="en-US"/>
        </w:rPr>
        <w:t>aperiri</w:t>
      </w:r>
      <w:proofErr w:type="spellEnd"/>
      <w:r w:rsidRPr="0059707A">
        <w:rPr>
          <w:lang w:val="en-US"/>
        </w:rPr>
        <w:t xml:space="preserve">, in </w:t>
      </w:r>
      <w:proofErr w:type="spellStart"/>
      <w:r w:rsidRPr="0059707A">
        <w:rPr>
          <w:lang w:val="en-US"/>
        </w:rPr>
        <w:t>illo</w:t>
      </w:r>
      <w:proofErr w:type="spellEnd"/>
      <w:r w:rsidRPr="0059707A">
        <w:rPr>
          <w:lang w:val="en-US"/>
        </w:rPr>
        <w:t xml:space="preserve"> Jesu Christi </w:t>
      </w:r>
      <w:proofErr w:type="spellStart"/>
      <w:r w:rsidRPr="0059707A">
        <w:rPr>
          <w:lang w:val="en-US"/>
        </w:rPr>
        <w:t>mysterio</w:t>
      </w:r>
      <w:proofErr w:type="spellEnd"/>
      <w:r w:rsidRPr="0059707A">
        <w:rPr>
          <w:lang w:val="en-US"/>
        </w:rPr>
        <w:t xml:space="preserve"> </w:t>
      </w:r>
      <w:proofErr w:type="spellStart"/>
      <w:r w:rsidRPr="0059707A">
        <w:rPr>
          <w:lang w:val="en-US"/>
        </w:rPr>
        <w:t>angelorum</w:t>
      </w:r>
      <w:proofErr w:type="spellEnd"/>
      <w:r w:rsidRPr="0059707A">
        <w:rPr>
          <w:lang w:val="en-US"/>
        </w:rPr>
        <w:t xml:space="preserve"> </w:t>
      </w:r>
      <w:proofErr w:type="spellStart"/>
      <w:r w:rsidRPr="0059707A">
        <w:rPr>
          <w:lang w:val="en-US"/>
        </w:rPr>
        <w:t>choros</w:t>
      </w:r>
      <w:proofErr w:type="spellEnd"/>
      <w:r w:rsidRPr="0059707A">
        <w:rPr>
          <w:lang w:val="en-US"/>
        </w:rPr>
        <w:t xml:space="preserve"> </w:t>
      </w:r>
      <w:proofErr w:type="spellStart"/>
      <w:r w:rsidRPr="0059707A">
        <w:rPr>
          <w:lang w:val="en-US"/>
        </w:rPr>
        <w:t>adesse</w:t>
      </w:r>
      <w:proofErr w:type="spellEnd"/>
      <w:r w:rsidRPr="0059707A">
        <w:rPr>
          <w:lang w:val="en-US"/>
        </w:rPr>
        <w:t xml:space="preserve">, </w:t>
      </w:r>
      <w:proofErr w:type="spellStart"/>
      <w:r w:rsidRPr="0059707A">
        <w:rPr>
          <w:lang w:val="en-US"/>
        </w:rPr>
        <w:t>summis</w:t>
      </w:r>
      <w:proofErr w:type="spellEnd"/>
      <w:r w:rsidRPr="0059707A">
        <w:rPr>
          <w:lang w:val="en-US"/>
        </w:rPr>
        <w:t xml:space="preserve"> </w:t>
      </w:r>
      <w:proofErr w:type="spellStart"/>
      <w:r w:rsidRPr="0059707A">
        <w:rPr>
          <w:lang w:val="en-US"/>
        </w:rPr>
        <w:t>ima</w:t>
      </w:r>
      <w:proofErr w:type="spellEnd"/>
      <w:r w:rsidRPr="0059707A">
        <w:rPr>
          <w:lang w:val="en-US"/>
        </w:rPr>
        <w:t xml:space="preserve"> </w:t>
      </w:r>
      <w:proofErr w:type="spellStart"/>
      <w:r w:rsidRPr="0059707A">
        <w:rPr>
          <w:lang w:val="en-US"/>
        </w:rPr>
        <w:t>sociari</w:t>
      </w:r>
      <w:proofErr w:type="spellEnd"/>
      <w:r w:rsidRPr="0059707A">
        <w:rPr>
          <w:lang w:val="en-US"/>
        </w:rPr>
        <w:t xml:space="preserve">, </w:t>
      </w:r>
      <w:proofErr w:type="spellStart"/>
      <w:r w:rsidRPr="0059707A">
        <w:rPr>
          <w:lang w:val="en-US"/>
        </w:rPr>
        <w:t>terram</w:t>
      </w:r>
      <w:proofErr w:type="spellEnd"/>
      <w:r w:rsidRPr="0059707A">
        <w:rPr>
          <w:lang w:val="en-US"/>
        </w:rPr>
        <w:t xml:space="preserve"> </w:t>
      </w:r>
      <w:proofErr w:type="spellStart"/>
      <w:r w:rsidRPr="0059707A">
        <w:rPr>
          <w:lang w:val="en-US"/>
        </w:rPr>
        <w:t>caelestibus</w:t>
      </w:r>
      <w:proofErr w:type="spellEnd"/>
      <w:r w:rsidRPr="0059707A">
        <w:rPr>
          <w:lang w:val="en-US"/>
        </w:rPr>
        <w:t xml:space="preserve"> </w:t>
      </w:r>
      <w:proofErr w:type="spellStart"/>
      <w:r w:rsidRPr="0059707A">
        <w:rPr>
          <w:lang w:val="en-US"/>
        </w:rPr>
        <w:t>iungi</w:t>
      </w:r>
      <w:proofErr w:type="spellEnd"/>
      <w:r w:rsidRPr="0059707A">
        <w:rPr>
          <w:lang w:val="en-US"/>
        </w:rPr>
        <w:t xml:space="preserve">, </w:t>
      </w:r>
      <w:proofErr w:type="spellStart"/>
      <w:r w:rsidRPr="0059707A">
        <w:rPr>
          <w:lang w:val="en-US"/>
        </w:rPr>
        <w:t>unumque</w:t>
      </w:r>
      <w:proofErr w:type="spellEnd"/>
      <w:r w:rsidRPr="0059707A">
        <w:rPr>
          <w:lang w:val="en-US"/>
        </w:rPr>
        <w:t xml:space="preserve"> ex </w:t>
      </w:r>
      <w:proofErr w:type="spellStart"/>
      <w:r w:rsidRPr="0059707A">
        <w:rPr>
          <w:lang w:val="en-US"/>
        </w:rPr>
        <w:t>visibilibus</w:t>
      </w:r>
      <w:proofErr w:type="spellEnd"/>
      <w:r w:rsidRPr="0059707A">
        <w:rPr>
          <w:lang w:val="en-US"/>
        </w:rPr>
        <w:t xml:space="preserve"> </w:t>
      </w:r>
      <w:proofErr w:type="spellStart"/>
      <w:r w:rsidRPr="0059707A">
        <w:rPr>
          <w:lang w:val="en-US"/>
        </w:rPr>
        <w:t>atque</w:t>
      </w:r>
      <w:proofErr w:type="spellEnd"/>
      <w:r w:rsidRPr="0059707A">
        <w:rPr>
          <w:lang w:val="en-US"/>
        </w:rPr>
        <w:t xml:space="preserve"> </w:t>
      </w:r>
      <w:proofErr w:type="spellStart"/>
      <w:r w:rsidRPr="0059707A">
        <w:rPr>
          <w:lang w:val="en-US"/>
        </w:rPr>
        <w:t>invisibilibus</w:t>
      </w:r>
      <w:proofErr w:type="spellEnd"/>
      <w:r w:rsidRPr="0059707A">
        <w:rPr>
          <w:lang w:val="en-US"/>
        </w:rPr>
        <w:t xml:space="preserve"> </w:t>
      </w:r>
      <w:proofErr w:type="spellStart"/>
      <w:r w:rsidRPr="0059707A">
        <w:rPr>
          <w:lang w:val="en-US"/>
        </w:rPr>
        <w:t>fieri</w:t>
      </w:r>
      <w:proofErr w:type="spellEnd"/>
      <w:r w:rsidRPr="0059707A">
        <w:rPr>
          <w:lang w:val="en-US"/>
        </w:rPr>
        <w:t>?” Gregory the Great, “</w:t>
      </w:r>
      <w:proofErr w:type="spellStart"/>
      <w:r w:rsidRPr="0059707A">
        <w:rPr>
          <w:lang w:val="en-US"/>
        </w:rPr>
        <w:t>Dialogorum</w:t>
      </w:r>
      <w:proofErr w:type="spellEnd"/>
      <w:r w:rsidRPr="0059707A">
        <w:rPr>
          <w:lang w:val="en-US"/>
        </w:rPr>
        <w:t xml:space="preserve"> libri </w:t>
      </w:r>
      <w:proofErr w:type="spellStart"/>
      <w:r w:rsidRPr="0059707A">
        <w:rPr>
          <w:lang w:val="en-US"/>
        </w:rPr>
        <w:t>quattuor</w:t>
      </w:r>
      <w:proofErr w:type="spellEnd"/>
      <w:r w:rsidRPr="0059707A">
        <w:rPr>
          <w:lang w:val="en-US"/>
        </w:rPr>
        <w:t xml:space="preserve">,” in </w:t>
      </w:r>
      <w:r w:rsidRPr="0059707A">
        <w:rPr>
          <w:i/>
          <w:iCs/>
          <w:lang w:val="en-US"/>
        </w:rPr>
        <w:t>Opera Omnia</w:t>
      </w:r>
      <w:r w:rsidRPr="0059707A">
        <w:rPr>
          <w:lang w:val="en-US"/>
        </w:rPr>
        <w:t xml:space="preserve">, ed. J. P. </w:t>
      </w:r>
      <w:proofErr w:type="spellStart"/>
      <w:r w:rsidRPr="0059707A">
        <w:rPr>
          <w:lang w:val="en-US"/>
        </w:rPr>
        <w:t>Migne</w:t>
      </w:r>
      <w:proofErr w:type="spellEnd"/>
      <w:r w:rsidRPr="0059707A">
        <w:rPr>
          <w:lang w:val="en-US"/>
        </w:rPr>
        <w:t xml:space="preserve">, vol. 77, </w:t>
      </w:r>
      <w:proofErr w:type="spellStart"/>
      <w:r w:rsidRPr="0059707A">
        <w:rPr>
          <w:lang w:val="en-US"/>
        </w:rPr>
        <w:t>Patrologia</w:t>
      </w:r>
      <w:proofErr w:type="spellEnd"/>
      <w:r w:rsidRPr="0059707A">
        <w:rPr>
          <w:lang w:val="en-US"/>
        </w:rPr>
        <w:t xml:space="preserve"> Latina (Paris: </w:t>
      </w:r>
      <w:proofErr w:type="spellStart"/>
      <w:r w:rsidRPr="0059707A">
        <w:rPr>
          <w:lang w:val="en-US"/>
        </w:rPr>
        <w:t>Migne</w:t>
      </w:r>
      <w:proofErr w:type="spellEnd"/>
      <w:r w:rsidRPr="0059707A">
        <w:rPr>
          <w:lang w:val="en-US"/>
        </w:rPr>
        <w:t>, 1896), IV.58, cols. 425–28.</w:t>
      </w:r>
    </w:p>
  </w:footnote>
  <w:footnote w:id="377">
    <w:p w14:paraId="232FEC1F" w14:textId="77777777" w:rsidR="00182EED" w:rsidRDefault="00182EED" w:rsidP="008A116C">
      <w:pPr>
        <w:pStyle w:val="FootnoteText"/>
      </w:pPr>
      <w:r w:rsidRPr="00073E38">
        <w:rPr>
          <w:rStyle w:val="FootnoteReference"/>
        </w:rPr>
        <w:footnoteRef/>
      </w:r>
      <w:r>
        <w:t xml:space="preserve"> </w:t>
      </w:r>
      <w:r w:rsidRPr="00615EA8">
        <w:rPr>
          <w:lang w:val="en-US"/>
        </w:rPr>
        <w:t>“</w:t>
      </w:r>
      <w:proofErr w:type="spellStart"/>
      <w:r w:rsidRPr="00615EA8">
        <w:rPr>
          <w:lang w:val="en-US"/>
        </w:rPr>
        <w:t>Cantica</w:t>
      </w:r>
      <w:proofErr w:type="spellEnd"/>
      <w:r w:rsidRPr="00615EA8">
        <w:rPr>
          <w:lang w:val="en-US"/>
        </w:rPr>
        <w:t xml:space="preserve"> </w:t>
      </w:r>
      <w:proofErr w:type="spellStart"/>
      <w:r w:rsidRPr="00615EA8">
        <w:rPr>
          <w:lang w:val="en-US"/>
        </w:rPr>
        <w:t>angelorum</w:t>
      </w:r>
      <w:proofErr w:type="spellEnd"/>
      <w:r w:rsidRPr="00615EA8">
        <w:rPr>
          <w:lang w:val="en-US"/>
        </w:rPr>
        <w:t xml:space="preserve"> </w:t>
      </w:r>
      <w:proofErr w:type="spellStart"/>
      <w:r w:rsidRPr="00615EA8">
        <w:rPr>
          <w:lang w:val="en-US"/>
        </w:rPr>
        <w:t>cantamus</w:t>
      </w:r>
      <w:proofErr w:type="spellEnd"/>
      <w:r w:rsidRPr="00615EA8">
        <w:rPr>
          <w:lang w:val="en-US"/>
        </w:rPr>
        <w:t xml:space="preserve">, </w:t>
      </w:r>
      <w:proofErr w:type="spellStart"/>
      <w:r w:rsidRPr="00615EA8">
        <w:rPr>
          <w:lang w:val="en-US"/>
        </w:rPr>
        <w:t>quia</w:t>
      </w:r>
      <w:proofErr w:type="spellEnd"/>
      <w:r w:rsidRPr="00615EA8">
        <w:rPr>
          <w:lang w:val="en-US"/>
        </w:rPr>
        <w:t xml:space="preserve"> per hoc </w:t>
      </w:r>
      <w:proofErr w:type="spellStart"/>
      <w:r w:rsidRPr="00615EA8">
        <w:rPr>
          <w:lang w:val="en-US"/>
        </w:rPr>
        <w:t>sacrificium</w:t>
      </w:r>
      <w:proofErr w:type="spellEnd"/>
      <w:r w:rsidRPr="00615EA8">
        <w:rPr>
          <w:lang w:val="en-US"/>
        </w:rPr>
        <w:t xml:space="preserve"> </w:t>
      </w:r>
      <w:proofErr w:type="spellStart"/>
      <w:r w:rsidRPr="00615EA8">
        <w:rPr>
          <w:lang w:val="en-US"/>
        </w:rPr>
        <w:t>terrena</w:t>
      </w:r>
      <w:proofErr w:type="spellEnd"/>
      <w:r w:rsidRPr="00615EA8">
        <w:rPr>
          <w:lang w:val="en-US"/>
        </w:rPr>
        <w:t xml:space="preserve"> </w:t>
      </w:r>
      <w:proofErr w:type="spellStart"/>
      <w:r w:rsidRPr="00615EA8">
        <w:rPr>
          <w:lang w:val="en-US"/>
        </w:rPr>
        <w:t>iungi</w:t>
      </w:r>
      <w:proofErr w:type="spellEnd"/>
      <w:r w:rsidRPr="00615EA8">
        <w:rPr>
          <w:lang w:val="en-US"/>
        </w:rPr>
        <w:t xml:space="preserve"> </w:t>
      </w:r>
      <w:proofErr w:type="spellStart"/>
      <w:r w:rsidRPr="00615EA8">
        <w:rPr>
          <w:lang w:val="en-US"/>
        </w:rPr>
        <w:t>celestibus</w:t>
      </w:r>
      <w:proofErr w:type="spellEnd"/>
      <w:r w:rsidRPr="00615EA8">
        <w:rPr>
          <w:lang w:val="en-US"/>
        </w:rPr>
        <w:t xml:space="preserve"> non </w:t>
      </w:r>
      <w:proofErr w:type="spellStart"/>
      <w:r w:rsidRPr="00615EA8">
        <w:rPr>
          <w:lang w:val="en-US"/>
        </w:rPr>
        <w:t>dubitamus</w:t>
      </w:r>
      <w:proofErr w:type="spellEnd"/>
      <w:r w:rsidRPr="00615EA8">
        <w:rPr>
          <w:lang w:val="en-US"/>
        </w:rPr>
        <w:t xml:space="preserve">.” Johannes </w:t>
      </w:r>
      <w:proofErr w:type="spellStart"/>
      <w:r w:rsidRPr="00615EA8">
        <w:rPr>
          <w:lang w:val="en-US"/>
        </w:rPr>
        <w:t>Beleth</w:t>
      </w:r>
      <w:proofErr w:type="spellEnd"/>
      <w:r w:rsidRPr="00615EA8">
        <w:rPr>
          <w:lang w:val="en-US"/>
        </w:rPr>
        <w:t xml:space="preserve">, “Summa de </w:t>
      </w:r>
      <w:proofErr w:type="spellStart"/>
      <w:r w:rsidRPr="00615EA8">
        <w:rPr>
          <w:lang w:val="en-US"/>
        </w:rPr>
        <w:t>ecclesiasticis</w:t>
      </w:r>
      <w:proofErr w:type="spellEnd"/>
      <w:r w:rsidRPr="00615EA8">
        <w:rPr>
          <w:lang w:val="en-US"/>
        </w:rPr>
        <w:t xml:space="preserve"> </w:t>
      </w:r>
      <w:proofErr w:type="spellStart"/>
      <w:r w:rsidRPr="00615EA8">
        <w:rPr>
          <w:lang w:val="en-US"/>
        </w:rPr>
        <w:t>officiis</w:t>
      </w:r>
      <w:proofErr w:type="spellEnd"/>
      <w:r w:rsidRPr="00615EA8">
        <w:rPr>
          <w:lang w:val="en-US"/>
        </w:rPr>
        <w:t xml:space="preserve">,” in </w:t>
      </w:r>
      <w:r w:rsidRPr="00615EA8">
        <w:rPr>
          <w:i/>
          <w:iCs/>
          <w:lang w:val="en-US"/>
        </w:rPr>
        <w:t xml:space="preserve">Corpus </w:t>
      </w:r>
      <w:proofErr w:type="spellStart"/>
      <w:r w:rsidRPr="00615EA8">
        <w:rPr>
          <w:i/>
          <w:iCs/>
          <w:lang w:val="en-US"/>
        </w:rPr>
        <w:t>Christianorum</w:t>
      </w:r>
      <w:proofErr w:type="spellEnd"/>
      <w:r w:rsidRPr="00615EA8">
        <w:rPr>
          <w:i/>
          <w:iCs/>
          <w:lang w:val="en-US"/>
        </w:rPr>
        <w:t xml:space="preserve"> </w:t>
      </w:r>
      <w:proofErr w:type="spellStart"/>
      <w:r w:rsidRPr="00615EA8">
        <w:rPr>
          <w:i/>
          <w:iCs/>
          <w:lang w:val="en-US"/>
        </w:rPr>
        <w:t>Continuatio</w:t>
      </w:r>
      <w:proofErr w:type="spellEnd"/>
      <w:r w:rsidRPr="00615EA8">
        <w:rPr>
          <w:i/>
          <w:iCs/>
          <w:lang w:val="en-US"/>
        </w:rPr>
        <w:t xml:space="preserve"> </w:t>
      </w:r>
      <w:proofErr w:type="spellStart"/>
      <w:r w:rsidRPr="00615EA8">
        <w:rPr>
          <w:i/>
          <w:iCs/>
          <w:lang w:val="en-US"/>
        </w:rPr>
        <w:t>Mediaevalis</w:t>
      </w:r>
      <w:proofErr w:type="spellEnd"/>
      <w:r w:rsidRPr="00615EA8">
        <w:rPr>
          <w:lang w:val="en-US"/>
        </w:rPr>
        <w:t xml:space="preserve">, ed. Herbert </w:t>
      </w:r>
      <w:proofErr w:type="spellStart"/>
      <w:r w:rsidRPr="00615EA8">
        <w:rPr>
          <w:lang w:val="en-US"/>
        </w:rPr>
        <w:t>Douteil</w:t>
      </w:r>
      <w:proofErr w:type="spellEnd"/>
      <w:r w:rsidRPr="00615EA8">
        <w:rPr>
          <w:lang w:val="en-US"/>
        </w:rPr>
        <w:t>, vol. 41 (</w:t>
      </w:r>
      <w:proofErr w:type="spellStart"/>
      <w:r w:rsidRPr="00615EA8">
        <w:rPr>
          <w:lang w:val="en-US"/>
        </w:rPr>
        <w:t>Turnholt</w:t>
      </w:r>
      <w:proofErr w:type="spellEnd"/>
      <w:r w:rsidRPr="00615EA8">
        <w:rPr>
          <w:lang w:val="en-US"/>
        </w:rPr>
        <w:t xml:space="preserve">: </w:t>
      </w:r>
      <w:proofErr w:type="spellStart"/>
      <w:r w:rsidRPr="00615EA8">
        <w:rPr>
          <w:lang w:val="en-US"/>
        </w:rPr>
        <w:t>Brepols</w:t>
      </w:r>
      <w:proofErr w:type="spellEnd"/>
      <w:r w:rsidRPr="00615EA8">
        <w:rPr>
          <w:lang w:val="en-US"/>
        </w:rPr>
        <w:t xml:space="preserve">, 1976), 45.18-19, 81; see Tim Shephard, Laura </w:t>
      </w:r>
      <w:proofErr w:type="spellStart"/>
      <w:r w:rsidRPr="00615EA8">
        <w:rPr>
          <w:lang w:val="en-US"/>
        </w:rPr>
        <w:t>Ştefănescu</w:t>
      </w:r>
      <w:proofErr w:type="spellEnd"/>
      <w:r w:rsidRPr="00615EA8">
        <w:rPr>
          <w:lang w:val="en-US"/>
        </w:rPr>
        <w:t xml:space="preserve">, and Serenella Sessini, “Music, Silence, and the Senses in a Late Fifteenth-Century Book of Hours,” </w:t>
      </w:r>
      <w:r w:rsidRPr="00615EA8">
        <w:rPr>
          <w:i/>
          <w:iCs/>
          <w:lang w:val="en-US"/>
        </w:rPr>
        <w:t>Renaissance Quarterly</w:t>
      </w:r>
      <w:r w:rsidRPr="00615EA8">
        <w:rPr>
          <w:lang w:val="en-US"/>
        </w:rPr>
        <w:t xml:space="preserve"> 70, no. 2 (2017): 483.</w:t>
      </w:r>
    </w:p>
  </w:footnote>
  <w:footnote w:id="378">
    <w:p w14:paraId="008228E6" w14:textId="77777777" w:rsidR="00182EED" w:rsidRDefault="00182EED" w:rsidP="008A116C">
      <w:pPr>
        <w:pStyle w:val="FootnoteText"/>
      </w:pPr>
      <w:r w:rsidRPr="00073E38">
        <w:rPr>
          <w:rStyle w:val="FootnoteReference"/>
        </w:rPr>
        <w:footnoteRef/>
      </w:r>
      <w:r>
        <w:t xml:space="preserve"> </w:t>
      </w:r>
      <w:r w:rsidRPr="00CD5F89">
        <w:rPr>
          <w:lang w:val="en-US"/>
        </w:rPr>
        <w:t xml:space="preserve">“[Cum </w:t>
      </w:r>
      <w:proofErr w:type="spellStart"/>
      <w:r w:rsidRPr="00CD5F89">
        <w:rPr>
          <w:lang w:val="en-US"/>
        </w:rPr>
        <w:t>autem</w:t>
      </w:r>
      <w:proofErr w:type="spellEnd"/>
      <w:r w:rsidRPr="00CD5F89">
        <w:rPr>
          <w:lang w:val="en-US"/>
        </w:rPr>
        <w:t xml:space="preserve"> </w:t>
      </w:r>
      <w:proofErr w:type="spellStart"/>
      <w:r w:rsidRPr="00CD5F89">
        <w:rPr>
          <w:lang w:val="en-US"/>
        </w:rPr>
        <w:t>prodeunt</w:t>
      </w:r>
      <w:proofErr w:type="spellEnd"/>
      <w:r w:rsidRPr="00CD5F89">
        <w:rPr>
          <w:lang w:val="en-US"/>
        </w:rPr>
        <w:t xml:space="preserve"> cantores in due, </w:t>
      </w:r>
      <w:proofErr w:type="spellStart"/>
      <w:r w:rsidRPr="00CD5F89">
        <w:rPr>
          <w:lang w:val="en-US"/>
        </w:rPr>
        <w:t>chori</w:t>
      </w:r>
      <w:proofErr w:type="spellEnd"/>
      <w:r w:rsidRPr="00CD5F89">
        <w:rPr>
          <w:lang w:val="en-US"/>
        </w:rPr>
        <w:t xml:space="preserve"> </w:t>
      </w:r>
      <w:proofErr w:type="spellStart"/>
      <w:r w:rsidRPr="00CD5F89">
        <w:rPr>
          <w:lang w:val="en-US"/>
        </w:rPr>
        <w:t>suscipiunt</w:t>
      </w:r>
      <w:proofErr w:type="spellEnd"/>
      <w:r w:rsidRPr="00CD5F89">
        <w:rPr>
          <w:lang w:val="en-US"/>
        </w:rPr>
        <w:t xml:space="preserve"> </w:t>
      </w:r>
      <w:proofErr w:type="spellStart"/>
      <w:r w:rsidRPr="00CD5F89">
        <w:rPr>
          <w:lang w:val="en-US"/>
        </w:rPr>
        <w:t>gratulando</w:t>
      </w:r>
      <w:proofErr w:type="spellEnd"/>
      <w:r w:rsidRPr="00CD5F89">
        <w:rPr>
          <w:lang w:val="en-US"/>
        </w:rPr>
        <w:t xml:space="preserve">, </w:t>
      </w:r>
      <w:proofErr w:type="spellStart"/>
      <w:r w:rsidRPr="00CD5F89">
        <w:rPr>
          <w:lang w:val="en-US"/>
        </w:rPr>
        <w:t>cantantes</w:t>
      </w:r>
      <w:proofErr w:type="spellEnd"/>
      <w:r w:rsidRPr="00CD5F89">
        <w:rPr>
          <w:lang w:val="en-US"/>
        </w:rPr>
        <w:t xml:space="preserve"> </w:t>
      </w:r>
      <w:proofErr w:type="spellStart"/>
      <w:r w:rsidRPr="00CD5F89">
        <w:rPr>
          <w:lang w:val="en-US"/>
        </w:rPr>
        <w:t>Introitum</w:t>
      </w:r>
      <w:proofErr w:type="spellEnd"/>
      <w:r w:rsidRPr="00CD5F89">
        <w:rPr>
          <w:lang w:val="en-US"/>
        </w:rPr>
        <w:t xml:space="preserve"> cum Gloria in excelsis, </w:t>
      </w:r>
      <w:proofErr w:type="spellStart"/>
      <w:r w:rsidRPr="00CD5F89">
        <w:rPr>
          <w:lang w:val="en-US"/>
        </w:rPr>
        <w:t>nempe</w:t>
      </w:r>
      <w:proofErr w:type="spellEnd"/>
      <w:r w:rsidRPr="00CD5F89">
        <w:rPr>
          <w:lang w:val="en-US"/>
        </w:rPr>
        <w:t xml:space="preserve">] cantores </w:t>
      </w:r>
      <w:proofErr w:type="spellStart"/>
      <w:r w:rsidRPr="00CD5F89">
        <w:rPr>
          <w:lang w:val="en-US"/>
        </w:rPr>
        <w:t>sive</w:t>
      </w:r>
      <w:proofErr w:type="spellEnd"/>
      <w:r w:rsidRPr="00CD5F89">
        <w:rPr>
          <w:lang w:val="en-US"/>
        </w:rPr>
        <w:t xml:space="preserve"> </w:t>
      </w:r>
      <w:proofErr w:type="spellStart"/>
      <w:r w:rsidRPr="00CD5F89">
        <w:rPr>
          <w:lang w:val="en-US"/>
        </w:rPr>
        <w:t>clerici</w:t>
      </w:r>
      <w:proofErr w:type="spellEnd"/>
      <w:r w:rsidRPr="00CD5F89">
        <w:rPr>
          <w:lang w:val="en-US"/>
        </w:rPr>
        <w:t xml:space="preserve"> in </w:t>
      </w:r>
      <w:proofErr w:type="spellStart"/>
      <w:r w:rsidRPr="00CD5F89">
        <w:rPr>
          <w:lang w:val="en-US"/>
        </w:rPr>
        <w:t>albis</w:t>
      </w:r>
      <w:proofErr w:type="spellEnd"/>
      <w:r w:rsidRPr="00CD5F89">
        <w:rPr>
          <w:lang w:val="en-US"/>
        </w:rPr>
        <w:t xml:space="preserve"> </w:t>
      </w:r>
      <w:proofErr w:type="spellStart"/>
      <w:r w:rsidRPr="00CD5F89">
        <w:rPr>
          <w:lang w:val="en-US"/>
        </w:rPr>
        <w:t>exultantes</w:t>
      </w:r>
      <w:proofErr w:type="spellEnd"/>
      <w:r w:rsidRPr="00CD5F89">
        <w:rPr>
          <w:lang w:val="en-US"/>
        </w:rPr>
        <w:t xml:space="preserve">. </w:t>
      </w:r>
      <w:proofErr w:type="spellStart"/>
      <w:r w:rsidRPr="00CD5F89">
        <w:rPr>
          <w:lang w:val="en-US"/>
        </w:rPr>
        <w:t>Angeli</w:t>
      </w:r>
      <w:proofErr w:type="spellEnd"/>
      <w:r w:rsidRPr="00CD5F89">
        <w:rPr>
          <w:lang w:val="en-US"/>
        </w:rPr>
        <w:t xml:space="preserve"> sunt, qui Christum </w:t>
      </w:r>
      <w:proofErr w:type="spellStart"/>
      <w:r w:rsidRPr="00CD5F89">
        <w:rPr>
          <w:lang w:val="en-US"/>
        </w:rPr>
        <w:t>ascendentem</w:t>
      </w:r>
      <w:proofErr w:type="spellEnd"/>
      <w:r w:rsidRPr="00CD5F89">
        <w:rPr>
          <w:lang w:val="en-US"/>
        </w:rPr>
        <w:t xml:space="preserve">, cum </w:t>
      </w:r>
      <w:proofErr w:type="spellStart"/>
      <w:r w:rsidRPr="00CD5F89">
        <w:rPr>
          <w:lang w:val="en-US"/>
        </w:rPr>
        <w:t>gloria</w:t>
      </w:r>
      <w:proofErr w:type="spellEnd"/>
      <w:r w:rsidRPr="00CD5F89">
        <w:rPr>
          <w:lang w:val="en-US"/>
        </w:rPr>
        <w:t xml:space="preserve">, et </w:t>
      </w:r>
      <w:proofErr w:type="spellStart"/>
      <w:r w:rsidRPr="00CD5F89">
        <w:rPr>
          <w:lang w:val="en-US"/>
        </w:rPr>
        <w:t>laudibus</w:t>
      </w:r>
      <w:proofErr w:type="spellEnd"/>
      <w:r w:rsidRPr="00CD5F89">
        <w:rPr>
          <w:lang w:val="en-US"/>
        </w:rPr>
        <w:t xml:space="preserve"> in </w:t>
      </w:r>
      <w:proofErr w:type="spellStart"/>
      <w:r w:rsidRPr="00CD5F89">
        <w:rPr>
          <w:lang w:val="en-US"/>
        </w:rPr>
        <w:t>altissimis</w:t>
      </w:r>
      <w:proofErr w:type="spellEnd"/>
      <w:r w:rsidRPr="00CD5F89">
        <w:rPr>
          <w:lang w:val="en-US"/>
        </w:rPr>
        <w:t xml:space="preserve"> </w:t>
      </w:r>
      <w:proofErr w:type="spellStart"/>
      <w:r w:rsidRPr="00CD5F89">
        <w:rPr>
          <w:lang w:val="en-US"/>
        </w:rPr>
        <w:t>acceperunt</w:t>
      </w:r>
      <w:proofErr w:type="spellEnd"/>
      <w:r w:rsidRPr="00CD5F89">
        <w:rPr>
          <w:lang w:val="en-US"/>
        </w:rPr>
        <w:t xml:space="preserve">.” </w:t>
      </w:r>
      <w:proofErr w:type="spellStart"/>
      <w:r w:rsidRPr="00CD5F89">
        <w:rPr>
          <w:lang w:val="en-US"/>
        </w:rPr>
        <w:t>Gulielmo</w:t>
      </w:r>
      <w:proofErr w:type="spellEnd"/>
      <w:r w:rsidRPr="00CD5F89">
        <w:rPr>
          <w:lang w:val="en-US"/>
        </w:rPr>
        <w:t xml:space="preserve"> Durando, </w:t>
      </w:r>
      <w:r w:rsidRPr="00CD5F89">
        <w:rPr>
          <w:i/>
          <w:iCs/>
          <w:lang w:val="en-US"/>
        </w:rPr>
        <w:t xml:space="preserve">Rationale </w:t>
      </w:r>
      <w:proofErr w:type="spellStart"/>
      <w:r w:rsidRPr="00CD5F89">
        <w:rPr>
          <w:i/>
          <w:iCs/>
          <w:lang w:val="en-US"/>
        </w:rPr>
        <w:t>Divinorum</w:t>
      </w:r>
      <w:proofErr w:type="spellEnd"/>
      <w:r w:rsidRPr="00CD5F89">
        <w:rPr>
          <w:i/>
          <w:iCs/>
          <w:lang w:val="en-US"/>
        </w:rPr>
        <w:t xml:space="preserve"> Officiorum</w:t>
      </w:r>
      <w:r w:rsidRPr="00CD5F89">
        <w:rPr>
          <w:lang w:val="en-US"/>
        </w:rPr>
        <w:t xml:space="preserve"> (Naples: </w:t>
      </w:r>
      <w:proofErr w:type="spellStart"/>
      <w:r w:rsidRPr="00CD5F89">
        <w:rPr>
          <w:lang w:val="en-US"/>
        </w:rPr>
        <w:t>Josephum</w:t>
      </w:r>
      <w:proofErr w:type="spellEnd"/>
      <w:r w:rsidRPr="00CD5F89">
        <w:rPr>
          <w:lang w:val="en-US"/>
        </w:rPr>
        <w:t xml:space="preserve"> Dura </w:t>
      </w:r>
      <w:proofErr w:type="spellStart"/>
      <w:r w:rsidRPr="00CD5F89">
        <w:rPr>
          <w:lang w:val="en-US"/>
        </w:rPr>
        <w:t>Biblippolam</w:t>
      </w:r>
      <w:proofErr w:type="spellEnd"/>
      <w:r w:rsidRPr="00CD5F89">
        <w:rPr>
          <w:lang w:val="en-US"/>
        </w:rPr>
        <w:t>, 1859), IV.6, 160.</w:t>
      </w:r>
    </w:p>
  </w:footnote>
  <w:footnote w:id="379">
    <w:p w14:paraId="1C67A58C" w14:textId="77777777" w:rsidR="00182EED" w:rsidRDefault="00182EED" w:rsidP="008A116C">
      <w:pPr>
        <w:pStyle w:val="FootnoteText"/>
      </w:pPr>
      <w:r w:rsidRPr="00073E38">
        <w:rPr>
          <w:rStyle w:val="FootnoteReference"/>
        </w:rPr>
        <w:footnoteRef/>
      </w:r>
      <w:r>
        <w:t xml:space="preserve"> </w:t>
      </w:r>
      <w:r w:rsidRPr="00CD5F89">
        <w:rPr>
          <w:lang w:val="en-US"/>
        </w:rPr>
        <w:t xml:space="preserve">On Saint Bonaventure see Keck, </w:t>
      </w:r>
      <w:r w:rsidRPr="00CD5F89">
        <w:rPr>
          <w:i/>
          <w:iCs/>
          <w:lang w:val="en-US"/>
        </w:rPr>
        <w:t>Angels and Angelology in the Middle Ages</w:t>
      </w:r>
      <w:r w:rsidRPr="00CD5F89">
        <w:rPr>
          <w:lang w:val="en-US"/>
        </w:rPr>
        <w:t xml:space="preserve">, 181; </w:t>
      </w:r>
      <w:r w:rsidRPr="00CD5F89">
        <w:rPr>
          <w:lang w:val="en-US"/>
        </w:rPr>
        <w:t>also Samuel, “Heavenly Theologians,” 118.</w:t>
      </w:r>
    </w:p>
  </w:footnote>
  <w:footnote w:id="380">
    <w:p w14:paraId="4F46A2DB" w14:textId="77777777" w:rsidR="00182EED" w:rsidRDefault="00182EED" w:rsidP="008A116C">
      <w:pPr>
        <w:pStyle w:val="FootnoteText"/>
      </w:pPr>
      <w:r w:rsidRPr="00073E38">
        <w:rPr>
          <w:rStyle w:val="FootnoteReference"/>
        </w:rPr>
        <w:footnoteRef/>
      </w:r>
      <w:r>
        <w:t xml:space="preserve"> </w:t>
      </w:r>
      <w:r w:rsidRPr="00CD5F89">
        <w:rPr>
          <w:lang w:val="en-US"/>
        </w:rPr>
        <w:t>“</w:t>
      </w:r>
      <w:proofErr w:type="spellStart"/>
      <w:r w:rsidRPr="00CD5F89">
        <w:rPr>
          <w:lang w:val="en-US"/>
        </w:rPr>
        <w:t>Musica</w:t>
      </w:r>
      <w:proofErr w:type="spellEnd"/>
      <w:r w:rsidRPr="00CD5F89">
        <w:rPr>
          <w:lang w:val="en-US"/>
        </w:rPr>
        <w:t xml:space="preserve"> </w:t>
      </w:r>
      <w:proofErr w:type="spellStart"/>
      <w:r w:rsidRPr="00CD5F89">
        <w:rPr>
          <w:lang w:val="en-US"/>
        </w:rPr>
        <w:t>ecclesiam</w:t>
      </w:r>
      <w:proofErr w:type="spellEnd"/>
      <w:r w:rsidRPr="00CD5F89">
        <w:rPr>
          <w:lang w:val="en-US"/>
        </w:rPr>
        <w:t xml:space="preserve"> </w:t>
      </w:r>
      <w:proofErr w:type="spellStart"/>
      <w:r w:rsidRPr="00CD5F89">
        <w:rPr>
          <w:lang w:val="en-US"/>
        </w:rPr>
        <w:t>militantem</w:t>
      </w:r>
      <w:proofErr w:type="spellEnd"/>
      <w:r w:rsidRPr="00CD5F89">
        <w:rPr>
          <w:lang w:val="en-US"/>
        </w:rPr>
        <w:t xml:space="preserve"> </w:t>
      </w:r>
      <w:proofErr w:type="spellStart"/>
      <w:r w:rsidRPr="00CD5F89">
        <w:rPr>
          <w:lang w:val="en-US"/>
        </w:rPr>
        <w:t>triumphanti</w:t>
      </w:r>
      <w:proofErr w:type="spellEnd"/>
      <w:r w:rsidRPr="00CD5F89">
        <w:rPr>
          <w:lang w:val="en-US"/>
        </w:rPr>
        <w:t xml:space="preserve"> </w:t>
      </w:r>
      <w:proofErr w:type="spellStart"/>
      <w:r w:rsidRPr="00CD5F89">
        <w:rPr>
          <w:lang w:val="en-US"/>
        </w:rPr>
        <w:t>assimilat</w:t>
      </w:r>
      <w:proofErr w:type="spellEnd"/>
      <w:r w:rsidRPr="00CD5F89">
        <w:rPr>
          <w:lang w:val="en-US"/>
        </w:rPr>
        <w:t xml:space="preserve">.” Tinctoris, “A Compendium of Music’s Effects,” chapter 4, 77; English translation from ibid., 60; see also Shephard, </w:t>
      </w:r>
      <w:proofErr w:type="spellStart"/>
      <w:r w:rsidRPr="00CD5F89">
        <w:rPr>
          <w:lang w:val="en-US"/>
        </w:rPr>
        <w:t>Ştefănescu</w:t>
      </w:r>
      <w:proofErr w:type="spellEnd"/>
      <w:r w:rsidRPr="00CD5F89">
        <w:rPr>
          <w:lang w:val="en-US"/>
        </w:rPr>
        <w:t>, and Sessini, “Music, Silence, and the Senses in a Late Fifteenth-Century Book of Hours,” 482–84.</w:t>
      </w:r>
    </w:p>
  </w:footnote>
  <w:footnote w:id="381">
    <w:p w14:paraId="63E29D56" w14:textId="77777777" w:rsidR="00182EED" w:rsidRDefault="00182EED" w:rsidP="008A116C">
      <w:pPr>
        <w:pStyle w:val="FootnoteText"/>
      </w:pPr>
      <w:r w:rsidRPr="00073E38">
        <w:rPr>
          <w:rStyle w:val="FootnoteReference"/>
        </w:rPr>
        <w:footnoteRef/>
      </w:r>
      <w:r>
        <w:t xml:space="preserve"> </w:t>
      </w:r>
      <w:r w:rsidRPr="00E5040D">
        <w:rPr>
          <w:lang w:val="en-US"/>
        </w:rPr>
        <w:t xml:space="preserve">“Dum </w:t>
      </w:r>
      <w:proofErr w:type="spellStart"/>
      <w:r w:rsidRPr="00E5040D">
        <w:rPr>
          <w:lang w:val="en-US"/>
        </w:rPr>
        <w:t>igitur</w:t>
      </w:r>
      <w:proofErr w:type="spellEnd"/>
      <w:r w:rsidRPr="00E5040D">
        <w:rPr>
          <w:lang w:val="en-US"/>
        </w:rPr>
        <w:t xml:space="preserve"> </w:t>
      </w:r>
      <w:proofErr w:type="spellStart"/>
      <w:r w:rsidRPr="00E5040D">
        <w:rPr>
          <w:lang w:val="en-US"/>
        </w:rPr>
        <w:t>clerici</w:t>
      </w:r>
      <w:proofErr w:type="spellEnd"/>
      <w:r w:rsidRPr="00E5040D">
        <w:rPr>
          <w:lang w:val="en-US"/>
        </w:rPr>
        <w:t xml:space="preserve"> requiem </w:t>
      </w:r>
      <w:proofErr w:type="spellStart"/>
      <w:r w:rsidRPr="00E5040D">
        <w:rPr>
          <w:lang w:val="en-US"/>
        </w:rPr>
        <w:t>aeternam</w:t>
      </w:r>
      <w:proofErr w:type="spellEnd"/>
      <w:r w:rsidRPr="00E5040D">
        <w:rPr>
          <w:lang w:val="en-US"/>
        </w:rPr>
        <w:t xml:space="preserve"> </w:t>
      </w:r>
      <w:proofErr w:type="spellStart"/>
      <w:r w:rsidRPr="00E5040D">
        <w:rPr>
          <w:lang w:val="en-US"/>
        </w:rPr>
        <w:t>inciperent</w:t>
      </w:r>
      <w:proofErr w:type="spellEnd"/>
      <w:r w:rsidRPr="00E5040D">
        <w:rPr>
          <w:lang w:val="en-US"/>
        </w:rPr>
        <w:t xml:space="preserve"> et pro </w:t>
      </w:r>
      <w:proofErr w:type="spellStart"/>
      <w:r w:rsidRPr="00E5040D">
        <w:rPr>
          <w:lang w:val="en-US"/>
        </w:rPr>
        <w:t>eo</w:t>
      </w:r>
      <w:proofErr w:type="spellEnd"/>
      <w:r w:rsidRPr="00E5040D">
        <w:rPr>
          <w:lang w:val="en-US"/>
        </w:rPr>
        <w:t xml:space="preserve"> </w:t>
      </w:r>
      <w:proofErr w:type="spellStart"/>
      <w:r w:rsidRPr="00E5040D">
        <w:rPr>
          <w:lang w:val="en-US"/>
        </w:rPr>
        <w:t>missam</w:t>
      </w:r>
      <w:proofErr w:type="spellEnd"/>
      <w:r w:rsidRPr="00E5040D">
        <w:rPr>
          <w:lang w:val="en-US"/>
        </w:rPr>
        <w:t xml:space="preserve"> </w:t>
      </w:r>
      <w:proofErr w:type="spellStart"/>
      <w:r w:rsidRPr="00E5040D">
        <w:rPr>
          <w:lang w:val="en-US"/>
        </w:rPr>
        <w:t>agerent</w:t>
      </w:r>
      <w:proofErr w:type="spellEnd"/>
      <w:r w:rsidRPr="00E5040D">
        <w:rPr>
          <w:lang w:val="en-US"/>
        </w:rPr>
        <w:t xml:space="preserve"> </w:t>
      </w:r>
      <w:proofErr w:type="spellStart"/>
      <w:r w:rsidRPr="00E5040D">
        <w:rPr>
          <w:lang w:val="en-US"/>
        </w:rPr>
        <w:t>defunctorum</w:t>
      </w:r>
      <w:proofErr w:type="spellEnd"/>
      <w:r w:rsidRPr="00E5040D">
        <w:rPr>
          <w:lang w:val="en-US"/>
        </w:rPr>
        <w:t xml:space="preserve">, </w:t>
      </w:r>
      <w:proofErr w:type="spellStart"/>
      <w:r w:rsidRPr="00E5040D">
        <w:rPr>
          <w:lang w:val="en-US"/>
        </w:rPr>
        <w:t>subito</w:t>
      </w:r>
      <w:proofErr w:type="spellEnd"/>
      <w:r w:rsidRPr="00E5040D">
        <w:rPr>
          <w:lang w:val="en-US"/>
        </w:rPr>
        <w:t xml:space="preserve">, </w:t>
      </w:r>
      <w:proofErr w:type="spellStart"/>
      <w:r w:rsidRPr="00E5040D">
        <w:rPr>
          <w:lang w:val="en-US"/>
        </w:rPr>
        <w:t>ut</w:t>
      </w:r>
      <w:proofErr w:type="spellEnd"/>
      <w:r w:rsidRPr="00E5040D">
        <w:rPr>
          <w:lang w:val="en-US"/>
        </w:rPr>
        <w:t xml:space="preserve"> </w:t>
      </w:r>
      <w:proofErr w:type="spellStart"/>
      <w:r w:rsidRPr="00E5040D">
        <w:rPr>
          <w:lang w:val="en-US"/>
        </w:rPr>
        <w:t>ajunt</w:t>
      </w:r>
      <w:proofErr w:type="spellEnd"/>
      <w:r w:rsidRPr="00E5040D">
        <w:rPr>
          <w:lang w:val="en-US"/>
        </w:rPr>
        <w:t xml:space="preserve">, </w:t>
      </w:r>
      <w:proofErr w:type="spellStart"/>
      <w:r w:rsidRPr="00E5040D">
        <w:rPr>
          <w:lang w:val="en-US"/>
        </w:rPr>
        <w:t>angelorum</w:t>
      </w:r>
      <w:proofErr w:type="spellEnd"/>
      <w:r w:rsidRPr="00E5040D">
        <w:rPr>
          <w:lang w:val="en-US"/>
        </w:rPr>
        <w:t xml:space="preserve"> </w:t>
      </w:r>
      <w:proofErr w:type="spellStart"/>
      <w:r w:rsidRPr="00E5040D">
        <w:rPr>
          <w:lang w:val="en-US"/>
        </w:rPr>
        <w:t>chori</w:t>
      </w:r>
      <w:proofErr w:type="spellEnd"/>
      <w:r w:rsidRPr="00E5040D">
        <w:rPr>
          <w:lang w:val="en-US"/>
        </w:rPr>
        <w:t xml:space="preserve"> </w:t>
      </w:r>
      <w:proofErr w:type="spellStart"/>
      <w:r w:rsidRPr="00E5040D">
        <w:rPr>
          <w:lang w:val="en-US"/>
        </w:rPr>
        <w:t>adstantes</w:t>
      </w:r>
      <w:proofErr w:type="spellEnd"/>
      <w:r w:rsidRPr="00E5040D">
        <w:rPr>
          <w:lang w:val="en-US"/>
        </w:rPr>
        <w:t xml:space="preserve"> </w:t>
      </w:r>
      <w:proofErr w:type="spellStart"/>
      <w:r w:rsidRPr="00E5040D">
        <w:rPr>
          <w:lang w:val="en-US"/>
        </w:rPr>
        <w:t>voces</w:t>
      </w:r>
      <w:proofErr w:type="spellEnd"/>
      <w:r w:rsidRPr="00E5040D">
        <w:rPr>
          <w:lang w:val="en-US"/>
        </w:rPr>
        <w:t xml:space="preserve"> </w:t>
      </w:r>
      <w:proofErr w:type="spellStart"/>
      <w:r w:rsidRPr="00E5040D">
        <w:rPr>
          <w:lang w:val="en-US"/>
        </w:rPr>
        <w:t>cantantium</w:t>
      </w:r>
      <w:proofErr w:type="spellEnd"/>
      <w:r w:rsidRPr="00E5040D">
        <w:rPr>
          <w:lang w:val="en-US"/>
        </w:rPr>
        <w:t xml:space="preserve"> </w:t>
      </w:r>
      <w:proofErr w:type="spellStart"/>
      <w:r w:rsidRPr="00E5040D">
        <w:rPr>
          <w:lang w:val="en-US"/>
        </w:rPr>
        <w:t>interrumpunt</w:t>
      </w:r>
      <w:proofErr w:type="spellEnd"/>
      <w:r w:rsidRPr="00E5040D">
        <w:rPr>
          <w:lang w:val="en-US"/>
        </w:rPr>
        <w:t xml:space="preserve">, </w:t>
      </w:r>
      <w:proofErr w:type="spellStart"/>
      <w:r w:rsidRPr="00E5040D">
        <w:rPr>
          <w:lang w:val="en-US"/>
        </w:rPr>
        <w:t>martiris</w:t>
      </w:r>
      <w:proofErr w:type="spellEnd"/>
      <w:r w:rsidRPr="00E5040D">
        <w:rPr>
          <w:lang w:val="en-US"/>
        </w:rPr>
        <w:t xml:space="preserve"> </w:t>
      </w:r>
      <w:proofErr w:type="spellStart"/>
      <w:r w:rsidRPr="00E5040D">
        <w:rPr>
          <w:lang w:val="en-US"/>
        </w:rPr>
        <w:t>missam</w:t>
      </w:r>
      <w:proofErr w:type="spellEnd"/>
      <w:r w:rsidRPr="00E5040D">
        <w:rPr>
          <w:lang w:val="en-US"/>
        </w:rPr>
        <w:t xml:space="preserve"> </w:t>
      </w:r>
      <w:proofErr w:type="spellStart"/>
      <w:r w:rsidRPr="00E5040D">
        <w:rPr>
          <w:lang w:val="en-US"/>
        </w:rPr>
        <w:t>incipiunt</w:t>
      </w:r>
      <w:proofErr w:type="spellEnd"/>
      <w:r w:rsidRPr="00E5040D">
        <w:rPr>
          <w:lang w:val="en-US"/>
        </w:rPr>
        <w:t xml:space="preserve">, </w:t>
      </w:r>
      <w:proofErr w:type="spellStart"/>
      <w:r w:rsidRPr="00E5040D">
        <w:rPr>
          <w:lang w:val="en-US"/>
        </w:rPr>
        <w:t>laetabitur</w:t>
      </w:r>
      <w:proofErr w:type="spellEnd"/>
      <w:r w:rsidRPr="00E5040D">
        <w:rPr>
          <w:lang w:val="en-US"/>
        </w:rPr>
        <w:t xml:space="preserve"> </w:t>
      </w:r>
      <w:proofErr w:type="spellStart"/>
      <w:r w:rsidRPr="00E5040D">
        <w:rPr>
          <w:lang w:val="en-US"/>
        </w:rPr>
        <w:t>justus</w:t>
      </w:r>
      <w:proofErr w:type="spellEnd"/>
      <w:r w:rsidRPr="00E5040D">
        <w:rPr>
          <w:lang w:val="en-US"/>
        </w:rPr>
        <w:t xml:space="preserve"> in domino, </w:t>
      </w:r>
      <w:proofErr w:type="spellStart"/>
      <w:r w:rsidRPr="00E5040D">
        <w:rPr>
          <w:lang w:val="en-US"/>
        </w:rPr>
        <w:t>concinuntet</w:t>
      </w:r>
      <w:proofErr w:type="spellEnd"/>
      <w:r w:rsidRPr="00E5040D">
        <w:rPr>
          <w:lang w:val="en-US"/>
        </w:rPr>
        <w:t xml:space="preserve"> </w:t>
      </w:r>
      <w:proofErr w:type="spellStart"/>
      <w:r w:rsidRPr="00E5040D">
        <w:rPr>
          <w:lang w:val="en-US"/>
        </w:rPr>
        <w:t>caeteri</w:t>
      </w:r>
      <w:proofErr w:type="spellEnd"/>
      <w:r w:rsidRPr="00E5040D">
        <w:rPr>
          <w:lang w:val="en-US"/>
        </w:rPr>
        <w:t xml:space="preserve"> </w:t>
      </w:r>
      <w:proofErr w:type="spellStart"/>
      <w:r w:rsidRPr="00E5040D">
        <w:rPr>
          <w:lang w:val="en-US"/>
        </w:rPr>
        <w:t>clerici</w:t>
      </w:r>
      <w:proofErr w:type="spellEnd"/>
      <w:r w:rsidRPr="00E5040D">
        <w:rPr>
          <w:lang w:val="en-US"/>
        </w:rPr>
        <w:t xml:space="preserve"> </w:t>
      </w:r>
      <w:proofErr w:type="spellStart"/>
      <w:r w:rsidRPr="00E5040D">
        <w:rPr>
          <w:lang w:val="en-US"/>
        </w:rPr>
        <w:t>prosequuntur</w:t>
      </w:r>
      <w:proofErr w:type="spellEnd"/>
      <w:r w:rsidRPr="00E5040D">
        <w:rPr>
          <w:lang w:val="en-US"/>
        </w:rPr>
        <w:t xml:space="preserve"> … </w:t>
      </w:r>
      <w:proofErr w:type="spellStart"/>
      <w:r w:rsidRPr="00E5040D">
        <w:rPr>
          <w:lang w:val="en-US"/>
        </w:rPr>
        <w:t>dum</w:t>
      </w:r>
      <w:proofErr w:type="spellEnd"/>
      <w:r w:rsidRPr="00E5040D">
        <w:rPr>
          <w:lang w:val="en-US"/>
        </w:rPr>
        <w:t xml:space="preserve"> cantus </w:t>
      </w:r>
      <w:proofErr w:type="spellStart"/>
      <w:r w:rsidRPr="00E5040D">
        <w:rPr>
          <w:lang w:val="en-US"/>
        </w:rPr>
        <w:t>moeroris</w:t>
      </w:r>
      <w:proofErr w:type="spellEnd"/>
      <w:r w:rsidRPr="00E5040D">
        <w:rPr>
          <w:lang w:val="en-US"/>
        </w:rPr>
        <w:t xml:space="preserve"> </w:t>
      </w:r>
      <w:proofErr w:type="spellStart"/>
      <w:r w:rsidRPr="00E5040D">
        <w:rPr>
          <w:lang w:val="en-US"/>
        </w:rPr>
        <w:t>vertitur</w:t>
      </w:r>
      <w:proofErr w:type="spellEnd"/>
      <w:r w:rsidRPr="00E5040D">
        <w:rPr>
          <w:lang w:val="en-US"/>
        </w:rPr>
        <w:t xml:space="preserve"> in </w:t>
      </w:r>
      <w:proofErr w:type="spellStart"/>
      <w:r w:rsidRPr="00E5040D">
        <w:rPr>
          <w:lang w:val="en-US"/>
        </w:rPr>
        <w:t>canticum</w:t>
      </w:r>
      <w:proofErr w:type="spellEnd"/>
      <w:r w:rsidRPr="00E5040D">
        <w:rPr>
          <w:lang w:val="en-US"/>
        </w:rPr>
        <w:t xml:space="preserve"> </w:t>
      </w:r>
      <w:proofErr w:type="spellStart"/>
      <w:r w:rsidRPr="00E5040D">
        <w:rPr>
          <w:lang w:val="en-US"/>
        </w:rPr>
        <w:t>laudis</w:t>
      </w:r>
      <w:proofErr w:type="spellEnd"/>
      <w:r w:rsidRPr="00E5040D">
        <w:rPr>
          <w:lang w:val="en-US"/>
        </w:rPr>
        <w:t xml:space="preserve">, cum </w:t>
      </w:r>
      <w:proofErr w:type="spellStart"/>
      <w:r w:rsidRPr="00E5040D">
        <w:rPr>
          <w:lang w:val="en-US"/>
        </w:rPr>
        <w:t>illum</w:t>
      </w:r>
      <w:proofErr w:type="spellEnd"/>
      <w:r w:rsidRPr="00E5040D">
        <w:rPr>
          <w:lang w:val="en-US"/>
        </w:rPr>
        <w:t xml:space="preserve">, cui </w:t>
      </w:r>
      <w:proofErr w:type="spellStart"/>
      <w:r w:rsidRPr="00E5040D">
        <w:rPr>
          <w:lang w:val="en-US"/>
        </w:rPr>
        <w:t>defunctorum</w:t>
      </w:r>
      <w:proofErr w:type="spellEnd"/>
      <w:r w:rsidRPr="00E5040D">
        <w:rPr>
          <w:lang w:val="en-US"/>
        </w:rPr>
        <w:t xml:space="preserve"> </w:t>
      </w:r>
      <w:proofErr w:type="spellStart"/>
      <w:r w:rsidRPr="00E5040D">
        <w:rPr>
          <w:lang w:val="en-US"/>
        </w:rPr>
        <w:t>suffragia</w:t>
      </w:r>
      <w:proofErr w:type="spellEnd"/>
      <w:r w:rsidRPr="00E5040D">
        <w:rPr>
          <w:lang w:val="en-US"/>
        </w:rPr>
        <w:t xml:space="preserve"> </w:t>
      </w:r>
      <w:proofErr w:type="spellStart"/>
      <w:r w:rsidRPr="00E5040D">
        <w:rPr>
          <w:lang w:val="en-US"/>
        </w:rPr>
        <w:t>inchoaverant</w:t>
      </w:r>
      <w:proofErr w:type="spellEnd"/>
      <w:r w:rsidRPr="00E5040D">
        <w:rPr>
          <w:lang w:val="en-US"/>
        </w:rPr>
        <w:t xml:space="preserve"> </w:t>
      </w:r>
      <w:proofErr w:type="spellStart"/>
      <w:r w:rsidRPr="00E5040D">
        <w:rPr>
          <w:lang w:val="en-US"/>
        </w:rPr>
        <w:t>martirum</w:t>
      </w:r>
      <w:proofErr w:type="spellEnd"/>
      <w:r w:rsidRPr="00E5040D">
        <w:rPr>
          <w:lang w:val="en-US"/>
        </w:rPr>
        <w:t xml:space="preserve">, </w:t>
      </w:r>
      <w:proofErr w:type="spellStart"/>
      <w:r w:rsidRPr="00E5040D">
        <w:rPr>
          <w:lang w:val="en-US"/>
        </w:rPr>
        <w:t>postmodum</w:t>
      </w:r>
      <w:proofErr w:type="spellEnd"/>
      <w:r w:rsidRPr="00E5040D">
        <w:rPr>
          <w:lang w:val="en-US"/>
        </w:rPr>
        <w:t xml:space="preserve"> </w:t>
      </w:r>
      <w:proofErr w:type="spellStart"/>
      <w:r w:rsidRPr="00E5040D">
        <w:rPr>
          <w:lang w:val="en-US"/>
        </w:rPr>
        <w:t>hymnis</w:t>
      </w:r>
      <w:proofErr w:type="spellEnd"/>
      <w:r w:rsidRPr="00E5040D">
        <w:rPr>
          <w:lang w:val="en-US"/>
        </w:rPr>
        <w:t xml:space="preserve"> </w:t>
      </w:r>
      <w:proofErr w:type="spellStart"/>
      <w:r w:rsidRPr="00E5040D">
        <w:rPr>
          <w:lang w:val="en-US"/>
        </w:rPr>
        <w:t>laudant</w:t>
      </w:r>
      <w:proofErr w:type="spellEnd"/>
      <w:r w:rsidRPr="00E5040D">
        <w:rPr>
          <w:lang w:val="en-US"/>
        </w:rPr>
        <w:t xml:space="preserve">.” Jacobi a </w:t>
      </w:r>
      <w:proofErr w:type="spellStart"/>
      <w:r w:rsidRPr="00E5040D">
        <w:rPr>
          <w:lang w:val="en-US"/>
        </w:rPr>
        <w:t>Voragine</w:t>
      </w:r>
      <w:proofErr w:type="spellEnd"/>
      <w:r w:rsidRPr="00E5040D">
        <w:rPr>
          <w:lang w:val="en-US"/>
        </w:rPr>
        <w:t xml:space="preserve">, </w:t>
      </w:r>
      <w:proofErr w:type="spellStart"/>
      <w:r w:rsidRPr="00E5040D">
        <w:rPr>
          <w:i/>
          <w:iCs/>
          <w:lang w:val="en-US"/>
        </w:rPr>
        <w:t>Legenda</w:t>
      </w:r>
      <w:proofErr w:type="spellEnd"/>
      <w:r w:rsidRPr="00E5040D">
        <w:rPr>
          <w:i/>
          <w:iCs/>
          <w:lang w:val="en-US"/>
        </w:rPr>
        <w:t xml:space="preserve"> Aurea</w:t>
      </w:r>
      <w:r w:rsidRPr="00E5040D">
        <w:rPr>
          <w:lang w:val="en-US"/>
        </w:rPr>
        <w:t xml:space="preserve">, ed. </w:t>
      </w:r>
      <w:proofErr w:type="spellStart"/>
      <w:r w:rsidRPr="00E5040D">
        <w:rPr>
          <w:lang w:val="en-US"/>
        </w:rPr>
        <w:t>Graesse</w:t>
      </w:r>
      <w:proofErr w:type="spellEnd"/>
      <w:r w:rsidRPr="00E5040D">
        <w:rPr>
          <w:lang w:val="en-US"/>
        </w:rPr>
        <w:t xml:space="preserve"> (</w:t>
      </w:r>
      <w:proofErr w:type="spellStart"/>
      <w:r w:rsidRPr="00E5040D">
        <w:rPr>
          <w:lang w:val="en-US"/>
        </w:rPr>
        <w:t>Lipsiae</w:t>
      </w:r>
      <w:proofErr w:type="spellEnd"/>
      <w:r w:rsidRPr="00E5040D">
        <w:rPr>
          <w:lang w:val="en-US"/>
        </w:rPr>
        <w:t xml:space="preserve">: </w:t>
      </w:r>
      <w:proofErr w:type="spellStart"/>
      <w:r w:rsidRPr="00E5040D">
        <w:rPr>
          <w:lang w:val="en-US"/>
        </w:rPr>
        <w:t>Impensis</w:t>
      </w:r>
      <w:proofErr w:type="spellEnd"/>
      <w:r w:rsidRPr="00E5040D">
        <w:rPr>
          <w:lang w:val="en-US"/>
        </w:rPr>
        <w:t xml:space="preserve"> </w:t>
      </w:r>
      <w:proofErr w:type="spellStart"/>
      <w:r w:rsidRPr="00E5040D">
        <w:rPr>
          <w:lang w:val="en-US"/>
        </w:rPr>
        <w:t>Librariae</w:t>
      </w:r>
      <w:proofErr w:type="spellEnd"/>
      <w:r w:rsidRPr="00E5040D">
        <w:rPr>
          <w:lang w:val="en-US"/>
        </w:rPr>
        <w:t xml:space="preserve"> </w:t>
      </w:r>
      <w:proofErr w:type="spellStart"/>
      <w:r w:rsidRPr="00E5040D">
        <w:rPr>
          <w:lang w:val="en-US"/>
        </w:rPr>
        <w:t>Arnoldianae</w:t>
      </w:r>
      <w:proofErr w:type="spellEnd"/>
      <w:r w:rsidRPr="00E5040D">
        <w:rPr>
          <w:lang w:val="en-US"/>
        </w:rPr>
        <w:t xml:space="preserve">, 1801), 68; English translation from Jacobus de </w:t>
      </w:r>
      <w:proofErr w:type="spellStart"/>
      <w:r w:rsidRPr="00E5040D">
        <w:rPr>
          <w:lang w:val="en-US"/>
        </w:rPr>
        <w:t>Voragine</w:t>
      </w:r>
      <w:proofErr w:type="spellEnd"/>
      <w:r w:rsidRPr="00E5040D">
        <w:rPr>
          <w:lang w:val="en-US"/>
        </w:rPr>
        <w:t xml:space="preserve">, </w:t>
      </w:r>
      <w:r w:rsidRPr="00E5040D">
        <w:rPr>
          <w:i/>
          <w:iCs/>
          <w:lang w:val="en-US"/>
        </w:rPr>
        <w:t>The Golden Legend: Readings on the Saints</w:t>
      </w:r>
      <w:r w:rsidRPr="00E5040D">
        <w:rPr>
          <w:lang w:val="en-US"/>
        </w:rPr>
        <w:t>, trans. William Granger Ryan (Princeton: Princeton University Press, 2012), 61.</w:t>
      </w:r>
    </w:p>
  </w:footnote>
  <w:footnote w:id="382">
    <w:p w14:paraId="07BAD273" w14:textId="77777777" w:rsidR="00182EED" w:rsidRDefault="00182EED" w:rsidP="008A116C">
      <w:pPr>
        <w:pStyle w:val="FootnoteText"/>
      </w:pPr>
      <w:r w:rsidRPr="00073E38">
        <w:rPr>
          <w:rStyle w:val="FootnoteReference"/>
        </w:rPr>
        <w:footnoteRef/>
      </w:r>
      <w:r>
        <w:t xml:space="preserve"> </w:t>
      </w:r>
      <w:r w:rsidRPr="00E5040D">
        <w:rPr>
          <w:lang w:val="en-US"/>
        </w:rPr>
        <w:t xml:space="preserve"> “Cum apud </w:t>
      </w:r>
      <w:proofErr w:type="spellStart"/>
      <w:r w:rsidRPr="00E5040D">
        <w:rPr>
          <w:lang w:val="en-US"/>
        </w:rPr>
        <w:t>sanctam</w:t>
      </w:r>
      <w:proofErr w:type="spellEnd"/>
      <w:r w:rsidRPr="00E5040D">
        <w:rPr>
          <w:lang w:val="en-US"/>
        </w:rPr>
        <w:t xml:space="preserve"> Mariam </w:t>
      </w:r>
      <w:proofErr w:type="spellStart"/>
      <w:r w:rsidRPr="00E5040D">
        <w:rPr>
          <w:lang w:val="en-US"/>
        </w:rPr>
        <w:t>majorem</w:t>
      </w:r>
      <w:proofErr w:type="spellEnd"/>
      <w:r w:rsidRPr="00E5040D">
        <w:rPr>
          <w:lang w:val="en-US"/>
        </w:rPr>
        <w:t xml:space="preserve"> in die </w:t>
      </w:r>
      <w:proofErr w:type="spellStart"/>
      <w:r w:rsidRPr="00E5040D">
        <w:rPr>
          <w:lang w:val="en-US"/>
        </w:rPr>
        <w:t>paschae</w:t>
      </w:r>
      <w:proofErr w:type="spellEnd"/>
      <w:r w:rsidRPr="00E5040D">
        <w:rPr>
          <w:lang w:val="en-US"/>
        </w:rPr>
        <w:t xml:space="preserve"> </w:t>
      </w:r>
      <w:proofErr w:type="spellStart"/>
      <w:r w:rsidRPr="00E5040D">
        <w:rPr>
          <w:lang w:val="en-US"/>
        </w:rPr>
        <w:t>missam</w:t>
      </w:r>
      <w:proofErr w:type="spellEnd"/>
      <w:r w:rsidRPr="00E5040D">
        <w:rPr>
          <w:lang w:val="en-US"/>
        </w:rPr>
        <w:t xml:space="preserve"> </w:t>
      </w:r>
      <w:proofErr w:type="spellStart"/>
      <w:r w:rsidRPr="00E5040D">
        <w:rPr>
          <w:lang w:val="en-US"/>
        </w:rPr>
        <w:t>celebraret</w:t>
      </w:r>
      <w:proofErr w:type="spellEnd"/>
      <w:r w:rsidRPr="00E5040D">
        <w:rPr>
          <w:lang w:val="en-US"/>
        </w:rPr>
        <w:t xml:space="preserve"> et </w:t>
      </w:r>
      <w:proofErr w:type="spellStart"/>
      <w:r w:rsidRPr="00E5040D">
        <w:rPr>
          <w:lang w:val="en-US"/>
        </w:rPr>
        <w:t>pax</w:t>
      </w:r>
      <w:proofErr w:type="spellEnd"/>
      <w:r w:rsidRPr="00E5040D">
        <w:rPr>
          <w:lang w:val="en-US"/>
        </w:rPr>
        <w:t xml:space="preserve"> domini </w:t>
      </w:r>
      <w:proofErr w:type="spellStart"/>
      <w:r w:rsidRPr="00E5040D">
        <w:rPr>
          <w:lang w:val="en-US"/>
        </w:rPr>
        <w:t>pronuntiaret</w:t>
      </w:r>
      <w:proofErr w:type="spellEnd"/>
      <w:r w:rsidRPr="00E5040D">
        <w:rPr>
          <w:lang w:val="en-US"/>
        </w:rPr>
        <w:t xml:space="preserve">, angelus domini </w:t>
      </w:r>
      <w:proofErr w:type="spellStart"/>
      <w:r w:rsidRPr="00E5040D">
        <w:rPr>
          <w:lang w:val="en-US"/>
        </w:rPr>
        <w:t>alta</w:t>
      </w:r>
      <w:proofErr w:type="spellEnd"/>
      <w:r w:rsidRPr="00E5040D">
        <w:rPr>
          <w:lang w:val="en-US"/>
        </w:rPr>
        <w:t xml:space="preserve"> </w:t>
      </w:r>
      <w:proofErr w:type="spellStart"/>
      <w:r w:rsidRPr="00E5040D">
        <w:rPr>
          <w:lang w:val="en-US"/>
        </w:rPr>
        <w:t>vocc</w:t>
      </w:r>
      <w:proofErr w:type="spellEnd"/>
      <w:r w:rsidRPr="00E5040D">
        <w:rPr>
          <w:lang w:val="en-US"/>
        </w:rPr>
        <w:t xml:space="preserve"> </w:t>
      </w:r>
      <w:proofErr w:type="spellStart"/>
      <w:r w:rsidRPr="00E5040D">
        <w:rPr>
          <w:lang w:val="en-US"/>
        </w:rPr>
        <w:t>respondit</w:t>
      </w:r>
      <w:proofErr w:type="spellEnd"/>
      <w:r w:rsidRPr="00E5040D">
        <w:rPr>
          <w:lang w:val="en-US"/>
        </w:rPr>
        <w:t xml:space="preserve">: et cum </w:t>
      </w:r>
      <w:proofErr w:type="spellStart"/>
      <w:r w:rsidRPr="00E5040D">
        <w:rPr>
          <w:lang w:val="en-US"/>
        </w:rPr>
        <w:t>spiritu</w:t>
      </w:r>
      <w:proofErr w:type="spellEnd"/>
      <w:r w:rsidRPr="00E5040D">
        <w:rPr>
          <w:lang w:val="en-US"/>
        </w:rPr>
        <w:t xml:space="preserve"> </w:t>
      </w:r>
      <w:proofErr w:type="spellStart"/>
      <w:r w:rsidRPr="00E5040D">
        <w:rPr>
          <w:lang w:val="en-US"/>
        </w:rPr>
        <w:t>tuo</w:t>
      </w:r>
      <w:proofErr w:type="spellEnd"/>
      <w:r w:rsidRPr="00E5040D">
        <w:rPr>
          <w:lang w:val="en-US"/>
        </w:rPr>
        <w:t xml:space="preserve">. </w:t>
      </w:r>
      <w:proofErr w:type="spellStart"/>
      <w:r w:rsidRPr="00E5040D">
        <w:rPr>
          <w:lang w:val="en-US"/>
        </w:rPr>
        <w:t>Unde</w:t>
      </w:r>
      <w:proofErr w:type="spellEnd"/>
      <w:r w:rsidRPr="00E5040D">
        <w:rPr>
          <w:lang w:val="en-US"/>
        </w:rPr>
        <w:t xml:space="preserve"> papa apud </w:t>
      </w:r>
      <w:proofErr w:type="spellStart"/>
      <w:r w:rsidRPr="00E5040D">
        <w:rPr>
          <w:lang w:val="en-US"/>
        </w:rPr>
        <w:t>illam</w:t>
      </w:r>
      <w:proofErr w:type="spellEnd"/>
      <w:r w:rsidRPr="00E5040D">
        <w:rPr>
          <w:lang w:val="en-US"/>
        </w:rPr>
        <w:t xml:space="preserve"> </w:t>
      </w:r>
      <w:proofErr w:type="spellStart"/>
      <w:r w:rsidRPr="00E5040D">
        <w:rPr>
          <w:lang w:val="en-US"/>
        </w:rPr>
        <w:t>ecclesiam</w:t>
      </w:r>
      <w:proofErr w:type="spellEnd"/>
      <w:r w:rsidRPr="00E5040D">
        <w:rPr>
          <w:lang w:val="en-US"/>
        </w:rPr>
        <w:t xml:space="preserve"> in die </w:t>
      </w:r>
      <w:proofErr w:type="spellStart"/>
      <w:r w:rsidRPr="00E5040D">
        <w:rPr>
          <w:lang w:val="en-US"/>
        </w:rPr>
        <w:t>paschae</w:t>
      </w:r>
      <w:proofErr w:type="spellEnd"/>
      <w:r w:rsidRPr="00E5040D">
        <w:rPr>
          <w:lang w:val="en-US"/>
        </w:rPr>
        <w:t xml:space="preserve"> </w:t>
      </w:r>
      <w:proofErr w:type="spellStart"/>
      <w:r w:rsidRPr="00E5040D">
        <w:rPr>
          <w:lang w:val="en-US"/>
        </w:rPr>
        <w:t>stationem</w:t>
      </w:r>
      <w:proofErr w:type="spellEnd"/>
      <w:r w:rsidRPr="00E5040D">
        <w:rPr>
          <w:lang w:val="en-US"/>
        </w:rPr>
        <w:t xml:space="preserve"> </w:t>
      </w:r>
      <w:proofErr w:type="spellStart"/>
      <w:r w:rsidRPr="00E5040D">
        <w:rPr>
          <w:lang w:val="en-US"/>
        </w:rPr>
        <w:t>facit</w:t>
      </w:r>
      <w:proofErr w:type="spellEnd"/>
      <w:r w:rsidRPr="00E5040D">
        <w:rPr>
          <w:lang w:val="en-US"/>
        </w:rPr>
        <w:t xml:space="preserve"> </w:t>
      </w:r>
      <w:proofErr w:type="spellStart"/>
      <w:r w:rsidRPr="00E5040D">
        <w:rPr>
          <w:lang w:val="en-US"/>
        </w:rPr>
        <w:t>nec</w:t>
      </w:r>
      <w:proofErr w:type="spellEnd"/>
      <w:r w:rsidRPr="00E5040D">
        <w:rPr>
          <w:lang w:val="en-US"/>
        </w:rPr>
        <w:t xml:space="preserve"> </w:t>
      </w:r>
      <w:proofErr w:type="spellStart"/>
      <w:r w:rsidRPr="00E5040D">
        <w:rPr>
          <w:lang w:val="en-US"/>
        </w:rPr>
        <w:t>sibi</w:t>
      </w:r>
      <w:proofErr w:type="spellEnd"/>
      <w:r w:rsidRPr="00E5040D">
        <w:rPr>
          <w:lang w:val="en-US"/>
        </w:rPr>
        <w:t xml:space="preserve">, cum dicit </w:t>
      </w:r>
      <w:proofErr w:type="spellStart"/>
      <w:r w:rsidRPr="00E5040D">
        <w:rPr>
          <w:lang w:val="en-US"/>
        </w:rPr>
        <w:t>pax</w:t>
      </w:r>
      <w:proofErr w:type="spellEnd"/>
      <w:r w:rsidRPr="00E5040D">
        <w:rPr>
          <w:lang w:val="en-US"/>
        </w:rPr>
        <w:t xml:space="preserve"> domini, in </w:t>
      </w:r>
      <w:proofErr w:type="spellStart"/>
      <w:r w:rsidRPr="00E5040D">
        <w:rPr>
          <w:lang w:val="en-US"/>
        </w:rPr>
        <w:t>hujus</w:t>
      </w:r>
      <w:proofErr w:type="spellEnd"/>
      <w:r w:rsidRPr="00E5040D">
        <w:rPr>
          <w:lang w:val="en-US"/>
        </w:rPr>
        <w:t xml:space="preserve"> </w:t>
      </w:r>
      <w:proofErr w:type="spellStart"/>
      <w:r w:rsidRPr="00E5040D">
        <w:rPr>
          <w:lang w:val="en-US"/>
        </w:rPr>
        <w:t>miraculi</w:t>
      </w:r>
      <w:proofErr w:type="spellEnd"/>
      <w:r w:rsidRPr="00E5040D">
        <w:rPr>
          <w:lang w:val="en-US"/>
        </w:rPr>
        <w:t xml:space="preserve"> testimonium </w:t>
      </w:r>
      <w:proofErr w:type="spellStart"/>
      <w:r w:rsidRPr="00E5040D">
        <w:rPr>
          <w:lang w:val="en-US"/>
        </w:rPr>
        <w:t>respondetur</w:t>
      </w:r>
      <w:proofErr w:type="spellEnd"/>
      <w:r w:rsidRPr="00E5040D">
        <w:rPr>
          <w:lang w:val="en-US"/>
        </w:rPr>
        <w:t xml:space="preserve">.” Jacobi a </w:t>
      </w:r>
      <w:proofErr w:type="spellStart"/>
      <w:r w:rsidRPr="00E5040D">
        <w:rPr>
          <w:lang w:val="en-US"/>
        </w:rPr>
        <w:t>Voragine</w:t>
      </w:r>
      <w:proofErr w:type="spellEnd"/>
      <w:r w:rsidRPr="00E5040D">
        <w:rPr>
          <w:lang w:val="en-US"/>
        </w:rPr>
        <w:t xml:space="preserve">, </w:t>
      </w:r>
      <w:proofErr w:type="spellStart"/>
      <w:r w:rsidRPr="00E5040D">
        <w:rPr>
          <w:i/>
          <w:iCs/>
          <w:lang w:val="en-US"/>
        </w:rPr>
        <w:t>Legenda</w:t>
      </w:r>
      <w:proofErr w:type="spellEnd"/>
      <w:r w:rsidRPr="00E5040D">
        <w:rPr>
          <w:i/>
          <w:iCs/>
          <w:lang w:val="en-US"/>
        </w:rPr>
        <w:t xml:space="preserve"> Aurea</w:t>
      </w:r>
      <w:r w:rsidRPr="00E5040D">
        <w:rPr>
          <w:lang w:val="en-US"/>
        </w:rPr>
        <w:t xml:space="preserve">, 196; English translation from Jacobus de </w:t>
      </w:r>
      <w:proofErr w:type="spellStart"/>
      <w:r w:rsidRPr="00E5040D">
        <w:rPr>
          <w:lang w:val="en-US"/>
        </w:rPr>
        <w:t>Voragine</w:t>
      </w:r>
      <w:proofErr w:type="spellEnd"/>
      <w:r w:rsidRPr="00E5040D">
        <w:rPr>
          <w:lang w:val="en-US"/>
        </w:rPr>
        <w:t xml:space="preserve">, </w:t>
      </w:r>
      <w:r w:rsidRPr="00E5040D">
        <w:rPr>
          <w:i/>
          <w:iCs/>
          <w:lang w:val="en-US"/>
        </w:rPr>
        <w:t>The Golden Legend</w:t>
      </w:r>
      <w:r w:rsidRPr="00E5040D">
        <w:rPr>
          <w:lang w:val="en-US"/>
        </w:rPr>
        <w:t>, 178.</w:t>
      </w:r>
    </w:p>
  </w:footnote>
  <w:footnote w:id="383">
    <w:p w14:paraId="25282FF7" w14:textId="77777777" w:rsidR="00182EED" w:rsidRDefault="00182EED" w:rsidP="008A116C">
      <w:pPr>
        <w:pStyle w:val="FootnoteText"/>
      </w:pPr>
      <w:r w:rsidRPr="00073E38">
        <w:rPr>
          <w:rStyle w:val="FootnoteReference"/>
        </w:rPr>
        <w:footnoteRef/>
      </w:r>
      <w:r>
        <w:t xml:space="preserve"> </w:t>
      </w:r>
      <w:r w:rsidRPr="00E5040D">
        <w:rPr>
          <w:lang w:val="en-US"/>
        </w:rPr>
        <w:t xml:space="preserve">“Son </w:t>
      </w:r>
      <w:proofErr w:type="spellStart"/>
      <w:r w:rsidRPr="00E5040D">
        <w:rPr>
          <w:lang w:val="en-US"/>
        </w:rPr>
        <w:t>tanti</w:t>
      </w:r>
      <w:proofErr w:type="spellEnd"/>
      <w:r w:rsidRPr="00E5040D">
        <w:rPr>
          <w:lang w:val="en-US"/>
        </w:rPr>
        <w:t xml:space="preserve"> </w:t>
      </w:r>
      <w:proofErr w:type="spellStart"/>
      <w:r w:rsidRPr="00E5040D">
        <w:rPr>
          <w:lang w:val="en-US"/>
        </w:rPr>
        <w:t>spiriti</w:t>
      </w:r>
      <w:proofErr w:type="spellEnd"/>
      <w:r w:rsidRPr="00E5040D">
        <w:rPr>
          <w:lang w:val="en-US"/>
        </w:rPr>
        <w:t xml:space="preserve"> </w:t>
      </w:r>
      <w:proofErr w:type="spellStart"/>
      <w:r w:rsidRPr="00E5040D">
        <w:rPr>
          <w:lang w:val="en-US"/>
        </w:rPr>
        <w:t>angelici</w:t>
      </w:r>
      <w:proofErr w:type="spellEnd"/>
      <w:r w:rsidRPr="00E5040D">
        <w:rPr>
          <w:lang w:val="en-US"/>
        </w:rPr>
        <w:t xml:space="preserve"> </w:t>
      </w:r>
      <w:proofErr w:type="spellStart"/>
      <w:r w:rsidRPr="00E5040D">
        <w:rPr>
          <w:lang w:val="en-US"/>
        </w:rPr>
        <w:t>desesi</w:t>
      </w:r>
      <w:proofErr w:type="spellEnd"/>
      <w:r w:rsidRPr="00E5040D">
        <w:rPr>
          <w:lang w:val="en-US"/>
        </w:rPr>
        <w:t xml:space="preserve"> de </w:t>
      </w:r>
      <w:proofErr w:type="spellStart"/>
      <w:r w:rsidRPr="00E5040D">
        <w:rPr>
          <w:lang w:val="en-US"/>
        </w:rPr>
        <w:t>cielo</w:t>
      </w:r>
      <w:proofErr w:type="spellEnd"/>
      <w:r w:rsidRPr="00E5040D">
        <w:rPr>
          <w:lang w:val="en-US"/>
        </w:rPr>
        <w:t xml:space="preserve"> e </w:t>
      </w:r>
      <w:proofErr w:type="spellStart"/>
      <w:r w:rsidRPr="00E5040D">
        <w:rPr>
          <w:lang w:val="en-US"/>
        </w:rPr>
        <w:t>venuti</w:t>
      </w:r>
      <w:proofErr w:type="spellEnd"/>
      <w:r w:rsidRPr="00E5040D">
        <w:rPr>
          <w:lang w:val="en-US"/>
        </w:rPr>
        <w:t xml:space="preserve"> </w:t>
      </w:r>
      <w:proofErr w:type="spellStart"/>
      <w:r w:rsidRPr="00E5040D">
        <w:rPr>
          <w:lang w:val="en-US"/>
        </w:rPr>
        <w:t>insieme</w:t>
      </w:r>
      <w:proofErr w:type="spellEnd"/>
      <w:r w:rsidRPr="00E5040D">
        <w:rPr>
          <w:lang w:val="en-US"/>
        </w:rPr>
        <w:t xml:space="preserve"> con </w:t>
      </w:r>
      <w:proofErr w:type="spellStart"/>
      <w:r w:rsidRPr="00E5040D">
        <w:rPr>
          <w:lang w:val="en-US"/>
        </w:rPr>
        <w:t>nui</w:t>
      </w:r>
      <w:proofErr w:type="spellEnd"/>
      <w:r w:rsidRPr="00E5040D">
        <w:rPr>
          <w:lang w:val="en-US"/>
        </w:rPr>
        <w:t xml:space="preserve"> a </w:t>
      </w:r>
      <w:proofErr w:type="spellStart"/>
      <w:r w:rsidRPr="00E5040D">
        <w:rPr>
          <w:lang w:val="en-US"/>
        </w:rPr>
        <w:t>laudare</w:t>
      </w:r>
      <w:proofErr w:type="spellEnd"/>
      <w:r w:rsidRPr="00E5040D">
        <w:rPr>
          <w:lang w:val="en-US"/>
        </w:rPr>
        <w:t xml:space="preserve"> la </w:t>
      </w:r>
      <w:proofErr w:type="spellStart"/>
      <w:r w:rsidRPr="00E5040D">
        <w:rPr>
          <w:lang w:val="en-US"/>
        </w:rPr>
        <w:t>clementia</w:t>
      </w:r>
      <w:proofErr w:type="spellEnd"/>
      <w:r w:rsidRPr="00E5040D">
        <w:rPr>
          <w:lang w:val="en-US"/>
        </w:rPr>
        <w:t xml:space="preserve"> </w:t>
      </w:r>
      <w:proofErr w:type="spellStart"/>
      <w:r w:rsidRPr="00E5040D">
        <w:rPr>
          <w:lang w:val="en-US"/>
        </w:rPr>
        <w:t>divina</w:t>
      </w:r>
      <w:proofErr w:type="spellEnd"/>
      <w:r w:rsidRPr="00E5040D">
        <w:rPr>
          <w:lang w:val="en-US"/>
        </w:rPr>
        <w:t xml:space="preserve">.” </w:t>
      </w:r>
      <w:proofErr w:type="spellStart"/>
      <w:r w:rsidRPr="00E5040D">
        <w:rPr>
          <w:lang w:val="en-US"/>
        </w:rPr>
        <w:t>Illuminata</w:t>
      </w:r>
      <w:proofErr w:type="spellEnd"/>
      <w:r w:rsidRPr="00E5040D">
        <w:rPr>
          <w:lang w:val="en-US"/>
        </w:rPr>
        <w:t xml:space="preserve"> </w:t>
      </w:r>
      <w:proofErr w:type="spellStart"/>
      <w:r w:rsidRPr="00E5040D">
        <w:rPr>
          <w:lang w:val="en-US"/>
        </w:rPr>
        <w:t>Bembo</w:t>
      </w:r>
      <w:proofErr w:type="spellEnd"/>
      <w:r w:rsidRPr="00E5040D">
        <w:rPr>
          <w:lang w:val="en-US"/>
        </w:rPr>
        <w:t xml:space="preserve">, </w:t>
      </w:r>
      <w:proofErr w:type="spellStart"/>
      <w:r w:rsidRPr="00E5040D">
        <w:rPr>
          <w:i/>
          <w:iCs/>
          <w:lang w:val="en-US"/>
        </w:rPr>
        <w:t>Specchio</w:t>
      </w:r>
      <w:proofErr w:type="spellEnd"/>
      <w:r w:rsidRPr="00E5040D">
        <w:rPr>
          <w:i/>
          <w:iCs/>
          <w:lang w:val="en-US"/>
        </w:rPr>
        <w:t xml:space="preserve"> di </w:t>
      </w:r>
      <w:proofErr w:type="spellStart"/>
      <w:r w:rsidRPr="00E5040D">
        <w:rPr>
          <w:i/>
          <w:iCs/>
          <w:lang w:val="en-US"/>
        </w:rPr>
        <w:t>illuminazione</w:t>
      </w:r>
      <w:proofErr w:type="spellEnd"/>
      <w:r w:rsidRPr="00E5040D">
        <w:rPr>
          <w:lang w:val="en-US"/>
        </w:rPr>
        <w:t xml:space="preserve">, ed. Silvia </w:t>
      </w:r>
      <w:proofErr w:type="spellStart"/>
      <w:r w:rsidRPr="00E5040D">
        <w:rPr>
          <w:lang w:val="en-US"/>
        </w:rPr>
        <w:t>Mostaccio</w:t>
      </w:r>
      <w:proofErr w:type="spellEnd"/>
      <w:r w:rsidRPr="00E5040D">
        <w:rPr>
          <w:lang w:val="en-US"/>
        </w:rPr>
        <w:t xml:space="preserve"> (Florence: </w:t>
      </w:r>
      <w:proofErr w:type="spellStart"/>
      <w:r w:rsidRPr="00E5040D">
        <w:rPr>
          <w:lang w:val="en-US"/>
        </w:rPr>
        <w:t>Sismel</w:t>
      </w:r>
      <w:proofErr w:type="spellEnd"/>
      <w:r w:rsidRPr="00E5040D">
        <w:rPr>
          <w:lang w:val="en-US"/>
        </w:rPr>
        <w:t xml:space="preserve">, 2001), V.9, 29; see also Shephard, </w:t>
      </w:r>
      <w:proofErr w:type="spellStart"/>
      <w:r w:rsidRPr="00E5040D">
        <w:rPr>
          <w:lang w:val="en-US"/>
        </w:rPr>
        <w:t>Ştefănescu</w:t>
      </w:r>
      <w:proofErr w:type="spellEnd"/>
      <w:r w:rsidRPr="00E5040D">
        <w:rPr>
          <w:lang w:val="en-US"/>
        </w:rPr>
        <w:t>, and Sessini, “Music, Silence, and the Senses in a Late Fifteenth-Century Book of Hours,” 484.</w:t>
      </w:r>
    </w:p>
  </w:footnote>
  <w:footnote w:id="384">
    <w:p w14:paraId="11C4D453" w14:textId="77777777" w:rsidR="00182EED" w:rsidRDefault="00182EED" w:rsidP="008A116C">
      <w:pPr>
        <w:pStyle w:val="FootnoteText"/>
      </w:pPr>
      <w:r w:rsidRPr="00073E38">
        <w:rPr>
          <w:rStyle w:val="FootnoteReference"/>
        </w:rPr>
        <w:footnoteRef/>
      </w:r>
      <w:r>
        <w:t xml:space="preserve"> </w:t>
      </w:r>
      <w:r w:rsidRPr="008B0975">
        <w:rPr>
          <w:lang w:val="en-US"/>
        </w:rPr>
        <w:t xml:space="preserve">“In </w:t>
      </w:r>
      <w:proofErr w:type="spellStart"/>
      <w:r w:rsidRPr="008B0975">
        <w:rPr>
          <w:lang w:val="en-US"/>
        </w:rPr>
        <w:t>cuius</w:t>
      </w:r>
      <w:proofErr w:type="spellEnd"/>
      <w:r w:rsidRPr="008B0975">
        <w:rPr>
          <w:lang w:val="en-US"/>
        </w:rPr>
        <w:t xml:space="preserve"> </w:t>
      </w:r>
      <w:proofErr w:type="spellStart"/>
      <w:r w:rsidRPr="008B0975">
        <w:rPr>
          <w:lang w:val="en-US"/>
        </w:rPr>
        <w:t>quidem</w:t>
      </w:r>
      <w:proofErr w:type="spellEnd"/>
      <w:r w:rsidRPr="008B0975">
        <w:rPr>
          <w:lang w:val="en-US"/>
        </w:rPr>
        <w:t xml:space="preserve"> </w:t>
      </w:r>
      <w:proofErr w:type="spellStart"/>
      <w:r w:rsidRPr="008B0975">
        <w:rPr>
          <w:lang w:val="en-US"/>
        </w:rPr>
        <w:t>sacratissimi</w:t>
      </w:r>
      <w:proofErr w:type="spellEnd"/>
      <w:r w:rsidRPr="008B0975">
        <w:rPr>
          <w:lang w:val="en-US"/>
        </w:rPr>
        <w:t xml:space="preserve"> corporis </w:t>
      </w:r>
      <w:proofErr w:type="spellStart"/>
      <w:r w:rsidRPr="008B0975">
        <w:rPr>
          <w:lang w:val="en-US"/>
        </w:rPr>
        <w:t>elevatione</w:t>
      </w:r>
      <w:proofErr w:type="spellEnd"/>
      <w:r w:rsidRPr="008B0975">
        <w:rPr>
          <w:lang w:val="en-US"/>
        </w:rPr>
        <w:t xml:space="preserve"> </w:t>
      </w:r>
      <w:proofErr w:type="spellStart"/>
      <w:r w:rsidRPr="008B0975">
        <w:rPr>
          <w:lang w:val="en-US"/>
        </w:rPr>
        <w:t>tantis</w:t>
      </w:r>
      <w:proofErr w:type="spellEnd"/>
      <w:r w:rsidRPr="008B0975">
        <w:rPr>
          <w:lang w:val="en-US"/>
        </w:rPr>
        <w:t xml:space="preserve"> </w:t>
      </w:r>
      <w:proofErr w:type="spellStart"/>
      <w:r w:rsidRPr="008B0975">
        <w:rPr>
          <w:lang w:val="en-US"/>
        </w:rPr>
        <w:t>armoniarum</w:t>
      </w:r>
      <w:proofErr w:type="spellEnd"/>
      <w:r w:rsidRPr="008B0975">
        <w:rPr>
          <w:lang w:val="en-US"/>
        </w:rPr>
        <w:t xml:space="preserve"> </w:t>
      </w:r>
      <w:proofErr w:type="spellStart"/>
      <w:r w:rsidRPr="008B0975">
        <w:rPr>
          <w:lang w:val="en-US"/>
        </w:rPr>
        <w:t>symphoniis</w:t>
      </w:r>
      <w:proofErr w:type="spellEnd"/>
      <w:r w:rsidRPr="008B0975">
        <w:rPr>
          <w:lang w:val="en-US"/>
        </w:rPr>
        <w:t xml:space="preserve"> / </w:t>
      </w:r>
      <w:proofErr w:type="spellStart"/>
      <w:r w:rsidRPr="008B0975">
        <w:rPr>
          <w:lang w:val="en-US"/>
        </w:rPr>
        <w:t>tantis</w:t>
      </w:r>
      <w:proofErr w:type="spellEnd"/>
      <w:r w:rsidRPr="008B0975">
        <w:rPr>
          <w:lang w:val="en-US"/>
        </w:rPr>
        <w:t xml:space="preserve"> </w:t>
      </w:r>
      <w:proofErr w:type="spellStart"/>
      <w:r w:rsidRPr="008B0975">
        <w:rPr>
          <w:lang w:val="en-US"/>
        </w:rPr>
        <w:t>insuper</w:t>
      </w:r>
      <w:proofErr w:type="spellEnd"/>
      <w:r w:rsidRPr="008B0975">
        <w:rPr>
          <w:lang w:val="en-US"/>
        </w:rPr>
        <w:t xml:space="preserve"> </w:t>
      </w:r>
      <w:proofErr w:type="spellStart"/>
      <w:r w:rsidRPr="008B0975">
        <w:rPr>
          <w:lang w:val="en-US"/>
        </w:rPr>
        <w:t>diversorum</w:t>
      </w:r>
      <w:proofErr w:type="spellEnd"/>
      <w:r w:rsidRPr="008B0975">
        <w:rPr>
          <w:lang w:val="en-US"/>
        </w:rPr>
        <w:t xml:space="preserve"> </w:t>
      </w:r>
      <w:proofErr w:type="spellStart"/>
      <w:r w:rsidRPr="008B0975">
        <w:rPr>
          <w:lang w:val="en-US"/>
        </w:rPr>
        <w:t>instrumentorum</w:t>
      </w:r>
      <w:proofErr w:type="spellEnd"/>
      <w:r w:rsidRPr="008B0975">
        <w:rPr>
          <w:lang w:val="en-US"/>
        </w:rPr>
        <w:t xml:space="preserve"> </w:t>
      </w:r>
      <w:proofErr w:type="spellStart"/>
      <w:r w:rsidRPr="008B0975">
        <w:rPr>
          <w:lang w:val="en-US"/>
        </w:rPr>
        <w:t>consonationibus</w:t>
      </w:r>
      <w:proofErr w:type="spellEnd"/>
      <w:r w:rsidRPr="008B0975">
        <w:rPr>
          <w:lang w:val="en-US"/>
        </w:rPr>
        <w:t xml:space="preserve"> omnia </w:t>
      </w:r>
      <w:proofErr w:type="spellStart"/>
      <w:r w:rsidRPr="008B0975">
        <w:rPr>
          <w:lang w:val="en-US"/>
        </w:rPr>
        <w:t>basilicae</w:t>
      </w:r>
      <w:proofErr w:type="spellEnd"/>
      <w:r w:rsidRPr="008B0975">
        <w:rPr>
          <w:lang w:val="en-US"/>
        </w:rPr>
        <w:t xml:space="preserve"> </w:t>
      </w:r>
      <w:proofErr w:type="spellStart"/>
      <w:r w:rsidRPr="008B0975">
        <w:rPr>
          <w:lang w:val="en-US"/>
        </w:rPr>
        <w:t>loca</w:t>
      </w:r>
      <w:proofErr w:type="spellEnd"/>
      <w:r w:rsidRPr="008B0975">
        <w:rPr>
          <w:lang w:val="en-US"/>
        </w:rPr>
        <w:t xml:space="preserve"> </w:t>
      </w:r>
      <w:proofErr w:type="spellStart"/>
      <w:r w:rsidRPr="008B0975">
        <w:rPr>
          <w:lang w:val="en-US"/>
        </w:rPr>
        <w:t>resonabant</w:t>
      </w:r>
      <w:proofErr w:type="spellEnd"/>
      <w:r w:rsidRPr="008B0975">
        <w:rPr>
          <w:lang w:val="en-US"/>
        </w:rPr>
        <w:t xml:space="preserve">: </w:t>
      </w:r>
      <w:proofErr w:type="spellStart"/>
      <w:r w:rsidRPr="008B0975">
        <w:rPr>
          <w:lang w:val="en-US"/>
        </w:rPr>
        <w:t>ut</w:t>
      </w:r>
      <w:proofErr w:type="spellEnd"/>
      <w:r w:rsidRPr="008B0975">
        <w:rPr>
          <w:lang w:val="en-US"/>
        </w:rPr>
        <w:t xml:space="preserve"> </w:t>
      </w:r>
      <w:proofErr w:type="spellStart"/>
      <w:r w:rsidRPr="008B0975">
        <w:rPr>
          <w:lang w:val="en-US"/>
        </w:rPr>
        <w:t>angelici</w:t>
      </w:r>
      <w:proofErr w:type="spellEnd"/>
      <w:r w:rsidRPr="008B0975">
        <w:rPr>
          <w:lang w:val="en-US"/>
        </w:rPr>
        <w:t xml:space="preserve"> ac </w:t>
      </w:r>
      <w:proofErr w:type="spellStart"/>
      <w:r w:rsidRPr="008B0975">
        <w:rPr>
          <w:lang w:val="en-US"/>
        </w:rPr>
        <w:t>prorsus</w:t>
      </w:r>
      <w:proofErr w:type="spellEnd"/>
      <w:r w:rsidRPr="008B0975">
        <w:rPr>
          <w:lang w:val="en-US"/>
        </w:rPr>
        <w:t xml:space="preserve"> </w:t>
      </w:r>
      <w:proofErr w:type="spellStart"/>
      <w:r w:rsidRPr="008B0975">
        <w:rPr>
          <w:lang w:val="en-US"/>
        </w:rPr>
        <w:t>divini</w:t>
      </w:r>
      <w:proofErr w:type="spellEnd"/>
      <w:r w:rsidRPr="008B0975">
        <w:rPr>
          <w:lang w:val="en-US"/>
        </w:rPr>
        <w:t xml:space="preserve"> </w:t>
      </w:r>
      <w:proofErr w:type="spellStart"/>
      <w:r w:rsidRPr="008B0975">
        <w:rPr>
          <w:lang w:val="en-US"/>
        </w:rPr>
        <w:t>paradisi</w:t>
      </w:r>
      <w:proofErr w:type="spellEnd"/>
      <w:r w:rsidRPr="008B0975">
        <w:rPr>
          <w:lang w:val="en-US"/>
        </w:rPr>
        <w:t xml:space="preserve"> </w:t>
      </w:r>
      <w:proofErr w:type="spellStart"/>
      <w:r w:rsidRPr="008B0975">
        <w:rPr>
          <w:lang w:val="en-US"/>
        </w:rPr>
        <w:t>sonitus</w:t>
      </w:r>
      <w:proofErr w:type="spellEnd"/>
      <w:r w:rsidRPr="008B0975">
        <w:rPr>
          <w:lang w:val="en-US"/>
        </w:rPr>
        <w:t xml:space="preserve"> </w:t>
      </w:r>
      <w:proofErr w:type="spellStart"/>
      <w:r w:rsidRPr="008B0975">
        <w:rPr>
          <w:lang w:val="en-US"/>
        </w:rPr>
        <w:t>cantusque</w:t>
      </w:r>
      <w:proofErr w:type="spellEnd"/>
      <w:r w:rsidRPr="008B0975">
        <w:rPr>
          <w:lang w:val="en-US"/>
        </w:rPr>
        <w:t xml:space="preserve"> </w:t>
      </w:r>
      <w:proofErr w:type="spellStart"/>
      <w:r w:rsidRPr="008B0975">
        <w:rPr>
          <w:lang w:val="en-US"/>
        </w:rPr>
        <w:t>demissi</w:t>
      </w:r>
      <w:proofErr w:type="spellEnd"/>
      <w:r w:rsidRPr="008B0975">
        <w:rPr>
          <w:lang w:val="en-US"/>
        </w:rPr>
        <w:t xml:space="preserve"> </w:t>
      </w:r>
      <w:proofErr w:type="spellStart"/>
      <w:r w:rsidRPr="008B0975">
        <w:rPr>
          <w:lang w:val="en-US"/>
        </w:rPr>
        <w:t>caelitus</w:t>
      </w:r>
      <w:proofErr w:type="spellEnd"/>
      <w:r w:rsidRPr="008B0975">
        <w:rPr>
          <w:lang w:val="en-US"/>
        </w:rPr>
        <w:t xml:space="preserve"> ad </w:t>
      </w:r>
      <w:proofErr w:type="spellStart"/>
      <w:r w:rsidRPr="008B0975">
        <w:rPr>
          <w:lang w:val="en-US"/>
        </w:rPr>
        <w:t>nos</w:t>
      </w:r>
      <w:proofErr w:type="spellEnd"/>
      <w:r w:rsidRPr="008B0975">
        <w:rPr>
          <w:lang w:val="en-US"/>
        </w:rPr>
        <w:t xml:space="preserve"> in </w:t>
      </w:r>
      <w:proofErr w:type="spellStart"/>
      <w:r w:rsidRPr="008B0975">
        <w:rPr>
          <w:lang w:val="en-US"/>
        </w:rPr>
        <w:t>terris</w:t>
      </w:r>
      <w:proofErr w:type="spellEnd"/>
      <w:r w:rsidRPr="008B0975">
        <w:rPr>
          <w:lang w:val="en-US"/>
        </w:rPr>
        <w:t xml:space="preserve"> </w:t>
      </w:r>
      <w:proofErr w:type="spellStart"/>
      <w:r w:rsidRPr="008B0975">
        <w:rPr>
          <w:lang w:val="en-US"/>
        </w:rPr>
        <w:t>divinum</w:t>
      </w:r>
      <w:proofErr w:type="spellEnd"/>
      <w:r w:rsidRPr="008B0975">
        <w:rPr>
          <w:lang w:val="en-US"/>
        </w:rPr>
        <w:t xml:space="preserve"> </w:t>
      </w:r>
      <w:proofErr w:type="spellStart"/>
      <w:r w:rsidRPr="008B0975">
        <w:rPr>
          <w:lang w:val="en-US"/>
        </w:rPr>
        <w:t>nescio</w:t>
      </w:r>
      <w:proofErr w:type="spellEnd"/>
      <w:r w:rsidRPr="008B0975">
        <w:rPr>
          <w:lang w:val="en-US"/>
        </w:rPr>
        <w:t xml:space="preserve"> quid </w:t>
      </w:r>
      <w:proofErr w:type="spellStart"/>
      <w:r w:rsidRPr="008B0975">
        <w:rPr>
          <w:lang w:val="en-US"/>
        </w:rPr>
        <w:t>ob</w:t>
      </w:r>
      <w:proofErr w:type="spellEnd"/>
      <w:r w:rsidRPr="008B0975">
        <w:rPr>
          <w:lang w:val="en-US"/>
        </w:rPr>
        <w:t xml:space="preserve"> </w:t>
      </w:r>
      <w:proofErr w:type="spellStart"/>
      <w:r w:rsidRPr="008B0975">
        <w:rPr>
          <w:lang w:val="en-US"/>
        </w:rPr>
        <w:t>incredibilem</w:t>
      </w:r>
      <w:proofErr w:type="spellEnd"/>
      <w:r w:rsidRPr="008B0975">
        <w:rPr>
          <w:lang w:val="en-US"/>
        </w:rPr>
        <w:t xml:space="preserve"> </w:t>
      </w:r>
      <w:proofErr w:type="spellStart"/>
      <w:r w:rsidRPr="008B0975">
        <w:rPr>
          <w:lang w:val="en-US"/>
        </w:rPr>
        <w:t>suavitatem</w:t>
      </w:r>
      <w:proofErr w:type="spellEnd"/>
      <w:r w:rsidRPr="008B0975">
        <w:rPr>
          <w:lang w:val="en-US"/>
        </w:rPr>
        <w:t xml:space="preserve"> </w:t>
      </w:r>
      <w:proofErr w:type="spellStart"/>
      <w:r w:rsidRPr="008B0975">
        <w:rPr>
          <w:lang w:val="en-US"/>
        </w:rPr>
        <w:t>quandam</w:t>
      </w:r>
      <w:proofErr w:type="spellEnd"/>
      <w:r w:rsidRPr="008B0975">
        <w:rPr>
          <w:lang w:val="en-US"/>
        </w:rPr>
        <w:t xml:space="preserve"> in </w:t>
      </w:r>
      <w:proofErr w:type="spellStart"/>
      <w:r w:rsidRPr="008B0975">
        <w:rPr>
          <w:lang w:val="en-US"/>
        </w:rPr>
        <w:t>aures</w:t>
      </w:r>
      <w:proofErr w:type="spellEnd"/>
      <w:r w:rsidRPr="008B0975">
        <w:rPr>
          <w:lang w:val="en-US"/>
        </w:rPr>
        <w:t xml:space="preserve"> </w:t>
      </w:r>
      <w:proofErr w:type="spellStart"/>
      <w:r w:rsidRPr="008B0975">
        <w:rPr>
          <w:lang w:val="en-US"/>
        </w:rPr>
        <w:t>nostras</w:t>
      </w:r>
      <w:proofErr w:type="spellEnd"/>
      <w:r w:rsidRPr="008B0975">
        <w:rPr>
          <w:lang w:val="en-US"/>
        </w:rPr>
        <w:t xml:space="preserve"> </w:t>
      </w:r>
      <w:proofErr w:type="spellStart"/>
      <w:r w:rsidRPr="008B0975">
        <w:rPr>
          <w:lang w:val="en-US"/>
        </w:rPr>
        <w:t>insusurare</w:t>
      </w:r>
      <w:proofErr w:type="spellEnd"/>
      <w:r w:rsidRPr="008B0975">
        <w:rPr>
          <w:lang w:val="en-US"/>
        </w:rPr>
        <w:t xml:space="preserve"> non </w:t>
      </w:r>
      <w:proofErr w:type="spellStart"/>
      <w:r w:rsidRPr="008B0975">
        <w:rPr>
          <w:lang w:val="en-US"/>
        </w:rPr>
        <w:t>immerito</w:t>
      </w:r>
      <w:proofErr w:type="spellEnd"/>
      <w:r w:rsidRPr="008B0975">
        <w:rPr>
          <w:lang w:val="en-US"/>
        </w:rPr>
        <w:t xml:space="preserve"> </w:t>
      </w:r>
      <w:proofErr w:type="spellStart"/>
      <w:r w:rsidRPr="008B0975">
        <w:rPr>
          <w:lang w:val="en-US"/>
        </w:rPr>
        <w:t>viderentur</w:t>
      </w:r>
      <w:proofErr w:type="spellEnd"/>
      <w:r w:rsidRPr="008B0975">
        <w:rPr>
          <w:lang w:val="en-US"/>
        </w:rPr>
        <w:t xml:space="preserve">”. Quoted in original and in translation in Klaus </w:t>
      </w:r>
      <w:proofErr w:type="spellStart"/>
      <w:r w:rsidRPr="008B0975">
        <w:rPr>
          <w:lang w:val="en-US"/>
        </w:rPr>
        <w:t>Pietschmann</w:t>
      </w:r>
      <w:proofErr w:type="spellEnd"/>
      <w:r w:rsidRPr="008B0975">
        <w:rPr>
          <w:lang w:val="en-US"/>
        </w:rPr>
        <w:t xml:space="preserve">, “The Sense of Hearing Politicized: Liturgical Polyphony and Political Ambition in Fifteenth-Century Florence,” in </w:t>
      </w:r>
      <w:r w:rsidRPr="008B0975">
        <w:rPr>
          <w:i/>
          <w:iCs/>
          <w:lang w:val="en-US"/>
        </w:rPr>
        <w:t>Religion and the Senses in Early Modern Europe</w:t>
      </w:r>
      <w:r w:rsidRPr="008B0975">
        <w:rPr>
          <w:lang w:val="en-US"/>
        </w:rPr>
        <w:t xml:space="preserve">, ed. </w:t>
      </w:r>
      <w:proofErr w:type="spellStart"/>
      <w:r w:rsidRPr="008B0975">
        <w:rPr>
          <w:lang w:val="en-US"/>
        </w:rPr>
        <w:t>Wietse</w:t>
      </w:r>
      <w:proofErr w:type="spellEnd"/>
      <w:r w:rsidRPr="008B0975">
        <w:rPr>
          <w:lang w:val="en-US"/>
        </w:rPr>
        <w:t xml:space="preserve"> de Boer and Christine </w:t>
      </w:r>
      <w:proofErr w:type="spellStart"/>
      <w:r w:rsidRPr="008B0975">
        <w:rPr>
          <w:lang w:val="en-US"/>
        </w:rPr>
        <w:t>Göttler</w:t>
      </w:r>
      <w:proofErr w:type="spellEnd"/>
      <w:r w:rsidRPr="008B0975">
        <w:rPr>
          <w:lang w:val="en-US"/>
        </w:rPr>
        <w:t xml:space="preserve"> (Leiden and Boston: Brill, 2013), 276–77.</w:t>
      </w:r>
    </w:p>
  </w:footnote>
  <w:footnote w:id="385">
    <w:p w14:paraId="47123377" w14:textId="77777777" w:rsidR="00182EED" w:rsidRDefault="00182EED" w:rsidP="008A116C">
      <w:pPr>
        <w:pStyle w:val="FootnoteText"/>
      </w:pPr>
      <w:r w:rsidRPr="00073E38">
        <w:rPr>
          <w:rStyle w:val="FootnoteReference"/>
        </w:rPr>
        <w:footnoteRef/>
      </w:r>
      <w:r>
        <w:t xml:space="preserve"> </w:t>
      </w:r>
      <w:r w:rsidRPr="008B0975">
        <w:rPr>
          <w:lang w:val="en-US"/>
        </w:rPr>
        <w:t>“</w:t>
      </w:r>
      <w:proofErr w:type="spellStart"/>
      <w:r w:rsidRPr="008B0975">
        <w:rPr>
          <w:lang w:val="en-US"/>
        </w:rPr>
        <w:t>Diuinam</w:t>
      </w:r>
      <w:proofErr w:type="spellEnd"/>
      <w:r w:rsidRPr="008B0975">
        <w:rPr>
          <w:lang w:val="en-US"/>
        </w:rPr>
        <w:t xml:space="preserve"> s[</w:t>
      </w:r>
      <w:proofErr w:type="spellStart"/>
      <w:r w:rsidRPr="008B0975">
        <w:rPr>
          <w:lang w:val="en-US"/>
        </w:rPr>
        <w:t>cilicet</w:t>
      </w:r>
      <w:proofErr w:type="spellEnd"/>
      <w:r w:rsidRPr="008B0975">
        <w:rPr>
          <w:lang w:val="en-US"/>
        </w:rPr>
        <w:t xml:space="preserve">] </w:t>
      </w:r>
      <w:proofErr w:type="spellStart"/>
      <w:r w:rsidRPr="008B0975">
        <w:rPr>
          <w:lang w:val="en-US"/>
        </w:rPr>
        <w:t>trinitatem</w:t>
      </w:r>
      <w:proofErr w:type="spellEnd"/>
      <w:r w:rsidRPr="008B0975">
        <w:rPr>
          <w:lang w:val="en-US"/>
        </w:rPr>
        <w:t xml:space="preserve"> et </w:t>
      </w:r>
      <w:proofErr w:type="spellStart"/>
      <w:r w:rsidRPr="008B0975">
        <w:rPr>
          <w:lang w:val="en-US"/>
        </w:rPr>
        <w:t>angelicam</w:t>
      </w:r>
      <w:proofErr w:type="spellEnd"/>
      <w:r w:rsidRPr="008B0975">
        <w:rPr>
          <w:lang w:val="en-US"/>
        </w:rPr>
        <w:t xml:space="preserve"> </w:t>
      </w:r>
      <w:proofErr w:type="spellStart"/>
      <w:r w:rsidRPr="008B0975">
        <w:rPr>
          <w:lang w:val="en-US"/>
        </w:rPr>
        <w:t>harmonia</w:t>
      </w:r>
      <w:proofErr w:type="spellEnd"/>
      <w:r w:rsidRPr="008B0975">
        <w:rPr>
          <w:lang w:val="en-US"/>
        </w:rPr>
        <w:t>[m] (</w:t>
      </w:r>
      <w:proofErr w:type="spellStart"/>
      <w:r w:rsidRPr="008B0975">
        <w:rPr>
          <w:lang w:val="en-US"/>
        </w:rPr>
        <w:t>vt</w:t>
      </w:r>
      <w:proofErr w:type="spellEnd"/>
      <w:r w:rsidRPr="008B0975">
        <w:rPr>
          <w:lang w:val="en-US"/>
        </w:rPr>
        <w:t xml:space="preserve"> </w:t>
      </w:r>
      <w:proofErr w:type="spellStart"/>
      <w:r w:rsidRPr="008B0975">
        <w:rPr>
          <w:lang w:val="en-US"/>
        </w:rPr>
        <w:t>ipsi</w:t>
      </w:r>
      <w:proofErr w:type="spellEnd"/>
      <w:r w:rsidRPr="008B0975">
        <w:rPr>
          <w:lang w:val="en-US"/>
        </w:rPr>
        <w:t xml:space="preserve"> </w:t>
      </w:r>
      <w:proofErr w:type="spellStart"/>
      <w:r w:rsidRPr="008B0975">
        <w:rPr>
          <w:lang w:val="en-US"/>
        </w:rPr>
        <w:t>aiunt</w:t>
      </w:r>
      <w:proofErr w:type="spellEnd"/>
      <w:r w:rsidRPr="008B0975">
        <w:rPr>
          <w:lang w:val="en-US"/>
        </w:rPr>
        <w:t>) me[n]</w:t>
      </w:r>
      <w:proofErr w:type="spellStart"/>
      <w:r w:rsidRPr="008B0975">
        <w:rPr>
          <w:lang w:val="en-US"/>
        </w:rPr>
        <w:t>te</w:t>
      </w:r>
      <w:proofErr w:type="spellEnd"/>
      <w:r w:rsidRPr="008B0975">
        <w:rPr>
          <w:lang w:val="en-US"/>
        </w:rPr>
        <w:t xml:space="preserve"> et </w:t>
      </w:r>
      <w:proofErr w:type="spellStart"/>
      <w:r w:rsidRPr="008B0975">
        <w:rPr>
          <w:lang w:val="en-US"/>
        </w:rPr>
        <w:t>animo</w:t>
      </w:r>
      <w:proofErr w:type="spellEnd"/>
      <w:r w:rsidRPr="008B0975">
        <w:rPr>
          <w:lang w:val="en-US"/>
        </w:rPr>
        <w:t xml:space="preserve"> </w:t>
      </w:r>
      <w:proofErr w:type="spellStart"/>
      <w:r w:rsidRPr="008B0975">
        <w:rPr>
          <w:lang w:val="en-US"/>
        </w:rPr>
        <w:t>interea</w:t>
      </w:r>
      <w:proofErr w:type="spellEnd"/>
      <w:r w:rsidRPr="008B0975">
        <w:rPr>
          <w:lang w:val="en-US"/>
        </w:rPr>
        <w:t xml:space="preserve"> </w:t>
      </w:r>
      <w:proofErr w:type="spellStart"/>
      <w:r w:rsidRPr="008B0975">
        <w:rPr>
          <w:lang w:val="en-US"/>
        </w:rPr>
        <w:t>percurrentes</w:t>
      </w:r>
      <w:proofErr w:type="spellEnd"/>
      <w:r w:rsidRPr="008B0975">
        <w:rPr>
          <w:lang w:val="en-US"/>
        </w:rPr>
        <w:t xml:space="preserve">.” </w:t>
      </w:r>
      <w:proofErr w:type="spellStart"/>
      <w:r w:rsidRPr="008B0975">
        <w:rPr>
          <w:lang w:val="en-US"/>
        </w:rPr>
        <w:t>Franchinus</w:t>
      </w:r>
      <w:proofErr w:type="spellEnd"/>
      <w:r w:rsidRPr="008B0975">
        <w:rPr>
          <w:lang w:val="en-US"/>
        </w:rPr>
        <w:t xml:space="preserve"> </w:t>
      </w:r>
      <w:proofErr w:type="spellStart"/>
      <w:r w:rsidRPr="008B0975">
        <w:rPr>
          <w:lang w:val="en-US"/>
        </w:rPr>
        <w:t>Gaffurius</w:t>
      </w:r>
      <w:proofErr w:type="spellEnd"/>
      <w:r w:rsidRPr="008B0975">
        <w:rPr>
          <w:lang w:val="en-US"/>
        </w:rPr>
        <w:t xml:space="preserve">, </w:t>
      </w:r>
      <w:proofErr w:type="spellStart"/>
      <w:r w:rsidRPr="008B0975">
        <w:rPr>
          <w:i/>
          <w:iCs/>
          <w:lang w:val="en-US"/>
        </w:rPr>
        <w:t>Practica</w:t>
      </w:r>
      <w:proofErr w:type="spellEnd"/>
      <w:r w:rsidRPr="008B0975">
        <w:rPr>
          <w:i/>
          <w:iCs/>
          <w:lang w:val="en-US"/>
        </w:rPr>
        <w:t xml:space="preserve"> </w:t>
      </w:r>
      <w:proofErr w:type="spellStart"/>
      <w:r w:rsidRPr="008B0975">
        <w:rPr>
          <w:i/>
          <w:iCs/>
          <w:lang w:val="en-US"/>
        </w:rPr>
        <w:t>musicae</w:t>
      </w:r>
      <w:proofErr w:type="spellEnd"/>
      <w:r w:rsidRPr="008B0975">
        <w:rPr>
          <w:lang w:val="en-US"/>
        </w:rPr>
        <w:t xml:space="preserve"> (Milan: Guillaume Le </w:t>
      </w:r>
      <w:proofErr w:type="spellStart"/>
      <w:r w:rsidRPr="008B0975">
        <w:rPr>
          <w:lang w:val="en-US"/>
        </w:rPr>
        <w:t>Signerre</w:t>
      </w:r>
      <w:proofErr w:type="spellEnd"/>
      <w:r w:rsidRPr="008B0975">
        <w:rPr>
          <w:lang w:val="en-US"/>
        </w:rPr>
        <w:t xml:space="preserve">, per Giovanni Pietro da </w:t>
      </w:r>
      <w:proofErr w:type="spellStart"/>
      <w:r w:rsidRPr="008B0975">
        <w:rPr>
          <w:lang w:val="en-US"/>
        </w:rPr>
        <w:t>Lomazzo</w:t>
      </w:r>
      <w:proofErr w:type="spellEnd"/>
      <w:r w:rsidRPr="008B0975">
        <w:rPr>
          <w:lang w:val="en-US"/>
        </w:rPr>
        <w:t xml:space="preserve">, 30 IX, 1496; Madison, Milwaukee and London: The University of Wisconsin Press, 1969), I.15, 52; English translation from </w:t>
      </w:r>
      <w:proofErr w:type="spellStart"/>
      <w:r w:rsidRPr="008B0975">
        <w:rPr>
          <w:lang w:val="en-US"/>
        </w:rPr>
        <w:t>Franchinus</w:t>
      </w:r>
      <w:proofErr w:type="spellEnd"/>
      <w:r w:rsidRPr="008B0975">
        <w:rPr>
          <w:lang w:val="en-US"/>
        </w:rPr>
        <w:t xml:space="preserve"> </w:t>
      </w:r>
      <w:proofErr w:type="spellStart"/>
      <w:r w:rsidRPr="008B0975">
        <w:rPr>
          <w:lang w:val="en-US"/>
        </w:rPr>
        <w:t>Gaffurius</w:t>
      </w:r>
      <w:proofErr w:type="spellEnd"/>
      <w:r w:rsidRPr="008B0975">
        <w:rPr>
          <w:lang w:val="en-US"/>
        </w:rPr>
        <w:t xml:space="preserve">, </w:t>
      </w:r>
      <w:r w:rsidRPr="008B0975">
        <w:rPr>
          <w:i/>
          <w:iCs/>
          <w:lang w:val="en-US"/>
        </w:rPr>
        <w:t xml:space="preserve">The </w:t>
      </w:r>
      <w:proofErr w:type="spellStart"/>
      <w:r w:rsidRPr="008B0975">
        <w:rPr>
          <w:i/>
          <w:iCs/>
          <w:lang w:val="en-US"/>
        </w:rPr>
        <w:t>Practica</w:t>
      </w:r>
      <w:proofErr w:type="spellEnd"/>
      <w:r w:rsidRPr="008B0975">
        <w:rPr>
          <w:i/>
          <w:iCs/>
          <w:lang w:val="en-US"/>
        </w:rPr>
        <w:t xml:space="preserve"> </w:t>
      </w:r>
      <w:proofErr w:type="spellStart"/>
      <w:r w:rsidRPr="008B0975">
        <w:rPr>
          <w:i/>
          <w:iCs/>
          <w:lang w:val="en-US"/>
        </w:rPr>
        <w:t>Musicae</w:t>
      </w:r>
      <w:proofErr w:type="spellEnd"/>
      <w:r w:rsidRPr="008B0975">
        <w:rPr>
          <w:i/>
          <w:iCs/>
          <w:lang w:val="en-US"/>
        </w:rPr>
        <w:t xml:space="preserve"> of </w:t>
      </w:r>
      <w:proofErr w:type="spellStart"/>
      <w:r w:rsidRPr="008B0975">
        <w:rPr>
          <w:i/>
          <w:iCs/>
          <w:lang w:val="en-US"/>
        </w:rPr>
        <w:t>Franchinus</w:t>
      </w:r>
      <w:proofErr w:type="spellEnd"/>
      <w:r w:rsidRPr="008B0975">
        <w:rPr>
          <w:i/>
          <w:iCs/>
          <w:lang w:val="en-US"/>
        </w:rPr>
        <w:t xml:space="preserve"> </w:t>
      </w:r>
      <w:proofErr w:type="spellStart"/>
      <w:r w:rsidRPr="008B0975">
        <w:rPr>
          <w:i/>
          <w:iCs/>
          <w:lang w:val="en-US"/>
        </w:rPr>
        <w:t>Gafurius</w:t>
      </w:r>
      <w:proofErr w:type="spellEnd"/>
      <w:r w:rsidRPr="008B0975">
        <w:rPr>
          <w:lang w:val="en-US"/>
        </w:rPr>
        <w:t>, ed. and trans. Irwin Young (Madison, Milwaukee and London: The University of Wisconsin Press, 1969), I.15, 61.</w:t>
      </w:r>
    </w:p>
  </w:footnote>
  <w:footnote w:id="386">
    <w:p w14:paraId="204D48BB" w14:textId="77777777" w:rsidR="00182EED" w:rsidRDefault="00182EED" w:rsidP="008A116C">
      <w:pPr>
        <w:pStyle w:val="FootnoteText"/>
      </w:pPr>
      <w:r w:rsidRPr="00073E38">
        <w:rPr>
          <w:rStyle w:val="FootnoteReference"/>
        </w:rPr>
        <w:footnoteRef/>
      </w:r>
      <w:r>
        <w:t xml:space="preserve"> </w:t>
      </w:r>
      <w:r w:rsidRPr="004809DD">
        <w:rPr>
          <w:lang w:val="en-US"/>
        </w:rPr>
        <w:t xml:space="preserve">“E </w:t>
      </w:r>
      <w:proofErr w:type="spellStart"/>
      <w:r w:rsidRPr="004809DD">
        <w:rPr>
          <w:lang w:val="en-US"/>
        </w:rPr>
        <w:t>quella</w:t>
      </w:r>
      <w:proofErr w:type="spellEnd"/>
      <w:r w:rsidRPr="004809DD">
        <w:rPr>
          <w:lang w:val="en-US"/>
        </w:rPr>
        <w:t xml:space="preserve"> </w:t>
      </w:r>
      <w:proofErr w:type="spellStart"/>
      <w:r w:rsidRPr="004809DD">
        <w:rPr>
          <w:lang w:val="en-US"/>
        </w:rPr>
        <w:t>più</w:t>
      </w:r>
      <w:proofErr w:type="spellEnd"/>
      <w:r w:rsidRPr="004809DD">
        <w:rPr>
          <w:lang w:val="en-US"/>
        </w:rPr>
        <w:t xml:space="preserve"> volte </w:t>
      </w:r>
      <w:proofErr w:type="spellStart"/>
      <w:r w:rsidRPr="004809DD">
        <w:rPr>
          <w:lang w:val="en-US"/>
        </w:rPr>
        <w:t>sonando</w:t>
      </w:r>
      <w:proofErr w:type="spellEnd"/>
      <w:r w:rsidRPr="004809DD">
        <w:rPr>
          <w:lang w:val="en-US"/>
        </w:rPr>
        <w:t xml:space="preserve"> lei, </w:t>
      </w:r>
      <w:proofErr w:type="spellStart"/>
      <w:r w:rsidRPr="004809DD">
        <w:rPr>
          <w:lang w:val="en-US"/>
        </w:rPr>
        <w:t>parea</w:t>
      </w:r>
      <w:proofErr w:type="spellEnd"/>
      <w:r w:rsidRPr="004809DD">
        <w:rPr>
          <w:lang w:val="en-US"/>
        </w:rPr>
        <w:t xml:space="preserve"> </w:t>
      </w:r>
      <w:proofErr w:type="spellStart"/>
      <w:r w:rsidRPr="004809DD">
        <w:rPr>
          <w:lang w:val="en-US"/>
        </w:rPr>
        <w:t>tuta</w:t>
      </w:r>
      <w:proofErr w:type="spellEnd"/>
      <w:r w:rsidRPr="004809DD">
        <w:rPr>
          <w:lang w:val="en-US"/>
        </w:rPr>
        <w:t xml:space="preserve"> se </w:t>
      </w:r>
      <w:proofErr w:type="spellStart"/>
      <w:r w:rsidRPr="004809DD">
        <w:rPr>
          <w:lang w:val="en-US"/>
        </w:rPr>
        <w:t>deleguase</w:t>
      </w:r>
      <w:proofErr w:type="spellEnd"/>
      <w:r w:rsidRPr="004809DD">
        <w:rPr>
          <w:lang w:val="en-US"/>
        </w:rPr>
        <w:t xml:space="preserve"> </w:t>
      </w:r>
      <w:proofErr w:type="spellStart"/>
      <w:r w:rsidRPr="004809DD">
        <w:rPr>
          <w:lang w:val="en-US"/>
        </w:rPr>
        <w:t>como</w:t>
      </w:r>
      <w:proofErr w:type="spellEnd"/>
      <w:r w:rsidRPr="004809DD">
        <w:rPr>
          <w:lang w:val="en-US"/>
        </w:rPr>
        <w:t xml:space="preserve"> fa la </w:t>
      </w:r>
      <w:proofErr w:type="spellStart"/>
      <w:r w:rsidRPr="004809DD">
        <w:rPr>
          <w:lang w:val="en-US"/>
        </w:rPr>
        <w:t>cera</w:t>
      </w:r>
      <w:proofErr w:type="spellEnd"/>
      <w:r w:rsidRPr="004809DD">
        <w:rPr>
          <w:lang w:val="en-US"/>
        </w:rPr>
        <w:t xml:space="preserve"> al </w:t>
      </w:r>
      <w:proofErr w:type="spellStart"/>
      <w:r w:rsidRPr="004809DD">
        <w:rPr>
          <w:lang w:val="en-US"/>
        </w:rPr>
        <w:t>fuocho</w:t>
      </w:r>
      <w:proofErr w:type="spellEnd"/>
      <w:r w:rsidRPr="004809DD">
        <w:rPr>
          <w:lang w:val="en-US"/>
        </w:rPr>
        <w:t xml:space="preserve">, </w:t>
      </w:r>
      <w:proofErr w:type="spellStart"/>
      <w:r w:rsidRPr="004809DD">
        <w:rPr>
          <w:lang w:val="en-US"/>
        </w:rPr>
        <w:t>ora</w:t>
      </w:r>
      <w:proofErr w:type="spellEnd"/>
      <w:r w:rsidRPr="004809DD">
        <w:rPr>
          <w:lang w:val="en-US"/>
        </w:rPr>
        <w:t xml:space="preserve"> cantando, hora </w:t>
      </w:r>
      <w:proofErr w:type="spellStart"/>
      <w:r w:rsidRPr="004809DD">
        <w:rPr>
          <w:lang w:val="en-US"/>
        </w:rPr>
        <w:t>stava</w:t>
      </w:r>
      <w:proofErr w:type="spellEnd"/>
      <w:r w:rsidRPr="004809DD">
        <w:rPr>
          <w:lang w:val="en-US"/>
        </w:rPr>
        <w:t xml:space="preserve"> con la facia verso el </w:t>
      </w:r>
      <w:proofErr w:type="spellStart"/>
      <w:r w:rsidRPr="004809DD">
        <w:rPr>
          <w:lang w:val="en-US"/>
        </w:rPr>
        <w:t>cielo</w:t>
      </w:r>
      <w:proofErr w:type="spellEnd"/>
      <w:r w:rsidRPr="004809DD">
        <w:rPr>
          <w:lang w:val="en-US"/>
        </w:rPr>
        <w:t xml:space="preserve"> </w:t>
      </w:r>
      <w:proofErr w:type="spellStart"/>
      <w:r w:rsidRPr="004809DD">
        <w:rPr>
          <w:lang w:val="en-US"/>
        </w:rPr>
        <w:t>stando</w:t>
      </w:r>
      <w:proofErr w:type="spellEnd"/>
      <w:r w:rsidRPr="004809DD">
        <w:rPr>
          <w:lang w:val="en-US"/>
        </w:rPr>
        <w:t xml:space="preserve"> </w:t>
      </w:r>
      <w:proofErr w:type="spellStart"/>
      <w:r w:rsidRPr="004809DD">
        <w:rPr>
          <w:lang w:val="en-US"/>
        </w:rPr>
        <w:t>como</w:t>
      </w:r>
      <w:proofErr w:type="spellEnd"/>
      <w:r w:rsidRPr="004809DD">
        <w:rPr>
          <w:lang w:val="en-US"/>
        </w:rPr>
        <w:t xml:space="preserve"> </w:t>
      </w:r>
      <w:proofErr w:type="spellStart"/>
      <w:r w:rsidRPr="004809DD">
        <w:rPr>
          <w:lang w:val="en-US"/>
        </w:rPr>
        <w:t>muta</w:t>
      </w:r>
      <w:proofErr w:type="spellEnd"/>
      <w:r w:rsidRPr="004809DD">
        <w:rPr>
          <w:lang w:val="en-US"/>
        </w:rPr>
        <w:t xml:space="preserve">.” </w:t>
      </w:r>
      <w:proofErr w:type="spellStart"/>
      <w:r w:rsidRPr="004809DD">
        <w:rPr>
          <w:lang w:val="en-US"/>
        </w:rPr>
        <w:t>Bembo</w:t>
      </w:r>
      <w:proofErr w:type="spellEnd"/>
      <w:r w:rsidRPr="004809DD">
        <w:rPr>
          <w:lang w:val="en-US"/>
        </w:rPr>
        <w:t xml:space="preserve">, </w:t>
      </w:r>
      <w:proofErr w:type="spellStart"/>
      <w:r w:rsidRPr="004809DD">
        <w:rPr>
          <w:i/>
          <w:iCs/>
          <w:lang w:val="en-US"/>
        </w:rPr>
        <w:t>Specchio</w:t>
      </w:r>
      <w:proofErr w:type="spellEnd"/>
      <w:r w:rsidRPr="004809DD">
        <w:rPr>
          <w:i/>
          <w:iCs/>
          <w:lang w:val="en-US"/>
        </w:rPr>
        <w:t xml:space="preserve"> di </w:t>
      </w:r>
      <w:proofErr w:type="spellStart"/>
      <w:r w:rsidRPr="004809DD">
        <w:rPr>
          <w:i/>
          <w:iCs/>
          <w:lang w:val="en-US"/>
        </w:rPr>
        <w:t>illuminazione</w:t>
      </w:r>
      <w:proofErr w:type="spellEnd"/>
      <w:r w:rsidRPr="004809DD">
        <w:rPr>
          <w:lang w:val="en-US"/>
        </w:rPr>
        <w:t xml:space="preserve">, VII.67, 66; Shephard, </w:t>
      </w:r>
      <w:proofErr w:type="spellStart"/>
      <w:r w:rsidRPr="004809DD">
        <w:rPr>
          <w:lang w:val="en-US"/>
        </w:rPr>
        <w:t>Ştefănescu</w:t>
      </w:r>
      <w:proofErr w:type="spellEnd"/>
      <w:r w:rsidRPr="004809DD">
        <w:rPr>
          <w:lang w:val="en-US"/>
        </w:rPr>
        <w:t>, and Sessini, “Music, Silence, and the Senses in a Late Fifteenth-Century Book of Hours,” 481.</w:t>
      </w:r>
    </w:p>
  </w:footnote>
  <w:footnote w:id="387">
    <w:p w14:paraId="4FEBE202" w14:textId="77777777" w:rsidR="00182EED" w:rsidRPr="009D3262" w:rsidRDefault="00182EED" w:rsidP="008A116C">
      <w:pPr>
        <w:pStyle w:val="Footnote"/>
        <w:rPr>
          <w:lang w:val="it-IT"/>
        </w:rPr>
      </w:pPr>
      <w:r w:rsidRPr="00073E38">
        <w:rPr>
          <w:rStyle w:val="FootnoteReference"/>
        </w:rPr>
        <w:footnoteRef/>
      </w:r>
      <w:r w:rsidRPr="009B4D15">
        <w:rPr>
          <w:lang w:val="it-IT"/>
        </w:rPr>
        <w:t xml:space="preserve"> </w:t>
      </w:r>
      <w:r w:rsidRPr="004809DD">
        <w:rPr>
          <w:lang w:val="en-US"/>
        </w:rPr>
        <w:t>“</w:t>
      </w:r>
      <w:proofErr w:type="spellStart"/>
      <w:r w:rsidRPr="00ED769A">
        <w:rPr>
          <w:rFonts w:ascii="Times New Roman" w:hAnsiTheme="majorHAnsi" w:cs="Times New Roman"/>
          <w:lang w:val="en-US"/>
        </w:rPr>
        <w:t>Tutto</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il</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colorito</w:t>
      </w:r>
      <w:proofErr w:type="spellEnd"/>
      <w:r w:rsidRPr="00ED769A">
        <w:rPr>
          <w:rFonts w:ascii="Times New Roman" w:hAnsiTheme="majorHAnsi" w:cs="Times New Roman"/>
          <w:lang w:val="en-US"/>
        </w:rPr>
        <w:t xml:space="preserve"> di </w:t>
      </w:r>
      <w:proofErr w:type="spellStart"/>
      <w:r w:rsidRPr="00ED769A">
        <w:rPr>
          <w:rFonts w:ascii="Times New Roman" w:hAnsiTheme="majorHAnsi" w:cs="Times New Roman"/>
          <w:lang w:val="en-US"/>
        </w:rPr>
        <w:t>quell</w:t>
      </w:r>
      <w:r w:rsidRPr="00ED769A">
        <w:rPr>
          <w:rFonts w:ascii="Times New Roman" w:hAnsiTheme="majorHAnsi" w:cs="Times New Roman"/>
          <w:lang w:val="en-US"/>
        </w:rPr>
        <w:t>’</w:t>
      </w:r>
      <w:r w:rsidRPr="00ED769A">
        <w:rPr>
          <w:rFonts w:ascii="Times New Roman" w:hAnsiTheme="majorHAnsi" w:cs="Times New Roman"/>
          <w:lang w:val="en-US"/>
        </w:rPr>
        <w:t>opera</w:t>
      </w:r>
      <w:proofErr w:type="spellEnd"/>
      <w:r w:rsidRPr="00ED769A">
        <w:rPr>
          <w:rFonts w:ascii="Times New Roman" w:hAnsiTheme="majorHAnsi" w:cs="Times New Roman"/>
          <w:lang w:val="en-US"/>
        </w:rPr>
        <w:t xml:space="preserve"> par </w:t>
      </w:r>
      <w:proofErr w:type="spellStart"/>
      <w:r w:rsidRPr="00ED769A">
        <w:rPr>
          <w:rFonts w:ascii="Times New Roman" w:hAnsiTheme="majorHAnsi" w:cs="Times New Roman"/>
          <w:lang w:val="en-US"/>
        </w:rPr>
        <w:t>che</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sia</w:t>
      </w:r>
      <w:proofErr w:type="spellEnd"/>
      <w:r w:rsidRPr="00ED769A">
        <w:rPr>
          <w:rFonts w:ascii="Times New Roman" w:hAnsiTheme="majorHAnsi" w:cs="Times New Roman"/>
          <w:lang w:val="en-US"/>
        </w:rPr>
        <w:t xml:space="preserve"> di mano d</w:t>
      </w:r>
      <w:r w:rsidRPr="00ED769A">
        <w:rPr>
          <w:rFonts w:ascii="Times New Roman" w:hAnsiTheme="majorHAnsi" w:cs="Times New Roman"/>
          <w:lang w:val="en-US"/>
        </w:rPr>
        <w:t>’</w:t>
      </w:r>
      <w:r w:rsidRPr="00ED769A">
        <w:rPr>
          <w:rFonts w:ascii="Times New Roman" w:hAnsiTheme="majorHAnsi" w:cs="Times New Roman"/>
          <w:lang w:val="en-US"/>
        </w:rPr>
        <w:t>un Santo o d</w:t>
      </w:r>
      <w:r w:rsidRPr="00ED769A">
        <w:rPr>
          <w:rFonts w:ascii="Times New Roman" w:hAnsiTheme="majorHAnsi" w:cs="Times New Roman"/>
          <w:lang w:val="en-US"/>
        </w:rPr>
        <w:t>’</w:t>
      </w:r>
      <w:r w:rsidRPr="00ED769A">
        <w:rPr>
          <w:rFonts w:ascii="Times New Roman" w:hAnsiTheme="majorHAnsi" w:cs="Times New Roman"/>
          <w:lang w:val="en-US"/>
        </w:rPr>
        <w:t xml:space="preserve">un Angelo, come </w:t>
      </w:r>
      <w:proofErr w:type="spellStart"/>
      <w:r w:rsidRPr="00ED769A">
        <w:rPr>
          <w:rFonts w:ascii="Times New Roman" w:hAnsiTheme="majorHAnsi" w:cs="Times New Roman"/>
          <w:lang w:val="en-US"/>
        </w:rPr>
        <w:t>sono</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onde</w:t>
      </w:r>
      <w:proofErr w:type="spellEnd"/>
      <w:r w:rsidRPr="00ED769A">
        <w:rPr>
          <w:rFonts w:ascii="Times New Roman" w:hAnsiTheme="majorHAnsi" w:cs="Times New Roman"/>
          <w:lang w:val="en-US"/>
        </w:rPr>
        <w:t xml:space="preserve"> a gran </w:t>
      </w:r>
      <w:proofErr w:type="spellStart"/>
      <w:r w:rsidRPr="00ED769A">
        <w:rPr>
          <w:rFonts w:ascii="Times New Roman" w:hAnsiTheme="majorHAnsi" w:cs="Times New Roman"/>
          <w:lang w:val="en-US"/>
        </w:rPr>
        <w:t>ragione</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fu</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sempre</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chiamato</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questo</w:t>
      </w:r>
      <w:proofErr w:type="spellEnd"/>
      <w:r w:rsidRPr="00ED769A">
        <w:rPr>
          <w:rFonts w:ascii="Times New Roman" w:hAnsiTheme="majorHAnsi" w:cs="Times New Roman"/>
          <w:lang w:val="en-US"/>
        </w:rPr>
        <w:t xml:space="preserve"> da ben religioso, </w:t>
      </w:r>
      <w:proofErr w:type="spellStart"/>
      <w:r w:rsidRPr="00ED769A">
        <w:rPr>
          <w:rFonts w:ascii="Times New Roman" w:hAnsiTheme="majorHAnsi" w:cs="Times New Roman"/>
          <w:lang w:val="en-US"/>
        </w:rPr>
        <w:t>frate</w:t>
      </w:r>
      <w:proofErr w:type="spellEnd"/>
      <w:r w:rsidRPr="00ED769A">
        <w:rPr>
          <w:rFonts w:ascii="Times New Roman" w:hAnsiTheme="majorHAnsi" w:cs="Times New Roman"/>
          <w:lang w:val="en-US"/>
        </w:rPr>
        <w:t xml:space="preserve"> Giovanni Angelico.</w:t>
      </w:r>
      <w:r w:rsidRPr="00ED769A">
        <w:rPr>
          <w:rFonts w:ascii="Times New Roman" w:hAnsiTheme="majorHAnsi" w:cs="Times New Roman"/>
          <w:lang w:val="en-US"/>
        </w:rPr>
        <w:t>”</w:t>
      </w:r>
      <w:r w:rsidRPr="00ED769A">
        <w:rPr>
          <w:rFonts w:ascii="Times New Roman" w:hAnsiTheme="majorHAnsi" w:cs="Times New Roman"/>
          <w:lang w:val="en-US"/>
        </w:rPr>
        <w:t xml:space="preserve"> </w:t>
      </w:r>
      <w:r>
        <w:rPr>
          <w:rFonts w:ascii="Times New Roman" w:hAnsiTheme="majorHAnsi" w:cs="Times New Roman"/>
          <w:lang w:val="en-US"/>
        </w:rPr>
        <w:t xml:space="preserve">Vasari, </w:t>
      </w:r>
      <w:r w:rsidRPr="002C1CB7">
        <w:rPr>
          <w:i/>
          <w:iCs/>
          <w:lang w:val="en-US"/>
        </w:rPr>
        <w:t xml:space="preserve">Le </w:t>
      </w:r>
      <w:proofErr w:type="spellStart"/>
      <w:r w:rsidRPr="002C1CB7">
        <w:rPr>
          <w:i/>
          <w:iCs/>
          <w:lang w:val="en-US"/>
        </w:rPr>
        <w:t>vite</w:t>
      </w:r>
      <w:proofErr w:type="spellEnd"/>
      <w:r w:rsidRPr="002C1CB7">
        <w:rPr>
          <w:i/>
          <w:iCs/>
          <w:lang w:val="en-US"/>
        </w:rPr>
        <w:t xml:space="preserve"> </w:t>
      </w:r>
      <w:proofErr w:type="spellStart"/>
      <w:r w:rsidRPr="002C1CB7">
        <w:rPr>
          <w:i/>
          <w:iCs/>
          <w:lang w:val="en-US"/>
        </w:rPr>
        <w:t>dei</w:t>
      </w:r>
      <w:proofErr w:type="spellEnd"/>
      <w:r w:rsidRPr="002C1CB7">
        <w:rPr>
          <w:i/>
          <w:iCs/>
          <w:lang w:val="en-US"/>
        </w:rPr>
        <w:t xml:space="preserve"> </w:t>
      </w:r>
      <w:proofErr w:type="spellStart"/>
      <w:r w:rsidRPr="002C1CB7">
        <w:rPr>
          <w:i/>
          <w:iCs/>
          <w:lang w:val="en-US"/>
        </w:rPr>
        <w:t>più</w:t>
      </w:r>
      <w:proofErr w:type="spellEnd"/>
      <w:r w:rsidRPr="002C1CB7">
        <w:rPr>
          <w:i/>
          <w:iCs/>
          <w:lang w:val="en-US"/>
        </w:rPr>
        <w:t xml:space="preserve"> </w:t>
      </w:r>
      <w:proofErr w:type="spellStart"/>
      <w:r w:rsidRPr="002C1CB7">
        <w:rPr>
          <w:i/>
          <w:iCs/>
          <w:lang w:val="en-US"/>
        </w:rPr>
        <w:t>eccellenti</w:t>
      </w:r>
      <w:proofErr w:type="spellEnd"/>
      <w:r w:rsidRPr="002C1CB7">
        <w:rPr>
          <w:i/>
          <w:iCs/>
          <w:lang w:val="en-US"/>
        </w:rPr>
        <w:t xml:space="preserve"> </w:t>
      </w:r>
      <w:proofErr w:type="spellStart"/>
      <w:r w:rsidRPr="002C1CB7">
        <w:rPr>
          <w:i/>
          <w:iCs/>
          <w:lang w:val="en-US"/>
        </w:rPr>
        <w:t>pittori</w:t>
      </w:r>
      <w:proofErr w:type="spellEnd"/>
      <w:r w:rsidRPr="002C1CB7">
        <w:rPr>
          <w:i/>
          <w:iCs/>
          <w:lang w:val="en-US"/>
        </w:rPr>
        <w:t xml:space="preserve">, </w:t>
      </w:r>
      <w:proofErr w:type="spellStart"/>
      <w:r w:rsidRPr="002C1CB7">
        <w:rPr>
          <w:i/>
          <w:iCs/>
          <w:lang w:val="en-US"/>
        </w:rPr>
        <w:t>scultori</w:t>
      </w:r>
      <w:proofErr w:type="spellEnd"/>
      <w:r w:rsidRPr="002C1CB7">
        <w:rPr>
          <w:i/>
          <w:iCs/>
          <w:lang w:val="en-US"/>
        </w:rPr>
        <w:t xml:space="preserve"> e </w:t>
      </w:r>
      <w:proofErr w:type="spellStart"/>
      <w:r w:rsidRPr="002C1CB7">
        <w:rPr>
          <w:i/>
          <w:iCs/>
          <w:lang w:val="en-US"/>
        </w:rPr>
        <w:t>architetti</w:t>
      </w:r>
      <w:proofErr w:type="spellEnd"/>
      <w:r>
        <w:rPr>
          <w:lang w:val="en-US"/>
        </w:rPr>
        <w:t xml:space="preserve"> </w:t>
      </w:r>
      <w:r w:rsidRPr="00ED769A">
        <w:rPr>
          <w:rFonts w:ascii="Times New Roman" w:hAnsiTheme="majorHAnsi" w:cs="Times New Roman"/>
          <w:lang w:val="en-US"/>
        </w:rPr>
        <w:t>(</w:t>
      </w:r>
      <w:r w:rsidRPr="00ED769A">
        <w:rPr>
          <w:rFonts w:ascii="Times New Roman" w:hAnsiTheme="majorHAnsi" w:cs="Times New Roman"/>
          <w:i/>
          <w:iCs/>
          <w:lang w:val="en-US"/>
        </w:rPr>
        <w:t xml:space="preserve">Vita di </w:t>
      </w:r>
      <w:proofErr w:type="spellStart"/>
      <w:r w:rsidRPr="00ED769A">
        <w:rPr>
          <w:rFonts w:ascii="Times New Roman" w:hAnsiTheme="majorHAnsi" w:cs="Times New Roman"/>
          <w:i/>
          <w:iCs/>
          <w:lang w:val="en-US"/>
        </w:rPr>
        <w:t>fra</w:t>
      </w:r>
      <w:proofErr w:type="spellEnd"/>
      <w:r w:rsidRPr="00ED769A">
        <w:rPr>
          <w:rFonts w:ascii="Times New Roman" w:hAnsiTheme="majorHAnsi" w:cs="Times New Roman"/>
          <w:i/>
          <w:iCs/>
          <w:lang w:val="en-US"/>
        </w:rPr>
        <w:t>’</w:t>
      </w:r>
      <w:r w:rsidRPr="00ED769A">
        <w:rPr>
          <w:rFonts w:ascii="Times New Roman" w:hAnsiTheme="majorHAnsi" w:cs="Times New Roman"/>
          <w:i/>
          <w:iCs/>
          <w:lang w:val="en-US"/>
        </w:rPr>
        <w:t xml:space="preserve"> Giovanni da Fiesole</w:t>
      </w:r>
      <w:r w:rsidRPr="00ED769A">
        <w:rPr>
          <w:rFonts w:ascii="Times New Roman" w:hAnsiTheme="majorHAnsi" w:cs="Times New Roman"/>
          <w:lang w:val="en-US"/>
        </w:rPr>
        <w:t>)</w:t>
      </w:r>
      <w:r>
        <w:rPr>
          <w:rFonts w:ascii="Times New Roman" w:hAnsiTheme="majorHAnsi" w:cs="Times New Roman"/>
          <w:lang w:val="en-US"/>
        </w:rPr>
        <w:t>, 383</w:t>
      </w:r>
      <w:r w:rsidRPr="00ED769A">
        <w:rPr>
          <w:rFonts w:ascii="Times New Roman" w:hAnsiTheme="majorHAnsi" w:cs="Times New Roman"/>
          <w:lang w:val="en-US"/>
        </w:rPr>
        <w:t>.</w:t>
      </w:r>
    </w:p>
  </w:footnote>
  <w:footnote w:id="388">
    <w:p w14:paraId="274A49C9" w14:textId="77777777" w:rsidR="00182EED" w:rsidRPr="002C3DAE" w:rsidRDefault="00182EED" w:rsidP="008A116C">
      <w:pPr>
        <w:pStyle w:val="Footnote"/>
        <w:rPr>
          <w:lang w:val="it-IT"/>
        </w:rPr>
      </w:pPr>
      <w:r w:rsidRPr="00073E38">
        <w:rPr>
          <w:rStyle w:val="FootnoteReference"/>
        </w:rPr>
        <w:footnoteRef/>
      </w:r>
      <w:r>
        <w:rPr>
          <w:lang w:val="it-IT"/>
        </w:rPr>
        <w:t xml:space="preserve"> </w:t>
      </w:r>
      <w:r w:rsidRPr="004809DD">
        <w:rPr>
          <w:lang w:val="en-US"/>
        </w:rPr>
        <w:t>“</w:t>
      </w:r>
      <w:proofErr w:type="spellStart"/>
      <w:r w:rsidRPr="00A11ED2">
        <w:rPr>
          <w:rFonts w:ascii="Times New Roman" w:hAnsi="Times New Roman" w:cs="Times New Roman"/>
          <w:lang w:val="en-US"/>
        </w:rPr>
        <w:t>Perché</w:t>
      </w:r>
      <w:proofErr w:type="spellEnd"/>
      <w:r w:rsidRPr="00ED769A">
        <w:rPr>
          <w:rFonts w:ascii="Times New Roman" w:hAnsiTheme="majorHAnsi" w:cs="Times New Roman"/>
          <w:lang w:val="en-US"/>
        </w:rPr>
        <w:t xml:space="preserve"> Francesco era di </w:t>
      </w:r>
      <w:proofErr w:type="spellStart"/>
      <w:r w:rsidRPr="00ED769A">
        <w:rPr>
          <w:rFonts w:ascii="Times New Roman" w:hAnsiTheme="majorHAnsi" w:cs="Times New Roman"/>
          <w:lang w:val="en-US"/>
        </w:rPr>
        <w:t>bellissima</w:t>
      </w:r>
      <w:proofErr w:type="spellEnd"/>
      <w:r w:rsidRPr="00ED769A">
        <w:rPr>
          <w:rFonts w:ascii="Times New Roman" w:hAnsiTheme="majorHAnsi" w:cs="Times New Roman"/>
          <w:lang w:val="en-US"/>
        </w:rPr>
        <w:t xml:space="preserve"> aria et </w:t>
      </w:r>
      <w:proofErr w:type="spellStart"/>
      <w:r w:rsidRPr="00ED769A">
        <w:rPr>
          <w:rFonts w:ascii="Times New Roman" w:hAnsiTheme="majorHAnsi" w:cs="Times New Roman"/>
          <w:lang w:val="en-US"/>
        </w:rPr>
        <w:t>aveva</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il</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volto</w:t>
      </w:r>
      <w:proofErr w:type="spellEnd"/>
      <w:r w:rsidRPr="00ED769A">
        <w:rPr>
          <w:rFonts w:ascii="Times New Roman" w:hAnsiTheme="majorHAnsi" w:cs="Times New Roman"/>
          <w:lang w:val="en-US"/>
        </w:rPr>
        <w:t xml:space="preserve"> e </w:t>
      </w:r>
      <w:proofErr w:type="spellStart"/>
      <w:r w:rsidRPr="00ED769A">
        <w:rPr>
          <w:rFonts w:ascii="Times New Roman" w:hAnsiTheme="majorHAnsi" w:cs="Times New Roman"/>
          <w:lang w:val="en-US"/>
        </w:rPr>
        <w:t>l</w:t>
      </w:r>
      <w:r w:rsidRPr="00ED769A">
        <w:rPr>
          <w:rFonts w:ascii="Times New Roman" w:hAnsiTheme="majorHAnsi" w:cs="Times New Roman"/>
          <w:lang w:val="en-US"/>
        </w:rPr>
        <w:t>’</w:t>
      </w:r>
      <w:r w:rsidRPr="00ED769A">
        <w:rPr>
          <w:rFonts w:ascii="Times New Roman" w:hAnsiTheme="majorHAnsi" w:cs="Times New Roman"/>
          <w:lang w:val="en-US"/>
        </w:rPr>
        <w:t>aspetto</w:t>
      </w:r>
      <w:proofErr w:type="spellEnd"/>
      <w:r w:rsidRPr="00ED769A">
        <w:rPr>
          <w:rFonts w:ascii="Times New Roman" w:hAnsiTheme="majorHAnsi" w:cs="Times New Roman"/>
          <w:lang w:val="en-US"/>
        </w:rPr>
        <w:t xml:space="preserve"> grazioso molto e </w:t>
      </w:r>
      <w:proofErr w:type="spellStart"/>
      <w:r w:rsidRPr="00ED769A">
        <w:rPr>
          <w:rFonts w:ascii="Times New Roman" w:hAnsiTheme="majorHAnsi" w:cs="Times New Roman"/>
          <w:lang w:val="en-US"/>
        </w:rPr>
        <w:t>pi</w:t>
      </w:r>
      <w:r w:rsidRPr="00ED769A">
        <w:rPr>
          <w:rFonts w:ascii="Times New Roman" w:hAnsiTheme="majorHAnsi" w:cs="Times New Roman"/>
          <w:lang w:val="en-US"/>
        </w:rPr>
        <w:t>ù</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tosto</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d</w:t>
      </w:r>
      <w:r w:rsidRPr="00ED769A">
        <w:rPr>
          <w:rFonts w:ascii="Times New Roman" w:hAnsiTheme="majorHAnsi" w:cs="Times New Roman"/>
          <w:lang w:val="en-US"/>
        </w:rPr>
        <w:t>’</w:t>
      </w:r>
      <w:r w:rsidRPr="00ED769A">
        <w:rPr>
          <w:rFonts w:ascii="Times New Roman" w:hAnsiTheme="majorHAnsi" w:cs="Times New Roman"/>
          <w:lang w:val="en-US"/>
        </w:rPr>
        <w:t>angelo</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che</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d</w:t>
      </w:r>
      <w:r w:rsidRPr="00ED769A">
        <w:rPr>
          <w:rFonts w:ascii="Times New Roman" w:hAnsiTheme="majorHAnsi" w:cs="Times New Roman"/>
          <w:lang w:val="en-US"/>
        </w:rPr>
        <w:t>’</w:t>
      </w:r>
      <w:r w:rsidRPr="00ED769A">
        <w:rPr>
          <w:rFonts w:ascii="Times New Roman" w:hAnsiTheme="majorHAnsi" w:cs="Times New Roman"/>
          <w:lang w:val="en-US"/>
        </w:rPr>
        <w:t>uomo</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pareva</w:t>
      </w:r>
      <w:proofErr w:type="spellEnd"/>
      <w:r w:rsidRPr="00ED769A">
        <w:rPr>
          <w:rFonts w:ascii="Times New Roman" w:hAnsiTheme="majorHAnsi" w:cs="Times New Roman"/>
          <w:lang w:val="en-US"/>
        </w:rPr>
        <w:t xml:space="preserve"> la </w:t>
      </w:r>
      <w:proofErr w:type="spellStart"/>
      <w:r w:rsidRPr="00ED769A">
        <w:rPr>
          <w:rFonts w:ascii="Times New Roman" w:hAnsiTheme="majorHAnsi" w:cs="Times New Roman"/>
          <w:lang w:val="en-US"/>
        </w:rPr>
        <w:t>sua</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effigie</w:t>
      </w:r>
      <w:proofErr w:type="spellEnd"/>
      <w:r w:rsidRPr="00ED769A">
        <w:rPr>
          <w:rFonts w:ascii="Times New Roman" w:hAnsiTheme="majorHAnsi" w:cs="Times New Roman"/>
          <w:lang w:val="en-US"/>
        </w:rPr>
        <w:t xml:space="preserve"> in </w:t>
      </w:r>
      <w:proofErr w:type="spellStart"/>
      <w:r w:rsidRPr="00A11ED2">
        <w:rPr>
          <w:rFonts w:ascii="Times New Roman" w:hAnsi="Times New Roman" w:cs="Times New Roman"/>
          <w:lang w:val="en-US"/>
        </w:rPr>
        <w:t>quella</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palla</w:t>
      </w:r>
      <w:proofErr w:type="spellEnd"/>
      <w:r w:rsidRPr="00ED769A">
        <w:rPr>
          <w:rFonts w:ascii="Times New Roman" w:hAnsiTheme="majorHAnsi" w:cs="Times New Roman"/>
          <w:lang w:val="en-US"/>
        </w:rPr>
        <w:t xml:space="preserve"> una </w:t>
      </w:r>
      <w:proofErr w:type="spellStart"/>
      <w:r w:rsidRPr="00ED769A">
        <w:rPr>
          <w:rFonts w:ascii="Times New Roman" w:hAnsiTheme="majorHAnsi" w:cs="Times New Roman"/>
          <w:lang w:val="en-US"/>
        </w:rPr>
        <w:t>cosa</w:t>
      </w:r>
      <w:proofErr w:type="spellEnd"/>
      <w:r w:rsidRPr="00ED769A">
        <w:rPr>
          <w:rFonts w:ascii="Times New Roman" w:hAnsiTheme="majorHAnsi" w:cs="Times New Roman"/>
          <w:lang w:val="en-US"/>
        </w:rPr>
        <w:t xml:space="preserve"> </w:t>
      </w:r>
      <w:proofErr w:type="spellStart"/>
      <w:r w:rsidRPr="00ED769A">
        <w:rPr>
          <w:rFonts w:ascii="Times New Roman" w:hAnsiTheme="majorHAnsi" w:cs="Times New Roman"/>
          <w:lang w:val="en-US"/>
        </w:rPr>
        <w:t>divina</w:t>
      </w:r>
      <w:proofErr w:type="spellEnd"/>
      <w:r w:rsidRPr="00ED769A">
        <w:rPr>
          <w:rFonts w:ascii="Times New Roman" w:hAnsiTheme="majorHAnsi" w:cs="Times New Roman"/>
          <w:lang w:val="en-US"/>
        </w:rPr>
        <w:t>.</w:t>
      </w:r>
      <w:r w:rsidRPr="00ED769A">
        <w:rPr>
          <w:rFonts w:ascii="Times New Roman" w:hAnsiTheme="majorHAnsi" w:cs="Times New Roman"/>
          <w:lang w:val="en-US"/>
        </w:rPr>
        <w:t>”</w:t>
      </w:r>
      <w:r w:rsidRPr="00ED769A">
        <w:rPr>
          <w:rFonts w:ascii="Times New Roman" w:hAnsiTheme="majorHAnsi" w:cs="Times New Roman"/>
          <w:lang w:val="en-US"/>
        </w:rPr>
        <w:t xml:space="preserve"> Ibid., 780 (</w:t>
      </w:r>
      <w:r w:rsidRPr="00ED769A">
        <w:rPr>
          <w:rFonts w:ascii="Times New Roman" w:hAnsiTheme="majorHAnsi" w:cs="Times New Roman"/>
          <w:i/>
          <w:iCs/>
          <w:lang w:val="en-US"/>
        </w:rPr>
        <w:t xml:space="preserve">Vita di Francesco </w:t>
      </w:r>
      <w:proofErr w:type="spellStart"/>
      <w:r w:rsidRPr="00ED769A">
        <w:rPr>
          <w:rFonts w:ascii="Times New Roman" w:hAnsiTheme="majorHAnsi" w:cs="Times New Roman"/>
          <w:i/>
          <w:iCs/>
          <w:lang w:val="en-US"/>
        </w:rPr>
        <w:t>Mazzuoli</w:t>
      </w:r>
      <w:proofErr w:type="spellEnd"/>
      <w:r w:rsidRPr="00ED769A">
        <w:rPr>
          <w:rFonts w:ascii="Times New Roman" w:hAnsiTheme="majorHAnsi" w:cs="Times New Roman"/>
          <w:lang w:val="en-US"/>
        </w:rPr>
        <w:t>).</w:t>
      </w:r>
      <w:r>
        <w:rPr>
          <w:lang w:val="it-IT"/>
        </w:rPr>
        <w:t xml:space="preserve"> </w:t>
      </w:r>
    </w:p>
  </w:footnote>
  <w:footnote w:id="389">
    <w:p w14:paraId="67FD5C70" w14:textId="77777777" w:rsidR="00182EED" w:rsidRDefault="00182EED" w:rsidP="008A116C">
      <w:pPr>
        <w:pStyle w:val="FootnoteText"/>
      </w:pPr>
      <w:r w:rsidRPr="00073E38">
        <w:rPr>
          <w:rStyle w:val="FootnoteReference"/>
        </w:rPr>
        <w:footnoteRef/>
      </w:r>
      <w:r>
        <w:t xml:space="preserve"> </w:t>
      </w:r>
      <w:r>
        <w:rPr>
          <w:lang w:val="en-US"/>
        </w:rPr>
        <w:t>“</w:t>
      </w:r>
      <w:r w:rsidRPr="009B2545">
        <w:rPr>
          <w:lang w:val="en-US"/>
        </w:rPr>
        <w:t xml:space="preserve">Ella [Firenze] ha </w:t>
      </w:r>
      <w:proofErr w:type="spellStart"/>
      <w:r w:rsidRPr="009B2545">
        <w:rPr>
          <w:lang w:val="en-US"/>
        </w:rPr>
        <w:t>fanciulle</w:t>
      </w:r>
      <w:proofErr w:type="spellEnd"/>
      <w:r w:rsidRPr="009B2545">
        <w:rPr>
          <w:lang w:val="en-US"/>
        </w:rPr>
        <w:t xml:space="preserve"> e </w:t>
      </w:r>
      <w:proofErr w:type="spellStart"/>
      <w:r w:rsidRPr="009B2545">
        <w:rPr>
          <w:lang w:val="en-US"/>
        </w:rPr>
        <w:t>donne</w:t>
      </w:r>
      <w:proofErr w:type="spellEnd"/>
      <w:r w:rsidRPr="009B2545">
        <w:rPr>
          <w:lang w:val="en-US"/>
        </w:rPr>
        <w:t xml:space="preserve"> di </w:t>
      </w:r>
      <w:proofErr w:type="spellStart"/>
      <w:r w:rsidRPr="009B2545">
        <w:rPr>
          <w:lang w:val="en-US"/>
        </w:rPr>
        <w:t>tanta</w:t>
      </w:r>
      <w:proofErr w:type="spellEnd"/>
      <w:r w:rsidRPr="009B2545">
        <w:rPr>
          <w:lang w:val="en-US"/>
        </w:rPr>
        <w:t xml:space="preserve"> </w:t>
      </w:r>
      <w:proofErr w:type="spellStart"/>
      <w:r w:rsidRPr="009B2545">
        <w:rPr>
          <w:lang w:val="en-US"/>
        </w:rPr>
        <w:t>gentilezza</w:t>
      </w:r>
      <w:proofErr w:type="spellEnd"/>
      <w:r w:rsidRPr="009B2545">
        <w:rPr>
          <w:lang w:val="en-US"/>
        </w:rPr>
        <w:t xml:space="preserve"> e di be’ </w:t>
      </w:r>
      <w:proofErr w:type="spellStart"/>
      <w:r w:rsidRPr="009B2545">
        <w:rPr>
          <w:lang w:val="en-US"/>
        </w:rPr>
        <w:t>costumi</w:t>
      </w:r>
      <w:proofErr w:type="spellEnd"/>
      <w:r w:rsidRPr="009B2545">
        <w:rPr>
          <w:lang w:val="en-US"/>
        </w:rPr>
        <w:t xml:space="preserve">, </w:t>
      </w:r>
      <w:proofErr w:type="spellStart"/>
      <w:r w:rsidRPr="009B2545">
        <w:rPr>
          <w:lang w:val="en-US"/>
        </w:rPr>
        <w:t>oneste</w:t>
      </w:r>
      <w:proofErr w:type="spellEnd"/>
      <w:r w:rsidRPr="009B2545">
        <w:rPr>
          <w:lang w:val="en-US"/>
        </w:rPr>
        <w:t xml:space="preserve"> e </w:t>
      </w:r>
      <w:proofErr w:type="spellStart"/>
      <w:r w:rsidRPr="009B2545">
        <w:rPr>
          <w:lang w:val="en-US"/>
        </w:rPr>
        <w:t>vertudiose</w:t>
      </w:r>
      <w:proofErr w:type="spellEnd"/>
      <w:r w:rsidRPr="009B2545">
        <w:rPr>
          <w:lang w:val="en-US"/>
        </w:rPr>
        <w:t xml:space="preserve"> e belle a </w:t>
      </w:r>
      <w:proofErr w:type="spellStart"/>
      <w:r w:rsidRPr="009B2545">
        <w:rPr>
          <w:lang w:val="en-US"/>
        </w:rPr>
        <w:t>maraviglia</w:t>
      </w:r>
      <w:proofErr w:type="spellEnd"/>
      <w:r w:rsidRPr="009B2545">
        <w:rPr>
          <w:lang w:val="en-US"/>
        </w:rPr>
        <w:t xml:space="preserve"> </w:t>
      </w:r>
      <w:proofErr w:type="spellStart"/>
      <w:r w:rsidRPr="009B2545">
        <w:rPr>
          <w:lang w:val="en-US"/>
        </w:rPr>
        <w:t>che</w:t>
      </w:r>
      <w:proofErr w:type="spellEnd"/>
      <w:r w:rsidRPr="009B2545">
        <w:rPr>
          <w:lang w:val="en-US"/>
        </w:rPr>
        <w:t xml:space="preserve"> </w:t>
      </w:r>
      <w:proofErr w:type="spellStart"/>
      <w:r w:rsidRPr="009B2545">
        <w:rPr>
          <w:lang w:val="en-US"/>
        </w:rPr>
        <w:t>paiono</w:t>
      </w:r>
      <w:proofErr w:type="spellEnd"/>
      <w:r w:rsidRPr="009B2545">
        <w:rPr>
          <w:lang w:val="en-US"/>
        </w:rPr>
        <w:t xml:space="preserve"> </w:t>
      </w:r>
      <w:proofErr w:type="spellStart"/>
      <w:r w:rsidRPr="009B2545">
        <w:rPr>
          <w:lang w:val="en-US"/>
        </w:rPr>
        <w:t>angeli</w:t>
      </w:r>
      <w:proofErr w:type="spellEnd"/>
      <w:r w:rsidRPr="009B2545">
        <w:rPr>
          <w:lang w:val="en-US"/>
        </w:rPr>
        <w:t xml:space="preserve"> </w:t>
      </w:r>
      <w:proofErr w:type="spellStart"/>
      <w:r w:rsidRPr="009B2545">
        <w:rPr>
          <w:lang w:val="en-US"/>
        </w:rPr>
        <w:t>discesi</w:t>
      </w:r>
      <w:proofErr w:type="spellEnd"/>
      <w:r w:rsidRPr="009B2545">
        <w:rPr>
          <w:lang w:val="en-US"/>
        </w:rPr>
        <w:t xml:space="preserve"> da </w:t>
      </w:r>
      <w:proofErr w:type="spellStart"/>
      <w:r w:rsidRPr="009B2545">
        <w:rPr>
          <w:lang w:val="en-US"/>
        </w:rPr>
        <w:t>cielo</w:t>
      </w:r>
      <w:proofErr w:type="spellEnd"/>
      <w:r w:rsidRPr="009B2545">
        <w:rPr>
          <w:lang w:val="en-US"/>
        </w:rPr>
        <w:t>.</w:t>
      </w:r>
      <w:r>
        <w:rPr>
          <w:lang w:val="en-US"/>
        </w:rPr>
        <w:t>”</w:t>
      </w:r>
      <w:r w:rsidRPr="009B2545">
        <w:rPr>
          <w:lang w:val="en-US"/>
        </w:rPr>
        <w:t xml:space="preserve"> Judith Bryce, “Performing for Strangers: Women, Dance, and Music in Quattrocento Florence,” </w:t>
      </w:r>
      <w:r w:rsidRPr="009B2545">
        <w:rPr>
          <w:i/>
          <w:iCs/>
          <w:lang w:val="en-US"/>
        </w:rPr>
        <w:t>Renaissance Quarterly</w:t>
      </w:r>
      <w:r w:rsidRPr="009B2545">
        <w:rPr>
          <w:lang w:val="en-US"/>
        </w:rPr>
        <w:t xml:space="preserve"> 54, no. 4 (2001): 1084.</w:t>
      </w:r>
    </w:p>
  </w:footnote>
  <w:footnote w:id="390">
    <w:p w14:paraId="7DD02C45" w14:textId="77777777" w:rsidR="00182EED" w:rsidRDefault="00182EED" w:rsidP="008A116C">
      <w:pPr>
        <w:pStyle w:val="FootnoteText"/>
      </w:pPr>
      <w:r w:rsidRPr="00073E38">
        <w:rPr>
          <w:rStyle w:val="FootnoteReference"/>
        </w:rPr>
        <w:footnoteRef/>
      </w:r>
      <w:r>
        <w:t xml:space="preserve"> </w:t>
      </w:r>
      <w:r w:rsidRPr="00ED769A">
        <w:rPr>
          <w:lang w:val="en-US"/>
        </w:rPr>
        <w:t>“</w:t>
      </w:r>
      <w:proofErr w:type="spellStart"/>
      <w:r w:rsidRPr="00ED769A">
        <w:rPr>
          <w:lang w:val="en-US"/>
        </w:rPr>
        <w:t>Distinctae</w:t>
      </w:r>
      <w:proofErr w:type="spellEnd"/>
      <w:r w:rsidRPr="00ED769A">
        <w:rPr>
          <w:lang w:val="en-US"/>
        </w:rPr>
        <w:t xml:space="preserve"> </w:t>
      </w:r>
      <w:proofErr w:type="spellStart"/>
      <w:r w:rsidRPr="00ED769A">
        <w:rPr>
          <w:lang w:val="en-US"/>
        </w:rPr>
        <w:t>namque</w:t>
      </w:r>
      <w:proofErr w:type="spellEnd"/>
      <w:r w:rsidRPr="00ED769A">
        <w:rPr>
          <w:lang w:val="en-US"/>
        </w:rPr>
        <w:t xml:space="preserve"> </w:t>
      </w:r>
      <w:proofErr w:type="spellStart"/>
      <w:r w:rsidRPr="00ED769A">
        <w:rPr>
          <w:lang w:val="en-US"/>
        </w:rPr>
        <w:t>conversationes</w:t>
      </w:r>
      <w:proofErr w:type="spellEnd"/>
      <w:r w:rsidRPr="00ED769A">
        <w:rPr>
          <w:lang w:val="en-US"/>
        </w:rPr>
        <w:t xml:space="preserve"> </w:t>
      </w:r>
      <w:proofErr w:type="spellStart"/>
      <w:r w:rsidRPr="00ED769A">
        <w:rPr>
          <w:lang w:val="en-US"/>
        </w:rPr>
        <w:t>hominum</w:t>
      </w:r>
      <w:proofErr w:type="spellEnd"/>
      <w:r w:rsidRPr="00ED769A">
        <w:rPr>
          <w:lang w:val="en-US"/>
        </w:rPr>
        <w:t xml:space="preserve"> </w:t>
      </w:r>
      <w:proofErr w:type="spellStart"/>
      <w:r w:rsidRPr="00ED769A">
        <w:rPr>
          <w:lang w:val="en-US"/>
        </w:rPr>
        <w:t>singulorum</w:t>
      </w:r>
      <w:proofErr w:type="spellEnd"/>
      <w:r w:rsidRPr="00ED769A">
        <w:rPr>
          <w:lang w:val="en-US"/>
        </w:rPr>
        <w:t xml:space="preserve"> </w:t>
      </w:r>
      <w:proofErr w:type="spellStart"/>
      <w:r w:rsidRPr="00ED769A">
        <w:rPr>
          <w:lang w:val="en-US"/>
        </w:rPr>
        <w:t>agminum</w:t>
      </w:r>
      <w:proofErr w:type="spellEnd"/>
      <w:r w:rsidRPr="00ED769A">
        <w:rPr>
          <w:lang w:val="en-US"/>
        </w:rPr>
        <w:t xml:space="preserve"> </w:t>
      </w:r>
      <w:proofErr w:type="spellStart"/>
      <w:r w:rsidRPr="00ED769A">
        <w:rPr>
          <w:lang w:val="en-US"/>
        </w:rPr>
        <w:t>ordinibus</w:t>
      </w:r>
      <w:proofErr w:type="spellEnd"/>
      <w:r w:rsidRPr="00ED769A">
        <w:rPr>
          <w:lang w:val="en-US"/>
        </w:rPr>
        <w:t xml:space="preserve"> </w:t>
      </w:r>
      <w:proofErr w:type="spellStart"/>
      <w:r w:rsidRPr="00ED769A">
        <w:rPr>
          <w:lang w:val="en-US"/>
        </w:rPr>
        <w:t>congruunt</w:t>
      </w:r>
      <w:proofErr w:type="spellEnd"/>
      <w:r w:rsidRPr="00ED769A">
        <w:rPr>
          <w:lang w:val="en-US"/>
        </w:rPr>
        <w:t xml:space="preserve">, et in </w:t>
      </w:r>
      <w:proofErr w:type="spellStart"/>
      <w:r w:rsidRPr="00ED769A">
        <w:rPr>
          <w:lang w:val="en-US"/>
        </w:rPr>
        <w:t>eorum</w:t>
      </w:r>
      <w:proofErr w:type="spellEnd"/>
      <w:r w:rsidRPr="00ED769A">
        <w:rPr>
          <w:lang w:val="en-US"/>
        </w:rPr>
        <w:t xml:space="preserve"> </w:t>
      </w:r>
      <w:proofErr w:type="spellStart"/>
      <w:r w:rsidRPr="00ED769A">
        <w:rPr>
          <w:lang w:val="en-US"/>
        </w:rPr>
        <w:t>sortem</w:t>
      </w:r>
      <w:proofErr w:type="spellEnd"/>
      <w:r w:rsidRPr="00ED769A">
        <w:rPr>
          <w:lang w:val="en-US"/>
        </w:rPr>
        <w:t xml:space="preserve"> per </w:t>
      </w:r>
      <w:proofErr w:type="spellStart"/>
      <w:r w:rsidRPr="00ED769A">
        <w:rPr>
          <w:lang w:val="en-US"/>
        </w:rPr>
        <w:t>conversationis</w:t>
      </w:r>
      <w:proofErr w:type="spellEnd"/>
      <w:r w:rsidRPr="00ED769A">
        <w:rPr>
          <w:lang w:val="en-US"/>
        </w:rPr>
        <w:t xml:space="preserve"> </w:t>
      </w:r>
      <w:proofErr w:type="spellStart"/>
      <w:r w:rsidRPr="00ED769A">
        <w:rPr>
          <w:lang w:val="en-US"/>
        </w:rPr>
        <w:t>similitudinem</w:t>
      </w:r>
      <w:proofErr w:type="spellEnd"/>
      <w:r w:rsidRPr="00ED769A">
        <w:rPr>
          <w:lang w:val="en-US"/>
        </w:rPr>
        <w:t xml:space="preserve"> </w:t>
      </w:r>
      <w:proofErr w:type="spellStart"/>
      <w:r w:rsidRPr="00ED769A">
        <w:rPr>
          <w:lang w:val="en-US"/>
        </w:rPr>
        <w:t>deputantur</w:t>
      </w:r>
      <w:proofErr w:type="spellEnd"/>
      <w:r w:rsidRPr="00ED769A">
        <w:rPr>
          <w:lang w:val="en-US"/>
        </w:rPr>
        <w:t xml:space="preserve">.” Sancti </w:t>
      </w:r>
      <w:proofErr w:type="spellStart"/>
      <w:r w:rsidRPr="00ED769A">
        <w:rPr>
          <w:lang w:val="en-US"/>
        </w:rPr>
        <w:t>Gregorii</w:t>
      </w:r>
      <w:proofErr w:type="spellEnd"/>
      <w:r w:rsidRPr="00ED769A">
        <w:rPr>
          <w:lang w:val="en-US"/>
        </w:rPr>
        <w:t xml:space="preserve"> </w:t>
      </w:r>
      <w:proofErr w:type="spellStart"/>
      <w:r w:rsidRPr="00ED769A">
        <w:rPr>
          <w:lang w:val="en-US"/>
        </w:rPr>
        <w:t>Magni</w:t>
      </w:r>
      <w:proofErr w:type="spellEnd"/>
      <w:r w:rsidRPr="00ED769A">
        <w:rPr>
          <w:lang w:val="en-US"/>
        </w:rPr>
        <w:t xml:space="preserve"> and Romani </w:t>
      </w:r>
      <w:proofErr w:type="spellStart"/>
      <w:r w:rsidRPr="00ED769A">
        <w:rPr>
          <w:lang w:val="en-US"/>
        </w:rPr>
        <w:t>Pontificis</w:t>
      </w:r>
      <w:proofErr w:type="spellEnd"/>
      <w:r w:rsidRPr="00ED769A">
        <w:rPr>
          <w:lang w:val="en-US"/>
        </w:rPr>
        <w:t xml:space="preserve">, </w:t>
      </w:r>
      <w:r w:rsidRPr="00ED769A">
        <w:rPr>
          <w:i/>
          <w:iCs/>
          <w:lang w:val="en-US"/>
        </w:rPr>
        <w:t xml:space="preserve">XL </w:t>
      </w:r>
      <w:proofErr w:type="spellStart"/>
      <w:r w:rsidRPr="00ED769A">
        <w:rPr>
          <w:i/>
          <w:iCs/>
          <w:lang w:val="en-US"/>
        </w:rPr>
        <w:t>Homiliarum</w:t>
      </w:r>
      <w:proofErr w:type="spellEnd"/>
      <w:r w:rsidRPr="00ED769A">
        <w:rPr>
          <w:i/>
          <w:iCs/>
          <w:lang w:val="en-US"/>
        </w:rPr>
        <w:t xml:space="preserve"> in </w:t>
      </w:r>
      <w:proofErr w:type="spellStart"/>
      <w:r w:rsidRPr="00ED769A">
        <w:rPr>
          <w:i/>
          <w:iCs/>
          <w:lang w:val="en-US"/>
        </w:rPr>
        <w:t>Evangelia</w:t>
      </w:r>
      <w:proofErr w:type="spellEnd"/>
      <w:r w:rsidRPr="00ED769A">
        <w:rPr>
          <w:i/>
          <w:iCs/>
          <w:lang w:val="en-US"/>
        </w:rPr>
        <w:t xml:space="preserve"> Libri Duo</w:t>
      </w:r>
      <w:r w:rsidRPr="00ED769A">
        <w:rPr>
          <w:lang w:val="en-US"/>
        </w:rPr>
        <w:t xml:space="preserve"> (</w:t>
      </w:r>
      <w:proofErr w:type="spellStart"/>
      <w:r w:rsidRPr="00ED769A">
        <w:rPr>
          <w:lang w:val="en-US"/>
        </w:rPr>
        <w:t>Oeniponte</w:t>
      </w:r>
      <w:proofErr w:type="spellEnd"/>
      <w:r w:rsidRPr="00ED769A">
        <w:rPr>
          <w:lang w:val="en-US"/>
        </w:rPr>
        <w:t xml:space="preserve"> </w:t>
      </w:r>
      <w:proofErr w:type="spellStart"/>
      <w:r w:rsidRPr="00ED769A">
        <w:rPr>
          <w:lang w:val="en-US"/>
        </w:rPr>
        <w:t>Libraria</w:t>
      </w:r>
      <w:proofErr w:type="spellEnd"/>
      <w:r w:rsidRPr="00ED769A">
        <w:rPr>
          <w:lang w:val="en-US"/>
        </w:rPr>
        <w:t xml:space="preserve"> </w:t>
      </w:r>
      <w:proofErr w:type="spellStart"/>
      <w:r w:rsidRPr="00ED769A">
        <w:rPr>
          <w:lang w:val="en-US"/>
        </w:rPr>
        <w:t>Academica</w:t>
      </w:r>
      <w:proofErr w:type="spellEnd"/>
      <w:r w:rsidRPr="00ED769A">
        <w:rPr>
          <w:lang w:val="en-US"/>
        </w:rPr>
        <w:t xml:space="preserve"> </w:t>
      </w:r>
      <w:proofErr w:type="spellStart"/>
      <w:r w:rsidRPr="00ED769A">
        <w:rPr>
          <w:lang w:val="en-US"/>
        </w:rPr>
        <w:t>Wagneriana</w:t>
      </w:r>
      <w:proofErr w:type="spellEnd"/>
      <w:r w:rsidRPr="00ED769A">
        <w:rPr>
          <w:lang w:val="en-US"/>
        </w:rPr>
        <w:t xml:space="preserve">, 1892), Homily 34, section 11, 286; Chase, </w:t>
      </w:r>
      <w:r w:rsidRPr="00ED769A">
        <w:rPr>
          <w:i/>
          <w:iCs/>
          <w:lang w:val="en-US"/>
        </w:rPr>
        <w:t>Angelic Spirituality</w:t>
      </w:r>
      <w:r w:rsidRPr="00ED769A">
        <w:rPr>
          <w:lang w:val="en-US"/>
        </w:rPr>
        <w:t xml:space="preserve">, 34 and 91–106, esp. 101; see also Gill, </w:t>
      </w:r>
      <w:r w:rsidRPr="00ED769A">
        <w:rPr>
          <w:i/>
          <w:iCs/>
          <w:lang w:val="en-US"/>
        </w:rPr>
        <w:t>Angels and the Order of Heaven in Medieval and Renaissance Italy</w:t>
      </w:r>
      <w:r w:rsidRPr="00ED769A">
        <w:rPr>
          <w:lang w:val="en-US"/>
        </w:rPr>
        <w:t>, 61.</w:t>
      </w:r>
    </w:p>
  </w:footnote>
  <w:footnote w:id="391">
    <w:p w14:paraId="363F4F60" w14:textId="77777777" w:rsidR="00182EED" w:rsidRDefault="00182EED" w:rsidP="008A116C">
      <w:pPr>
        <w:pStyle w:val="FootnoteText"/>
      </w:pPr>
      <w:r w:rsidRPr="00073E38">
        <w:rPr>
          <w:rStyle w:val="FootnoteReference"/>
        </w:rPr>
        <w:footnoteRef/>
      </w:r>
      <w:r>
        <w:t xml:space="preserve"> </w:t>
      </w:r>
      <w:r w:rsidRPr="009B2545">
        <w:rPr>
          <w:lang w:val="en-US"/>
        </w:rPr>
        <w:t xml:space="preserve">“Ergo et </w:t>
      </w:r>
      <w:proofErr w:type="spellStart"/>
      <w:r w:rsidRPr="009B2545">
        <w:rPr>
          <w:lang w:val="en-US"/>
        </w:rPr>
        <w:t>nos</w:t>
      </w:r>
      <w:proofErr w:type="spellEnd"/>
      <w:r w:rsidRPr="009B2545">
        <w:rPr>
          <w:lang w:val="en-US"/>
        </w:rPr>
        <w:t xml:space="preserve"> </w:t>
      </w:r>
      <w:proofErr w:type="spellStart"/>
      <w:r w:rsidRPr="009B2545">
        <w:rPr>
          <w:lang w:val="en-US"/>
        </w:rPr>
        <w:t>cherubicam</w:t>
      </w:r>
      <w:proofErr w:type="spellEnd"/>
      <w:r w:rsidRPr="009B2545">
        <w:rPr>
          <w:lang w:val="en-US"/>
        </w:rPr>
        <w:t xml:space="preserve"> in </w:t>
      </w:r>
      <w:proofErr w:type="spellStart"/>
      <w:r w:rsidRPr="009B2545">
        <w:rPr>
          <w:lang w:val="en-US"/>
        </w:rPr>
        <w:t>terris</w:t>
      </w:r>
      <w:proofErr w:type="spellEnd"/>
      <w:r w:rsidRPr="009B2545">
        <w:rPr>
          <w:lang w:val="en-US"/>
        </w:rPr>
        <w:t xml:space="preserve"> </w:t>
      </w:r>
      <w:proofErr w:type="spellStart"/>
      <w:r w:rsidRPr="009B2545">
        <w:rPr>
          <w:lang w:val="en-US"/>
        </w:rPr>
        <w:t>vitam</w:t>
      </w:r>
      <w:proofErr w:type="spellEnd"/>
      <w:r w:rsidRPr="009B2545">
        <w:rPr>
          <w:lang w:val="en-US"/>
        </w:rPr>
        <w:t xml:space="preserve"> </w:t>
      </w:r>
      <w:proofErr w:type="spellStart"/>
      <w:r w:rsidRPr="009B2545">
        <w:rPr>
          <w:lang w:val="en-US"/>
        </w:rPr>
        <w:t>aemulantes</w:t>
      </w:r>
      <w:proofErr w:type="spellEnd"/>
      <w:r w:rsidRPr="009B2545">
        <w:rPr>
          <w:lang w:val="en-US"/>
        </w:rPr>
        <w:t xml:space="preserve">, per </w:t>
      </w:r>
      <w:proofErr w:type="spellStart"/>
      <w:r w:rsidRPr="009B2545">
        <w:rPr>
          <w:lang w:val="en-US"/>
        </w:rPr>
        <w:t>moralem</w:t>
      </w:r>
      <w:proofErr w:type="spellEnd"/>
      <w:r w:rsidRPr="009B2545">
        <w:rPr>
          <w:lang w:val="en-US"/>
        </w:rPr>
        <w:t xml:space="preserve"> </w:t>
      </w:r>
      <w:proofErr w:type="spellStart"/>
      <w:r w:rsidRPr="009B2545">
        <w:rPr>
          <w:lang w:val="en-US"/>
        </w:rPr>
        <w:t>scientiam</w:t>
      </w:r>
      <w:proofErr w:type="spellEnd"/>
      <w:r w:rsidRPr="009B2545">
        <w:rPr>
          <w:lang w:val="en-US"/>
        </w:rPr>
        <w:t xml:space="preserve"> </w:t>
      </w:r>
      <w:proofErr w:type="spellStart"/>
      <w:r w:rsidRPr="009B2545">
        <w:rPr>
          <w:lang w:val="en-US"/>
        </w:rPr>
        <w:t>affectuum</w:t>
      </w:r>
      <w:proofErr w:type="spellEnd"/>
      <w:r w:rsidRPr="009B2545">
        <w:rPr>
          <w:lang w:val="en-US"/>
        </w:rPr>
        <w:t xml:space="preserve"> impetus </w:t>
      </w:r>
      <w:proofErr w:type="spellStart"/>
      <w:r w:rsidRPr="009B2545">
        <w:rPr>
          <w:lang w:val="en-US"/>
        </w:rPr>
        <w:t>coercentes</w:t>
      </w:r>
      <w:proofErr w:type="spellEnd"/>
      <w:r w:rsidRPr="009B2545">
        <w:rPr>
          <w:lang w:val="en-US"/>
        </w:rPr>
        <w:t xml:space="preserve">, per </w:t>
      </w:r>
      <w:proofErr w:type="spellStart"/>
      <w:r w:rsidRPr="009B2545">
        <w:rPr>
          <w:lang w:val="en-US"/>
        </w:rPr>
        <w:t>dialecticam</w:t>
      </w:r>
      <w:proofErr w:type="spellEnd"/>
      <w:r w:rsidRPr="009B2545">
        <w:rPr>
          <w:lang w:val="en-US"/>
        </w:rPr>
        <w:t xml:space="preserve"> rationis </w:t>
      </w:r>
      <w:proofErr w:type="spellStart"/>
      <w:r w:rsidRPr="009B2545">
        <w:rPr>
          <w:lang w:val="en-US"/>
        </w:rPr>
        <w:t>caliginem</w:t>
      </w:r>
      <w:proofErr w:type="spellEnd"/>
      <w:r w:rsidRPr="009B2545">
        <w:rPr>
          <w:lang w:val="en-US"/>
        </w:rPr>
        <w:t xml:space="preserve"> </w:t>
      </w:r>
      <w:proofErr w:type="spellStart"/>
      <w:r w:rsidRPr="009B2545">
        <w:rPr>
          <w:lang w:val="en-US"/>
        </w:rPr>
        <w:t>discutientes</w:t>
      </w:r>
      <w:proofErr w:type="spellEnd"/>
      <w:r w:rsidRPr="009B2545">
        <w:rPr>
          <w:lang w:val="en-US"/>
        </w:rPr>
        <w:t xml:space="preserve">, quasi </w:t>
      </w:r>
      <w:proofErr w:type="spellStart"/>
      <w:r w:rsidRPr="009B2545">
        <w:rPr>
          <w:lang w:val="en-US"/>
        </w:rPr>
        <w:t>ignorantiae</w:t>
      </w:r>
      <w:proofErr w:type="spellEnd"/>
      <w:r w:rsidRPr="009B2545">
        <w:rPr>
          <w:lang w:val="en-US"/>
        </w:rPr>
        <w:t xml:space="preserve"> et </w:t>
      </w:r>
      <w:proofErr w:type="spellStart"/>
      <w:r w:rsidRPr="009B2545">
        <w:rPr>
          <w:lang w:val="en-US"/>
        </w:rPr>
        <w:t>vitiorum</w:t>
      </w:r>
      <w:proofErr w:type="spellEnd"/>
      <w:r w:rsidRPr="009B2545">
        <w:rPr>
          <w:lang w:val="en-US"/>
        </w:rPr>
        <w:t xml:space="preserve"> </w:t>
      </w:r>
      <w:proofErr w:type="spellStart"/>
      <w:r w:rsidRPr="009B2545">
        <w:rPr>
          <w:lang w:val="en-US"/>
        </w:rPr>
        <w:t>eluentes</w:t>
      </w:r>
      <w:proofErr w:type="spellEnd"/>
      <w:r w:rsidRPr="009B2545">
        <w:rPr>
          <w:lang w:val="en-US"/>
        </w:rPr>
        <w:t xml:space="preserve"> </w:t>
      </w:r>
      <w:proofErr w:type="spellStart"/>
      <w:r w:rsidRPr="009B2545">
        <w:rPr>
          <w:lang w:val="en-US"/>
        </w:rPr>
        <w:t>sordes</w:t>
      </w:r>
      <w:proofErr w:type="spellEnd"/>
      <w:r w:rsidRPr="009B2545">
        <w:rPr>
          <w:lang w:val="en-US"/>
        </w:rPr>
        <w:t xml:space="preserve"> </w:t>
      </w:r>
      <w:proofErr w:type="spellStart"/>
      <w:r w:rsidRPr="009B2545">
        <w:rPr>
          <w:lang w:val="en-US"/>
        </w:rPr>
        <w:t>animam</w:t>
      </w:r>
      <w:proofErr w:type="spellEnd"/>
      <w:r w:rsidRPr="009B2545">
        <w:rPr>
          <w:lang w:val="en-US"/>
        </w:rPr>
        <w:t xml:space="preserve"> </w:t>
      </w:r>
      <w:proofErr w:type="spellStart"/>
      <w:r w:rsidRPr="009B2545">
        <w:rPr>
          <w:lang w:val="en-US"/>
        </w:rPr>
        <w:t>purgemus</w:t>
      </w:r>
      <w:proofErr w:type="spellEnd"/>
      <w:r w:rsidRPr="009B2545">
        <w:rPr>
          <w:lang w:val="en-US"/>
        </w:rPr>
        <w:t xml:space="preserve">, ne </w:t>
      </w:r>
      <w:proofErr w:type="spellStart"/>
      <w:r w:rsidRPr="009B2545">
        <w:rPr>
          <w:lang w:val="en-US"/>
        </w:rPr>
        <w:t>aut</w:t>
      </w:r>
      <w:proofErr w:type="spellEnd"/>
      <w:r w:rsidRPr="009B2545">
        <w:rPr>
          <w:lang w:val="en-US"/>
        </w:rPr>
        <w:t xml:space="preserve"> </w:t>
      </w:r>
      <w:proofErr w:type="spellStart"/>
      <w:r w:rsidRPr="009B2545">
        <w:rPr>
          <w:lang w:val="en-US"/>
        </w:rPr>
        <w:t>affectus</w:t>
      </w:r>
      <w:proofErr w:type="spellEnd"/>
      <w:r w:rsidRPr="009B2545">
        <w:rPr>
          <w:lang w:val="en-US"/>
        </w:rPr>
        <w:t xml:space="preserve"> </w:t>
      </w:r>
      <w:proofErr w:type="spellStart"/>
      <w:r w:rsidRPr="009B2545">
        <w:rPr>
          <w:lang w:val="en-US"/>
        </w:rPr>
        <w:t>temere</w:t>
      </w:r>
      <w:proofErr w:type="spellEnd"/>
      <w:r w:rsidRPr="009B2545">
        <w:rPr>
          <w:lang w:val="en-US"/>
        </w:rPr>
        <w:t xml:space="preserve"> </w:t>
      </w:r>
      <w:proofErr w:type="spellStart"/>
      <w:r w:rsidRPr="009B2545">
        <w:rPr>
          <w:lang w:val="en-US"/>
        </w:rPr>
        <w:t>debacchentur</w:t>
      </w:r>
      <w:proofErr w:type="spellEnd"/>
      <w:r w:rsidRPr="009B2545">
        <w:rPr>
          <w:lang w:val="en-US"/>
        </w:rPr>
        <w:t xml:space="preserve"> </w:t>
      </w:r>
      <w:proofErr w:type="spellStart"/>
      <w:r w:rsidRPr="009B2545">
        <w:rPr>
          <w:lang w:val="en-US"/>
        </w:rPr>
        <w:t>aut</w:t>
      </w:r>
      <w:proofErr w:type="spellEnd"/>
      <w:r w:rsidRPr="009B2545">
        <w:rPr>
          <w:lang w:val="en-US"/>
        </w:rPr>
        <w:t xml:space="preserve"> ratio </w:t>
      </w:r>
      <w:proofErr w:type="spellStart"/>
      <w:r w:rsidRPr="009B2545">
        <w:rPr>
          <w:lang w:val="en-US"/>
        </w:rPr>
        <w:t>imprudens</w:t>
      </w:r>
      <w:proofErr w:type="spellEnd"/>
      <w:r w:rsidRPr="009B2545">
        <w:rPr>
          <w:lang w:val="en-US"/>
        </w:rPr>
        <w:t xml:space="preserve"> </w:t>
      </w:r>
      <w:proofErr w:type="spellStart"/>
      <w:r w:rsidRPr="009B2545">
        <w:rPr>
          <w:lang w:val="en-US"/>
        </w:rPr>
        <w:t>quandoque</w:t>
      </w:r>
      <w:proofErr w:type="spellEnd"/>
      <w:r w:rsidRPr="009B2545">
        <w:rPr>
          <w:lang w:val="en-US"/>
        </w:rPr>
        <w:t xml:space="preserve"> </w:t>
      </w:r>
      <w:proofErr w:type="spellStart"/>
      <w:r w:rsidRPr="009B2545">
        <w:rPr>
          <w:lang w:val="en-US"/>
        </w:rPr>
        <w:t>deliret</w:t>
      </w:r>
      <w:proofErr w:type="spellEnd"/>
      <w:r w:rsidRPr="009B2545">
        <w:rPr>
          <w:lang w:val="en-US"/>
        </w:rPr>
        <w:t xml:space="preserve">.” Giovanni Pico </w:t>
      </w:r>
      <w:proofErr w:type="spellStart"/>
      <w:r w:rsidRPr="009B2545">
        <w:rPr>
          <w:lang w:val="en-US"/>
        </w:rPr>
        <w:t>della</w:t>
      </w:r>
      <w:proofErr w:type="spellEnd"/>
      <w:r w:rsidRPr="009B2545">
        <w:rPr>
          <w:lang w:val="en-US"/>
        </w:rPr>
        <w:t xml:space="preserve"> </w:t>
      </w:r>
      <w:proofErr w:type="spellStart"/>
      <w:r w:rsidRPr="009B2545">
        <w:rPr>
          <w:lang w:val="en-US"/>
        </w:rPr>
        <w:t>Mirandol</w:t>
      </w:r>
      <w:r>
        <w:rPr>
          <w:lang w:val="en-US"/>
        </w:rPr>
        <w:t>a</w:t>
      </w:r>
      <w:proofErr w:type="spellEnd"/>
      <w:r w:rsidRPr="009B2545">
        <w:rPr>
          <w:lang w:val="en-US"/>
        </w:rPr>
        <w:t xml:space="preserve">, </w:t>
      </w:r>
      <w:r w:rsidRPr="009B2545">
        <w:rPr>
          <w:i/>
          <w:iCs/>
          <w:lang w:val="en-US"/>
        </w:rPr>
        <w:t xml:space="preserve">De hominis dignitate, in De hominis dignitate. </w:t>
      </w:r>
      <w:proofErr w:type="spellStart"/>
      <w:r w:rsidRPr="009B2545">
        <w:rPr>
          <w:i/>
          <w:iCs/>
          <w:lang w:val="en-US"/>
        </w:rPr>
        <w:t>Heptaplus</w:t>
      </w:r>
      <w:proofErr w:type="spellEnd"/>
      <w:r w:rsidRPr="009B2545">
        <w:rPr>
          <w:i/>
          <w:iCs/>
          <w:lang w:val="en-US"/>
        </w:rPr>
        <w:t xml:space="preserve">. De </w:t>
      </w:r>
      <w:proofErr w:type="spellStart"/>
      <w:r w:rsidRPr="009B2545">
        <w:rPr>
          <w:i/>
          <w:iCs/>
          <w:lang w:val="en-US"/>
        </w:rPr>
        <w:t>ente</w:t>
      </w:r>
      <w:proofErr w:type="spellEnd"/>
      <w:r w:rsidRPr="009B2545">
        <w:rPr>
          <w:i/>
          <w:iCs/>
          <w:lang w:val="en-US"/>
        </w:rPr>
        <w:t xml:space="preserve"> et </w:t>
      </w:r>
      <w:proofErr w:type="spellStart"/>
      <w:r w:rsidRPr="009B2545">
        <w:rPr>
          <w:i/>
          <w:iCs/>
          <w:lang w:val="en-US"/>
        </w:rPr>
        <w:t>uno</w:t>
      </w:r>
      <w:proofErr w:type="spellEnd"/>
      <w:r w:rsidRPr="009B2545">
        <w:rPr>
          <w:lang w:val="en-US"/>
        </w:rPr>
        <w:t xml:space="preserve">, ed. Eugenio </w:t>
      </w:r>
      <w:proofErr w:type="spellStart"/>
      <w:r w:rsidRPr="009B2545">
        <w:rPr>
          <w:lang w:val="en-US"/>
        </w:rPr>
        <w:t>Garin</w:t>
      </w:r>
      <w:proofErr w:type="spellEnd"/>
      <w:r w:rsidRPr="009B2545">
        <w:rPr>
          <w:lang w:val="en-US"/>
        </w:rPr>
        <w:t xml:space="preserve"> (Florence: </w:t>
      </w:r>
      <w:proofErr w:type="spellStart"/>
      <w:r w:rsidRPr="009B2545">
        <w:rPr>
          <w:lang w:val="en-US"/>
        </w:rPr>
        <w:t>Vallecchi</w:t>
      </w:r>
      <w:proofErr w:type="spellEnd"/>
      <w:r w:rsidRPr="009B2545">
        <w:rPr>
          <w:lang w:val="en-US"/>
        </w:rPr>
        <w:t xml:space="preserve"> </w:t>
      </w:r>
      <w:proofErr w:type="spellStart"/>
      <w:r w:rsidRPr="009B2545">
        <w:rPr>
          <w:lang w:val="en-US"/>
        </w:rPr>
        <w:t>editore</w:t>
      </w:r>
      <w:proofErr w:type="spellEnd"/>
      <w:r w:rsidRPr="009B2545">
        <w:rPr>
          <w:lang w:val="en-US"/>
        </w:rPr>
        <w:t xml:space="preserve">, 1942), 112–14; English translation from Giovanni Pico </w:t>
      </w:r>
      <w:proofErr w:type="spellStart"/>
      <w:r w:rsidRPr="009B2545">
        <w:rPr>
          <w:lang w:val="en-US"/>
        </w:rPr>
        <w:t>della</w:t>
      </w:r>
      <w:proofErr w:type="spellEnd"/>
      <w:r w:rsidRPr="009B2545">
        <w:rPr>
          <w:lang w:val="en-US"/>
        </w:rPr>
        <w:t xml:space="preserve"> </w:t>
      </w:r>
      <w:proofErr w:type="spellStart"/>
      <w:r w:rsidRPr="009B2545">
        <w:rPr>
          <w:lang w:val="en-US"/>
        </w:rPr>
        <w:t>Mirandola</w:t>
      </w:r>
      <w:proofErr w:type="spellEnd"/>
      <w:r w:rsidRPr="009B2545">
        <w:rPr>
          <w:lang w:val="en-US"/>
        </w:rPr>
        <w:t xml:space="preserve">, </w:t>
      </w:r>
      <w:r w:rsidRPr="009B2545">
        <w:rPr>
          <w:i/>
          <w:iCs/>
          <w:lang w:val="en-US"/>
        </w:rPr>
        <w:t>On the Dignity of Man</w:t>
      </w:r>
      <w:r w:rsidRPr="009B2545">
        <w:rPr>
          <w:lang w:val="en-US"/>
        </w:rPr>
        <w:t xml:space="preserve">, trans. Glenn Charles Wallis (reprinted Indianapolis and Cambridge: Hackett Publishing Company, 1998), 9; see also Gill, </w:t>
      </w:r>
      <w:r w:rsidRPr="009B2545">
        <w:rPr>
          <w:i/>
          <w:iCs/>
          <w:lang w:val="en-US"/>
        </w:rPr>
        <w:t>Angels and the Order of Heaven in Medieval and Renaissance Italy</w:t>
      </w:r>
      <w:r w:rsidRPr="009B2545">
        <w:rPr>
          <w:lang w:val="en-US"/>
        </w:rPr>
        <w:t>, 135–37.</w:t>
      </w:r>
      <w:r w:rsidRPr="009B2545">
        <w:rPr>
          <w:szCs w:val="18"/>
        </w:rPr>
        <w:t xml:space="preserve"> </w:t>
      </w:r>
      <w:r w:rsidRPr="00BE4853">
        <w:rPr>
          <w:szCs w:val="18"/>
        </w:rPr>
        <w:t xml:space="preserve">Pico’s oration was written in 1486, as introduction to his </w:t>
      </w:r>
      <w:proofErr w:type="spellStart"/>
      <w:r w:rsidRPr="00BE4853">
        <w:rPr>
          <w:i/>
          <w:szCs w:val="18"/>
        </w:rPr>
        <w:t>Conclusiones</w:t>
      </w:r>
      <w:proofErr w:type="spellEnd"/>
      <w:r w:rsidRPr="00BE4853">
        <w:rPr>
          <w:szCs w:val="18"/>
        </w:rPr>
        <w:t xml:space="preserve"> but it was never delivered. In 1487, </w:t>
      </w:r>
      <w:r w:rsidRPr="00E3442A">
        <w:rPr>
          <w:szCs w:val="18"/>
        </w:rPr>
        <w:t>Pico’s theses were found</w:t>
      </w:r>
      <w:r w:rsidRPr="00BE4853">
        <w:rPr>
          <w:szCs w:val="18"/>
        </w:rPr>
        <w:t xml:space="preserve"> heretical and were banned by a commission nominated by Innocent VIII.</w:t>
      </w:r>
    </w:p>
  </w:footnote>
  <w:footnote w:id="392">
    <w:p w14:paraId="35D4D68A" w14:textId="77777777" w:rsidR="00182EED" w:rsidRDefault="00182EED" w:rsidP="008A116C">
      <w:pPr>
        <w:pStyle w:val="FootnoteText"/>
      </w:pPr>
      <w:r w:rsidRPr="00073E38">
        <w:rPr>
          <w:rStyle w:val="FootnoteReference"/>
        </w:rPr>
        <w:footnoteRef/>
      </w:r>
      <w:r>
        <w:t xml:space="preserve"> </w:t>
      </w:r>
      <w:r w:rsidRPr="00B14FA4">
        <w:rPr>
          <w:lang w:val="en-US"/>
        </w:rPr>
        <w:t xml:space="preserve">“Nos </w:t>
      </w:r>
      <w:proofErr w:type="spellStart"/>
      <w:r w:rsidRPr="00B14FA4">
        <w:rPr>
          <w:lang w:val="en-US"/>
        </w:rPr>
        <w:t>omnes</w:t>
      </w:r>
      <w:proofErr w:type="spellEnd"/>
      <w:r w:rsidRPr="00B14FA4">
        <w:rPr>
          <w:lang w:val="en-US"/>
        </w:rPr>
        <w:t xml:space="preserve">, </w:t>
      </w:r>
      <w:proofErr w:type="spellStart"/>
      <w:r w:rsidRPr="00B14FA4">
        <w:rPr>
          <w:lang w:val="en-US"/>
        </w:rPr>
        <w:t>quibus</w:t>
      </w:r>
      <w:proofErr w:type="spellEnd"/>
      <w:r w:rsidRPr="00B14FA4">
        <w:rPr>
          <w:lang w:val="en-US"/>
        </w:rPr>
        <w:t xml:space="preserve"> data </w:t>
      </w:r>
      <w:proofErr w:type="spellStart"/>
      <w:r w:rsidRPr="00B14FA4">
        <w:rPr>
          <w:lang w:val="en-US"/>
        </w:rPr>
        <w:t>potestas</w:t>
      </w:r>
      <w:proofErr w:type="spellEnd"/>
      <w:r w:rsidRPr="00B14FA4">
        <w:rPr>
          <w:lang w:val="en-US"/>
        </w:rPr>
        <w:t xml:space="preserve"> </w:t>
      </w:r>
      <w:proofErr w:type="spellStart"/>
      <w:r w:rsidRPr="00B14FA4">
        <w:rPr>
          <w:lang w:val="en-US"/>
        </w:rPr>
        <w:t>filios</w:t>
      </w:r>
      <w:proofErr w:type="spellEnd"/>
      <w:r w:rsidRPr="00B14FA4">
        <w:rPr>
          <w:lang w:val="en-US"/>
        </w:rPr>
        <w:t xml:space="preserve"> Dei </w:t>
      </w:r>
      <w:proofErr w:type="spellStart"/>
      <w:r w:rsidRPr="00B14FA4">
        <w:rPr>
          <w:lang w:val="en-US"/>
        </w:rPr>
        <w:t>fieri</w:t>
      </w:r>
      <w:proofErr w:type="spellEnd"/>
      <w:r w:rsidRPr="00B14FA4">
        <w:rPr>
          <w:lang w:val="en-US"/>
        </w:rPr>
        <w:t xml:space="preserve"> per </w:t>
      </w:r>
      <w:proofErr w:type="spellStart"/>
      <w:r w:rsidRPr="00B14FA4">
        <w:rPr>
          <w:lang w:val="en-US"/>
        </w:rPr>
        <w:t>gratiam</w:t>
      </w:r>
      <w:proofErr w:type="spellEnd"/>
      <w:r w:rsidRPr="00B14FA4">
        <w:rPr>
          <w:lang w:val="en-US"/>
        </w:rPr>
        <w:t xml:space="preserve"> </w:t>
      </w:r>
      <w:proofErr w:type="spellStart"/>
      <w:r w:rsidRPr="00B14FA4">
        <w:rPr>
          <w:lang w:val="en-US"/>
        </w:rPr>
        <w:t>cuius</w:t>
      </w:r>
      <w:proofErr w:type="spellEnd"/>
      <w:r w:rsidRPr="00B14FA4">
        <w:rPr>
          <w:lang w:val="en-US"/>
        </w:rPr>
        <w:t xml:space="preserve"> </w:t>
      </w:r>
      <w:proofErr w:type="spellStart"/>
      <w:r w:rsidRPr="00B14FA4">
        <w:rPr>
          <w:lang w:val="en-US"/>
        </w:rPr>
        <w:t>dator</w:t>
      </w:r>
      <w:proofErr w:type="spellEnd"/>
      <w:r w:rsidRPr="00B14FA4">
        <w:rPr>
          <w:lang w:val="en-US"/>
        </w:rPr>
        <w:t xml:space="preserve"> </w:t>
      </w:r>
      <w:proofErr w:type="spellStart"/>
      <w:r w:rsidRPr="00B14FA4">
        <w:rPr>
          <w:lang w:val="en-US"/>
        </w:rPr>
        <w:t>est</w:t>
      </w:r>
      <w:proofErr w:type="spellEnd"/>
      <w:r w:rsidRPr="00B14FA4">
        <w:rPr>
          <w:lang w:val="en-US"/>
        </w:rPr>
        <w:t xml:space="preserve"> Christus, supra </w:t>
      </w:r>
      <w:proofErr w:type="spellStart"/>
      <w:r w:rsidRPr="00B14FA4">
        <w:rPr>
          <w:lang w:val="en-US"/>
        </w:rPr>
        <w:t>angelicam</w:t>
      </w:r>
      <w:proofErr w:type="spellEnd"/>
      <w:r w:rsidRPr="00B14FA4">
        <w:rPr>
          <w:lang w:val="en-US"/>
        </w:rPr>
        <w:t xml:space="preserve"> </w:t>
      </w:r>
      <w:proofErr w:type="spellStart"/>
      <w:r w:rsidRPr="00B14FA4">
        <w:rPr>
          <w:lang w:val="en-US"/>
        </w:rPr>
        <w:t>dignitatem</w:t>
      </w:r>
      <w:proofErr w:type="spellEnd"/>
      <w:r w:rsidRPr="00B14FA4">
        <w:rPr>
          <w:lang w:val="en-US"/>
        </w:rPr>
        <w:t xml:space="preserve"> </w:t>
      </w:r>
      <w:proofErr w:type="spellStart"/>
      <w:r w:rsidRPr="00B14FA4">
        <w:rPr>
          <w:lang w:val="en-US"/>
        </w:rPr>
        <w:t>evehi</w:t>
      </w:r>
      <w:proofErr w:type="spellEnd"/>
      <w:r w:rsidRPr="00B14FA4">
        <w:rPr>
          <w:lang w:val="en-US"/>
        </w:rPr>
        <w:t xml:space="preserve"> </w:t>
      </w:r>
      <w:proofErr w:type="spellStart"/>
      <w:r w:rsidRPr="00B14FA4">
        <w:rPr>
          <w:lang w:val="en-US"/>
        </w:rPr>
        <w:t>possumus</w:t>
      </w:r>
      <w:proofErr w:type="spellEnd"/>
      <w:r w:rsidRPr="00B14FA4">
        <w:rPr>
          <w:lang w:val="en-US"/>
        </w:rPr>
        <w:t xml:space="preserve">.” Pico </w:t>
      </w:r>
      <w:proofErr w:type="spellStart"/>
      <w:r w:rsidRPr="00B14FA4">
        <w:rPr>
          <w:lang w:val="en-US"/>
        </w:rPr>
        <w:t>della</w:t>
      </w:r>
      <w:proofErr w:type="spellEnd"/>
      <w:r w:rsidRPr="00B14FA4">
        <w:rPr>
          <w:lang w:val="en-US"/>
        </w:rPr>
        <w:t xml:space="preserve"> </w:t>
      </w:r>
      <w:proofErr w:type="spellStart"/>
      <w:r w:rsidRPr="00B14FA4">
        <w:rPr>
          <w:lang w:val="en-US"/>
        </w:rPr>
        <w:t>Mirandol</w:t>
      </w:r>
      <w:r>
        <w:rPr>
          <w:lang w:val="en-US"/>
        </w:rPr>
        <w:t>a</w:t>
      </w:r>
      <w:proofErr w:type="spellEnd"/>
      <w:r w:rsidRPr="00B14FA4">
        <w:rPr>
          <w:lang w:val="en-US"/>
        </w:rPr>
        <w:t xml:space="preserve">, </w:t>
      </w:r>
      <w:proofErr w:type="spellStart"/>
      <w:r w:rsidRPr="00B14FA4">
        <w:rPr>
          <w:i/>
          <w:iCs/>
          <w:lang w:val="en-US"/>
        </w:rPr>
        <w:t>Heptaplus</w:t>
      </w:r>
      <w:proofErr w:type="spellEnd"/>
      <w:r w:rsidRPr="00B14FA4">
        <w:rPr>
          <w:lang w:val="en-US"/>
        </w:rPr>
        <w:t xml:space="preserve">, 266; English translation from Pico </w:t>
      </w:r>
      <w:proofErr w:type="spellStart"/>
      <w:r w:rsidRPr="00B14FA4">
        <w:rPr>
          <w:lang w:val="en-US"/>
        </w:rPr>
        <w:t>della</w:t>
      </w:r>
      <w:proofErr w:type="spellEnd"/>
      <w:r w:rsidRPr="00B14FA4">
        <w:rPr>
          <w:lang w:val="en-US"/>
        </w:rPr>
        <w:t xml:space="preserve"> </w:t>
      </w:r>
      <w:proofErr w:type="spellStart"/>
      <w:r w:rsidRPr="00B14FA4">
        <w:rPr>
          <w:lang w:val="en-US"/>
        </w:rPr>
        <w:t>Mirandola</w:t>
      </w:r>
      <w:proofErr w:type="spellEnd"/>
      <w:r w:rsidRPr="00B14FA4">
        <w:rPr>
          <w:lang w:val="en-US"/>
        </w:rPr>
        <w:t xml:space="preserve">, </w:t>
      </w:r>
      <w:r w:rsidRPr="00B14FA4">
        <w:rPr>
          <w:i/>
          <w:iCs/>
          <w:lang w:val="en-US"/>
        </w:rPr>
        <w:t>On the Dignity of Man</w:t>
      </w:r>
      <w:r w:rsidRPr="00B14FA4">
        <w:rPr>
          <w:lang w:val="en-US"/>
        </w:rPr>
        <w:t xml:space="preserve">, 116; Pico </w:t>
      </w:r>
      <w:proofErr w:type="spellStart"/>
      <w:r w:rsidRPr="00B14FA4">
        <w:rPr>
          <w:lang w:val="en-US"/>
        </w:rPr>
        <w:t>della</w:t>
      </w:r>
      <w:proofErr w:type="spellEnd"/>
      <w:r w:rsidRPr="00B14FA4">
        <w:rPr>
          <w:lang w:val="en-US"/>
        </w:rPr>
        <w:t xml:space="preserve"> </w:t>
      </w:r>
      <w:proofErr w:type="spellStart"/>
      <w:r w:rsidRPr="00B14FA4">
        <w:rPr>
          <w:lang w:val="en-US"/>
        </w:rPr>
        <w:t>Mirandola’s</w:t>
      </w:r>
      <w:proofErr w:type="spellEnd"/>
      <w:r w:rsidRPr="00B14FA4">
        <w:rPr>
          <w:lang w:val="en-US"/>
        </w:rPr>
        <w:t xml:space="preserve"> </w:t>
      </w:r>
      <w:proofErr w:type="spellStart"/>
      <w:r w:rsidRPr="00B14FA4">
        <w:rPr>
          <w:i/>
          <w:iCs/>
          <w:lang w:val="en-US"/>
        </w:rPr>
        <w:t>Heptaplus</w:t>
      </w:r>
      <w:proofErr w:type="spellEnd"/>
      <w:r w:rsidRPr="00B14FA4">
        <w:rPr>
          <w:lang w:val="en-US"/>
        </w:rPr>
        <w:t xml:space="preserve"> (1488-9) was condemned as heretical by the Church. On Pico’s view about the relationship between human beings and angels, see Gill, </w:t>
      </w:r>
      <w:r w:rsidRPr="00B14FA4">
        <w:rPr>
          <w:i/>
          <w:iCs/>
          <w:lang w:val="en-US"/>
        </w:rPr>
        <w:t>Angels and the Order of Heaven in Medieval and Renaissance Italy</w:t>
      </w:r>
      <w:r w:rsidRPr="00B14FA4">
        <w:rPr>
          <w:lang w:val="en-US"/>
        </w:rPr>
        <w:t>, 135–39.</w:t>
      </w:r>
      <w:r w:rsidRPr="00B14FA4">
        <w:rPr>
          <w:i/>
          <w:szCs w:val="18"/>
        </w:rPr>
        <w:t xml:space="preserve"> </w:t>
      </w:r>
    </w:p>
  </w:footnote>
  <w:footnote w:id="393">
    <w:p w14:paraId="41373C9B" w14:textId="77777777" w:rsidR="00182EED" w:rsidRDefault="00182EED" w:rsidP="008A116C">
      <w:pPr>
        <w:pStyle w:val="FootnoteText"/>
      </w:pPr>
      <w:r w:rsidRPr="00073E38">
        <w:rPr>
          <w:rStyle w:val="FootnoteReference"/>
        </w:rPr>
        <w:footnoteRef/>
      </w:r>
      <w:r>
        <w:t xml:space="preserve"> </w:t>
      </w:r>
      <w:r w:rsidRPr="00B14FA4">
        <w:rPr>
          <w:lang w:val="en-US"/>
        </w:rPr>
        <w:t xml:space="preserve">Chase, </w:t>
      </w:r>
      <w:r w:rsidRPr="00B14FA4">
        <w:rPr>
          <w:i/>
          <w:iCs/>
          <w:lang w:val="en-US"/>
        </w:rPr>
        <w:t>Angelic Spirituality</w:t>
      </w:r>
      <w:r w:rsidRPr="00B14FA4">
        <w:rPr>
          <w:lang w:val="en-US"/>
        </w:rPr>
        <w:t>, 61.</w:t>
      </w:r>
    </w:p>
  </w:footnote>
  <w:footnote w:id="394">
    <w:p w14:paraId="7F1CE34B" w14:textId="77777777" w:rsidR="00182EED" w:rsidRDefault="00182EED" w:rsidP="008A116C">
      <w:pPr>
        <w:pStyle w:val="FootnoteText"/>
      </w:pPr>
      <w:r w:rsidRPr="00073E38">
        <w:rPr>
          <w:rStyle w:val="FootnoteReference"/>
        </w:rPr>
        <w:footnoteRef/>
      </w:r>
      <w:r>
        <w:t xml:space="preserve"> </w:t>
      </w:r>
      <w:r w:rsidRPr="00B14FA4">
        <w:rPr>
          <w:lang w:val="en-US"/>
        </w:rPr>
        <w:t>Amy Gillette, “Depicting the Sound of Silence: Angels’ Music and ‘</w:t>
      </w:r>
      <w:proofErr w:type="spellStart"/>
      <w:r w:rsidRPr="00B14FA4">
        <w:rPr>
          <w:lang w:val="en-US"/>
        </w:rPr>
        <w:t>Angelization</w:t>
      </w:r>
      <w:proofErr w:type="spellEnd"/>
      <w:r w:rsidRPr="00B14FA4">
        <w:rPr>
          <w:lang w:val="en-US"/>
        </w:rPr>
        <w:t xml:space="preserve">’ in Medieval Sacred Art,” </w:t>
      </w:r>
      <w:r w:rsidRPr="00B14FA4">
        <w:rPr>
          <w:i/>
          <w:iCs/>
          <w:lang w:val="en-US"/>
        </w:rPr>
        <w:t xml:space="preserve">Imago </w:t>
      </w:r>
      <w:proofErr w:type="spellStart"/>
      <w:r w:rsidRPr="00B14FA4">
        <w:rPr>
          <w:i/>
          <w:iCs/>
          <w:lang w:val="en-US"/>
        </w:rPr>
        <w:t>Musicae</w:t>
      </w:r>
      <w:proofErr w:type="spellEnd"/>
      <w:r w:rsidRPr="00B14FA4">
        <w:rPr>
          <w:lang w:val="en-US"/>
        </w:rPr>
        <w:t xml:space="preserve"> XXVII (2015): 104.</w:t>
      </w:r>
    </w:p>
  </w:footnote>
  <w:footnote w:id="395">
    <w:p w14:paraId="12489E0C" w14:textId="77777777" w:rsidR="00182EED" w:rsidRDefault="00182EED" w:rsidP="008A116C">
      <w:pPr>
        <w:pStyle w:val="FootnoteText"/>
      </w:pPr>
      <w:r w:rsidRPr="00073E38">
        <w:rPr>
          <w:rStyle w:val="FootnoteReference"/>
        </w:rPr>
        <w:footnoteRef/>
      </w:r>
      <w:r>
        <w:t xml:space="preserve"> </w:t>
      </w:r>
      <w:r w:rsidRPr="00B14FA4">
        <w:rPr>
          <w:lang w:val="en-US"/>
        </w:rPr>
        <w:t xml:space="preserve">Ibid., 109; The inspirational role of musical angels appearing in Marian paintings is also mentioned by Katherine Powers, see Powers, “Marco </w:t>
      </w:r>
      <w:proofErr w:type="spellStart"/>
      <w:r w:rsidRPr="00B14FA4">
        <w:rPr>
          <w:lang w:val="en-US"/>
        </w:rPr>
        <w:t>Palmezzano’s</w:t>
      </w:r>
      <w:proofErr w:type="spellEnd"/>
      <w:r w:rsidRPr="00B14FA4">
        <w:rPr>
          <w:lang w:val="en-US"/>
        </w:rPr>
        <w:t xml:space="preserve"> Music-Making Angels,” 146; Powers, “Music-Making Angels in Italian Renaissance Painting,” 61.</w:t>
      </w:r>
    </w:p>
  </w:footnote>
  <w:footnote w:id="396">
    <w:p w14:paraId="06E3F81F" w14:textId="77777777" w:rsidR="00182EED" w:rsidRDefault="00182EED" w:rsidP="008A116C">
      <w:pPr>
        <w:pStyle w:val="FootnoteText"/>
      </w:pPr>
      <w:r w:rsidRPr="00073E38">
        <w:rPr>
          <w:rStyle w:val="FootnoteReference"/>
        </w:rPr>
        <w:footnoteRef/>
      </w:r>
      <w:r>
        <w:t xml:space="preserve"> </w:t>
      </w:r>
      <w:r w:rsidRPr="00B14FA4">
        <w:rPr>
          <w:lang w:val="en-US"/>
        </w:rPr>
        <w:t xml:space="preserve">See especially Blake Wilson, </w:t>
      </w:r>
      <w:r w:rsidRPr="00B14FA4">
        <w:rPr>
          <w:i/>
          <w:iCs/>
          <w:lang w:val="en-US"/>
        </w:rPr>
        <w:t xml:space="preserve">Music and Merchants: The </w:t>
      </w:r>
      <w:proofErr w:type="spellStart"/>
      <w:r w:rsidRPr="00B14FA4">
        <w:rPr>
          <w:i/>
          <w:iCs/>
          <w:lang w:val="en-US"/>
        </w:rPr>
        <w:t>Laudesi</w:t>
      </w:r>
      <w:proofErr w:type="spellEnd"/>
      <w:r w:rsidRPr="00B14FA4">
        <w:rPr>
          <w:i/>
          <w:iCs/>
          <w:lang w:val="en-US"/>
        </w:rPr>
        <w:t xml:space="preserve"> Companies of Republican Florence</w:t>
      </w:r>
      <w:r w:rsidRPr="00B14FA4">
        <w:rPr>
          <w:lang w:val="en-US"/>
        </w:rPr>
        <w:t xml:space="preserve"> (New York: Oxford University Press, 1992).</w:t>
      </w:r>
    </w:p>
  </w:footnote>
  <w:footnote w:id="397">
    <w:p w14:paraId="72B274DB" w14:textId="77777777" w:rsidR="00182EED" w:rsidRDefault="00182EED" w:rsidP="008A116C">
      <w:pPr>
        <w:pStyle w:val="FootnoteText"/>
      </w:pPr>
      <w:r w:rsidRPr="00073E38">
        <w:rPr>
          <w:rStyle w:val="FootnoteReference"/>
        </w:rPr>
        <w:footnoteRef/>
      </w:r>
      <w:r>
        <w:t xml:space="preserve"> </w:t>
      </w:r>
      <w:r>
        <w:rPr>
          <w:lang w:val="en-US"/>
        </w:rPr>
        <w:t>Quoted</w:t>
      </w:r>
      <w:r w:rsidRPr="00B14FA4">
        <w:rPr>
          <w:lang w:val="en-US"/>
        </w:rPr>
        <w:t xml:space="preserve"> in Bonnie J. Blackburn, “</w:t>
      </w:r>
      <w:proofErr w:type="spellStart"/>
      <w:r w:rsidRPr="00B14FA4">
        <w:rPr>
          <w:i/>
          <w:iCs/>
          <w:lang w:val="en-US"/>
        </w:rPr>
        <w:t>Te</w:t>
      </w:r>
      <w:proofErr w:type="spellEnd"/>
      <w:r w:rsidRPr="00B14FA4">
        <w:rPr>
          <w:i/>
          <w:iCs/>
          <w:lang w:val="en-US"/>
        </w:rPr>
        <w:t xml:space="preserve"> </w:t>
      </w:r>
      <w:proofErr w:type="spellStart"/>
      <w:r w:rsidRPr="00B14FA4">
        <w:rPr>
          <w:i/>
          <w:iCs/>
          <w:lang w:val="en-US"/>
        </w:rPr>
        <w:t>Matrem</w:t>
      </w:r>
      <w:proofErr w:type="spellEnd"/>
      <w:r w:rsidRPr="00B14FA4">
        <w:rPr>
          <w:i/>
          <w:iCs/>
          <w:lang w:val="en-US"/>
        </w:rPr>
        <w:t xml:space="preserve"> Dei </w:t>
      </w:r>
      <w:proofErr w:type="spellStart"/>
      <w:r w:rsidRPr="00B14FA4">
        <w:rPr>
          <w:i/>
          <w:iCs/>
          <w:lang w:val="en-US"/>
        </w:rPr>
        <w:t>Laudamus</w:t>
      </w:r>
      <w:proofErr w:type="spellEnd"/>
      <w:r w:rsidRPr="00B14FA4">
        <w:rPr>
          <w:lang w:val="en-US"/>
        </w:rPr>
        <w:t xml:space="preserve">: A Study in the Musical Veneration of Mary,” </w:t>
      </w:r>
      <w:r w:rsidRPr="00B14FA4">
        <w:rPr>
          <w:i/>
          <w:iCs/>
          <w:lang w:val="en-US"/>
        </w:rPr>
        <w:t>The Musical Quarterly</w:t>
      </w:r>
      <w:r w:rsidRPr="00B14FA4">
        <w:rPr>
          <w:lang w:val="en-US"/>
        </w:rPr>
        <w:t xml:space="preserve"> 53, no. 1 (1967): 53–76; also quoted in Powers, “The Lira </w:t>
      </w:r>
      <w:r w:rsidRPr="00B14FA4">
        <w:rPr>
          <w:lang w:val="en-US"/>
        </w:rPr>
        <w:t>Da Braccio in the Angel’s Hands in Italian Renaissance Madonna Enthroned Paintings,” 26.</w:t>
      </w:r>
    </w:p>
  </w:footnote>
  <w:footnote w:id="398">
    <w:p w14:paraId="4339ED38" w14:textId="77777777" w:rsidR="00182EED" w:rsidRDefault="00182EED" w:rsidP="008A116C">
      <w:pPr>
        <w:pStyle w:val="FootnoteText"/>
      </w:pPr>
      <w:r w:rsidRPr="00073E38">
        <w:rPr>
          <w:rStyle w:val="FootnoteReference"/>
        </w:rPr>
        <w:footnoteRef/>
      </w:r>
      <w:r>
        <w:t xml:space="preserve"> </w:t>
      </w:r>
      <w:r w:rsidRPr="00ED769A">
        <w:rPr>
          <w:lang w:val="en-US"/>
        </w:rPr>
        <w:t xml:space="preserve">“Per </w:t>
      </w:r>
      <w:proofErr w:type="spellStart"/>
      <w:r w:rsidRPr="00ED769A">
        <w:rPr>
          <w:lang w:val="en-US"/>
        </w:rPr>
        <w:t>te</w:t>
      </w:r>
      <w:proofErr w:type="spellEnd"/>
      <w:r w:rsidRPr="00ED769A">
        <w:rPr>
          <w:lang w:val="en-US"/>
        </w:rPr>
        <w:t xml:space="preserve"> el </w:t>
      </w:r>
      <w:proofErr w:type="spellStart"/>
      <w:r w:rsidRPr="00ED769A">
        <w:rPr>
          <w:lang w:val="en-US"/>
        </w:rPr>
        <w:t>chor</w:t>
      </w:r>
      <w:proofErr w:type="spellEnd"/>
      <w:r w:rsidRPr="00ED769A">
        <w:rPr>
          <w:lang w:val="en-US"/>
        </w:rPr>
        <w:t xml:space="preserve"> de li </w:t>
      </w:r>
      <w:proofErr w:type="spellStart"/>
      <w:r w:rsidRPr="00ED769A">
        <w:rPr>
          <w:lang w:val="en-US"/>
        </w:rPr>
        <w:t>anzoli</w:t>
      </w:r>
      <w:proofErr w:type="spellEnd"/>
      <w:r w:rsidRPr="00ED769A">
        <w:rPr>
          <w:lang w:val="en-US"/>
        </w:rPr>
        <w:t xml:space="preserve"> </w:t>
      </w:r>
      <w:proofErr w:type="spellStart"/>
      <w:r w:rsidRPr="00ED769A">
        <w:rPr>
          <w:lang w:val="en-US"/>
        </w:rPr>
        <w:t>canta</w:t>
      </w:r>
      <w:proofErr w:type="spellEnd"/>
      <w:r w:rsidRPr="00ED769A">
        <w:rPr>
          <w:lang w:val="en-US"/>
        </w:rPr>
        <w:t xml:space="preserve">: Ave </w:t>
      </w:r>
      <w:proofErr w:type="spellStart"/>
      <w:r w:rsidRPr="00ED769A">
        <w:rPr>
          <w:lang w:val="en-US"/>
        </w:rPr>
        <w:t>stella</w:t>
      </w:r>
      <w:proofErr w:type="spellEnd"/>
      <w:r w:rsidRPr="00ED769A">
        <w:rPr>
          <w:lang w:val="en-US"/>
        </w:rPr>
        <w:t xml:space="preserve"> </w:t>
      </w:r>
      <w:proofErr w:type="spellStart"/>
      <w:r w:rsidRPr="00ED769A">
        <w:rPr>
          <w:lang w:val="en-US"/>
        </w:rPr>
        <w:t>matutina</w:t>
      </w:r>
      <w:proofErr w:type="spellEnd"/>
      <w:r w:rsidRPr="00ED769A">
        <w:rPr>
          <w:lang w:val="en-US"/>
        </w:rPr>
        <w:t xml:space="preserve">!” Quoted in Powers, “The Lira </w:t>
      </w:r>
      <w:r w:rsidRPr="00ED769A">
        <w:rPr>
          <w:lang w:val="en-US"/>
        </w:rPr>
        <w:t>Da Braccio in the Angel’s Hands in Italian Renaissance Madonna Enthroned Paintings,” 26.</w:t>
      </w:r>
    </w:p>
  </w:footnote>
  <w:footnote w:id="399">
    <w:p w14:paraId="204E5A55" w14:textId="77777777" w:rsidR="00182EED" w:rsidRDefault="00182EED" w:rsidP="008A116C">
      <w:pPr>
        <w:pStyle w:val="FootnoteText"/>
      </w:pPr>
      <w:r w:rsidRPr="00073E38">
        <w:rPr>
          <w:rStyle w:val="FootnoteReference"/>
        </w:rPr>
        <w:footnoteRef/>
      </w:r>
      <w:r>
        <w:t xml:space="preserve"> </w:t>
      </w:r>
      <w:r w:rsidRPr="00976DF6">
        <w:rPr>
          <w:lang w:val="en-US"/>
        </w:rPr>
        <w:t xml:space="preserve">Letter from </w:t>
      </w:r>
      <w:proofErr w:type="spellStart"/>
      <w:r w:rsidRPr="00976DF6">
        <w:rPr>
          <w:lang w:val="en-US"/>
        </w:rPr>
        <w:t>Sigismondo</w:t>
      </w:r>
      <w:proofErr w:type="spellEnd"/>
      <w:r w:rsidRPr="00976DF6">
        <w:rPr>
          <w:lang w:val="en-US"/>
        </w:rPr>
        <w:t xml:space="preserve"> Gonzaga to Francesco Gonzaga quoted in original and English translation in William F. </w:t>
      </w:r>
      <w:proofErr w:type="spellStart"/>
      <w:r w:rsidRPr="00976DF6">
        <w:rPr>
          <w:lang w:val="en-US"/>
        </w:rPr>
        <w:t>Prizer</w:t>
      </w:r>
      <w:proofErr w:type="spellEnd"/>
      <w:r w:rsidRPr="00976DF6">
        <w:rPr>
          <w:lang w:val="en-US"/>
        </w:rPr>
        <w:t xml:space="preserve">, “Laude Di </w:t>
      </w:r>
      <w:proofErr w:type="spellStart"/>
      <w:r w:rsidRPr="00976DF6">
        <w:rPr>
          <w:lang w:val="en-US"/>
        </w:rPr>
        <w:t>Popolo</w:t>
      </w:r>
      <w:proofErr w:type="spellEnd"/>
      <w:r w:rsidRPr="00976DF6">
        <w:rPr>
          <w:lang w:val="en-US"/>
        </w:rPr>
        <w:t xml:space="preserve">, Laude Di Corte: Some Thoughts on the Style and Function of the Renaissance Lauda,” in </w:t>
      </w:r>
      <w:r w:rsidRPr="00976DF6">
        <w:rPr>
          <w:i/>
          <w:iCs/>
          <w:lang w:val="en-US"/>
        </w:rPr>
        <w:t xml:space="preserve">La </w:t>
      </w:r>
      <w:proofErr w:type="spellStart"/>
      <w:r w:rsidRPr="00976DF6">
        <w:rPr>
          <w:i/>
          <w:iCs/>
          <w:lang w:val="en-US"/>
        </w:rPr>
        <w:t>Musica</w:t>
      </w:r>
      <w:proofErr w:type="spellEnd"/>
      <w:r w:rsidRPr="00976DF6">
        <w:rPr>
          <w:i/>
          <w:iCs/>
          <w:lang w:val="en-US"/>
        </w:rPr>
        <w:t xml:space="preserve"> a Firenze Al Tempo Di Lorenzo de Medici</w:t>
      </w:r>
      <w:r w:rsidRPr="00976DF6">
        <w:rPr>
          <w:lang w:val="en-US"/>
        </w:rPr>
        <w:t xml:space="preserve">, ed. Piero Gargiulo (Florence: Leo S. </w:t>
      </w:r>
      <w:proofErr w:type="spellStart"/>
      <w:r w:rsidRPr="00976DF6">
        <w:rPr>
          <w:lang w:val="en-US"/>
        </w:rPr>
        <w:t>Olschki</w:t>
      </w:r>
      <w:proofErr w:type="spellEnd"/>
      <w:r w:rsidRPr="00976DF6">
        <w:rPr>
          <w:lang w:val="en-US"/>
        </w:rPr>
        <w:t xml:space="preserve">, 1993), 190; also quoted in Powers, “The Lira Da Braccio in the Angel’s Hands in Italian Renaissance Madonna Enthroned Paintings,” 26; see also Keck, </w:t>
      </w:r>
      <w:r w:rsidRPr="00976DF6">
        <w:rPr>
          <w:i/>
          <w:iCs/>
          <w:lang w:val="en-US"/>
        </w:rPr>
        <w:t>Angels and Angelology in the Middle Ages</w:t>
      </w:r>
      <w:r w:rsidRPr="00976DF6">
        <w:rPr>
          <w:lang w:val="en-US"/>
        </w:rPr>
        <w:t>, 184–85.</w:t>
      </w:r>
    </w:p>
  </w:footnote>
  <w:footnote w:id="400">
    <w:p w14:paraId="78EC3250" w14:textId="77777777" w:rsidR="00182EED" w:rsidRDefault="00182EED" w:rsidP="008A116C">
      <w:pPr>
        <w:pStyle w:val="FootnoteText"/>
      </w:pPr>
      <w:r w:rsidRPr="00073E38">
        <w:rPr>
          <w:rStyle w:val="FootnoteReference"/>
        </w:rPr>
        <w:footnoteRef/>
      </w:r>
      <w:r>
        <w:t xml:space="preserve"> </w:t>
      </w:r>
      <w:r w:rsidRPr="00976DF6">
        <w:rPr>
          <w:lang w:val="en-US"/>
        </w:rPr>
        <w:t xml:space="preserve">The earliest </w:t>
      </w:r>
      <w:proofErr w:type="spellStart"/>
      <w:r w:rsidRPr="00976DF6">
        <w:rPr>
          <w:lang w:val="en-US"/>
        </w:rPr>
        <w:t>Laudesi</w:t>
      </w:r>
      <w:proofErr w:type="spellEnd"/>
      <w:r w:rsidRPr="00976DF6">
        <w:rPr>
          <w:lang w:val="en-US"/>
        </w:rPr>
        <w:t xml:space="preserve"> company was founded in Siena in 1267. See Grange, </w:t>
      </w:r>
      <w:r w:rsidRPr="00976DF6">
        <w:rPr>
          <w:i/>
          <w:iCs/>
          <w:lang w:val="en-US"/>
        </w:rPr>
        <w:t>Giovanni Bellini: Music, Art and Venice</w:t>
      </w:r>
      <w:r w:rsidRPr="00976DF6">
        <w:rPr>
          <w:lang w:val="en-US"/>
        </w:rPr>
        <w:t>, 141–42.</w:t>
      </w:r>
    </w:p>
  </w:footnote>
  <w:footnote w:id="401">
    <w:p w14:paraId="18531330" w14:textId="77777777" w:rsidR="00182EED" w:rsidRDefault="00182EED" w:rsidP="008A116C">
      <w:pPr>
        <w:pStyle w:val="FootnoteText"/>
      </w:pPr>
      <w:r w:rsidRPr="00073E38">
        <w:rPr>
          <w:rStyle w:val="FootnoteReference"/>
        </w:rPr>
        <w:footnoteRef/>
      </w:r>
      <w:r>
        <w:t xml:space="preserve"> </w:t>
      </w:r>
      <w:r w:rsidRPr="00976DF6">
        <w:rPr>
          <w:lang w:val="en-US"/>
        </w:rPr>
        <w:t>Ibid.; see also Gillette, “Depicting the Sound of Silence,” 111.</w:t>
      </w:r>
    </w:p>
  </w:footnote>
  <w:footnote w:id="402">
    <w:p w14:paraId="4613D01C" w14:textId="77777777" w:rsidR="00182EED" w:rsidRDefault="00182EED" w:rsidP="008A116C">
      <w:pPr>
        <w:pStyle w:val="FootnoteText"/>
      </w:pPr>
      <w:r w:rsidRPr="00073E38">
        <w:rPr>
          <w:rStyle w:val="FootnoteReference"/>
        </w:rPr>
        <w:footnoteRef/>
      </w:r>
      <w:r>
        <w:t xml:space="preserve"> </w:t>
      </w:r>
      <w:r w:rsidRPr="00976DF6">
        <w:rPr>
          <w:lang w:val="en-US"/>
        </w:rPr>
        <w:t xml:space="preserve">Gillette, “Depicting the Sound of Silence,” 111; The practice of making music and kneeling to worship the Virgin is documented for example for the </w:t>
      </w:r>
      <w:proofErr w:type="spellStart"/>
      <w:r w:rsidRPr="00976DF6">
        <w:rPr>
          <w:lang w:val="en-US"/>
        </w:rPr>
        <w:t>Orsanmichele’s</w:t>
      </w:r>
      <w:proofErr w:type="spellEnd"/>
      <w:r w:rsidRPr="00976DF6">
        <w:rPr>
          <w:lang w:val="en-US"/>
        </w:rPr>
        <w:t xml:space="preserve"> company. See Blake Wilson, “If Monuments Could Sing: Image, Song, and Civic Devotion inside </w:t>
      </w:r>
      <w:proofErr w:type="spellStart"/>
      <w:r w:rsidRPr="00976DF6">
        <w:rPr>
          <w:lang w:val="en-US"/>
        </w:rPr>
        <w:t>Orsanmichele</w:t>
      </w:r>
      <w:proofErr w:type="spellEnd"/>
      <w:r w:rsidRPr="00976DF6">
        <w:rPr>
          <w:lang w:val="en-US"/>
        </w:rPr>
        <w:t xml:space="preserve">,” ed. Carl </w:t>
      </w:r>
      <w:proofErr w:type="spellStart"/>
      <w:r w:rsidRPr="00976DF6">
        <w:rPr>
          <w:lang w:val="en-US"/>
        </w:rPr>
        <w:t>Strehke</w:t>
      </w:r>
      <w:proofErr w:type="spellEnd"/>
      <w:r w:rsidRPr="00976DF6">
        <w:rPr>
          <w:lang w:val="en-US"/>
        </w:rPr>
        <w:t xml:space="preserve">, </w:t>
      </w:r>
      <w:r w:rsidRPr="00976DF6">
        <w:rPr>
          <w:i/>
          <w:iCs/>
          <w:lang w:val="en-US"/>
        </w:rPr>
        <w:t xml:space="preserve">Studies in the History of Art 76: Symposium Papers LIII: </w:t>
      </w:r>
      <w:proofErr w:type="spellStart"/>
      <w:r w:rsidRPr="00976DF6">
        <w:rPr>
          <w:i/>
          <w:iCs/>
          <w:lang w:val="en-US"/>
        </w:rPr>
        <w:t>Orsanmichele</w:t>
      </w:r>
      <w:proofErr w:type="spellEnd"/>
      <w:r w:rsidRPr="00976DF6">
        <w:rPr>
          <w:i/>
          <w:iCs/>
          <w:lang w:val="en-US"/>
        </w:rPr>
        <w:t xml:space="preserve"> and the History and Preservation of the Civic Monument</w:t>
      </w:r>
      <w:r w:rsidRPr="00976DF6">
        <w:rPr>
          <w:lang w:val="en-US"/>
        </w:rPr>
        <w:t>, 2012, 155, n. 64.</w:t>
      </w:r>
    </w:p>
  </w:footnote>
  <w:footnote w:id="403">
    <w:p w14:paraId="01239A71" w14:textId="77777777" w:rsidR="00182EED" w:rsidRDefault="00182EED" w:rsidP="008A116C">
      <w:pPr>
        <w:pStyle w:val="FootnoteText"/>
      </w:pPr>
      <w:r w:rsidRPr="00073E38">
        <w:rPr>
          <w:rStyle w:val="FootnoteReference"/>
        </w:rPr>
        <w:footnoteRef/>
      </w:r>
      <w:r>
        <w:t xml:space="preserve"> </w:t>
      </w:r>
      <w:r w:rsidRPr="007B7FCC">
        <w:rPr>
          <w:lang w:val="en-US"/>
        </w:rPr>
        <w:t xml:space="preserve">Franco </w:t>
      </w:r>
      <w:proofErr w:type="spellStart"/>
      <w:r w:rsidRPr="007B7FCC">
        <w:rPr>
          <w:lang w:val="en-US"/>
        </w:rPr>
        <w:t>Sacchetti’s</w:t>
      </w:r>
      <w:proofErr w:type="spellEnd"/>
      <w:r w:rsidRPr="007B7FCC">
        <w:rPr>
          <w:lang w:val="en-US"/>
        </w:rPr>
        <w:t xml:space="preserve"> plans are outlined in his poem </w:t>
      </w:r>
      <w:proofErr w:type="spellStart"/>
      <w:r w:rsidRPr="007B7FCC">
        <w:rPr>
          <w:i/>
          <w:iCs/>
          <w:lang w:val="en-US"/>
        </w:rPr>
        <w:t>Capitolo</w:t>
      </w:r>
      <w:proofErr w:type="spellEnd"/>
      <w:r w:rsidRPr="007B7FCC">
        <w:rPr>
          <w:i/>
          <w:iCs/>
          <w:lang w:val="en-US"/>
        </w:rPr>
        <w:t xml:space="preserve"> </w:t>
      </w:r>
      <w:proofErr w:type="spellStart"/>
      <w:r w:rsidRPr="007B7FCC">
        <w:rPr>
          <w:i/>
          <w:iCs/>
          <w:lang w:val="en-US"/>
        </w:rPr>
        <w:t>dei</w:t>
      </w:r>
      <w:proofErr w:type="spellEnd"/>
      <w:r w:rsidRPr="007B7FCC">
        <w:rPr>
          <w:i/>
          <w:iCs/>
          <w:lang w:val="en-US"/>
        </w:rPr>
        <w:t xml:space="preserve"> Bianchi</w:t>
      </w:r>
      <w:r w:rsidRPr="007B7FCC">
        <w:rPr>
          <w:lang w:val="en-US"/>
        </w:rPr>
        <w:t xml:space="preserve"> (1400). Quoted in Brown, “Trecento Angels and the Instruments They Play,” 113.</w:t>
      </w:r>
    </w:p>
  </w:footnote>
  <w:footnote w:id="404">
    <w:p w14:paraId="4DE8937A" w14:textId="77777777" w:rsidR="00182EED" w:rsidRDefault="00182EED" w:rsidP="008A116C">
      <w:pPr>
        <w:pStyle w:val="FootnoteText"/>
      </w:pPr>
      <w:r w:rsidRPr="00073E38">
        <w:rPr>
          <w:rStyle w:val="FootnoteReference"/>
        </w:rPr>
        <w:footnoteRef/>
      </w:r>
      <w:r>
        <w:t xml:space="preserve"> </w:t>
      </w:r>
      <w:r w:rsidRPr="007B7FCC">
        <w:rPr>
          <w:lang w:val="en-US"/>
        </w:rPr>
        <w:t xml:space="preserve">Grange, </w:t>
      </w:r>
      <w:r w:rsidRPr="007B7FCC">
        <w:rPr>
          <w:i/>
          <w:iCs/>
          <w:lang w:val="en-US"/>
        </w:rPr>
        <w:t>Giovanni Bellini: Music, Art and Venice</w:t>
      </w:r>
      <w:r w:rsidRPr="007B7FCC">
        <w:rPr>
          <w:lang w:val="en-US"/>
        </w:rPr>
        <w:t>, 142–43.</w:t>
      </w:r>
    </w:p>
  </w:footnote>
  <w:footnote w:id="405">
    <w:p w14:paraId="6E6E9286" w14:textId="77777777" w:rsidR="00182EED" w:rsidRDefault="00182EED" w:rsidP="008A116C">
      <w:pPr>
        <w:pStyle w:val="FootnoteText"/>
      </w:pPr>
      <w:r w:rsidRPr="00073E38">
        <w:rPr>
          <w:rStyle w:val="FootnoteReference"/>
        </w:rPr>
        <w:footnoteRef/>
      </w:r>
      <w:r>
        <w:t xml:space="preserve"> </w:t>
      </w:r>
      <w:r w:rsidRPr="007B7FCC">
        <w:rPr>
          <w:lang w:val="en-US"/>
        </w:rPr>
        <w:t xml:space="preserve">Powers, “The Lira </w:t>
      </w:r>
      <w:r w:rsidRPr="007B7FCC">
        <w:rPr>
          <w:lang w:val="en-US"/>
        </w:rPr>
        <w:t>Da Braccio in the Angel’s Hands in Italian Renaissance Madonna Enthroned Paintings,” 26.</w:t>
      </w:r>
    </w:p>
  </w:footnote>
  <w:footnote w:id="406">
    <w:p w14:paraId="22F816DE" w14:textId="77777777" w:rsidR="00182EED" w:rsidRDefault="00182EED" w:rsidP="008A116C">
      <w:pPr>
        <w:pStyle w:val="FootnoteText"/>
      </w:pPr>
      <w:r w:rsidRPr="00073E38">
        <w:rPr>
          <w:rStyle w:val="FootnoteReference"/>
        </w:rPr>
        <w:footnoteRef/>
      </w:r>
      <w:r>
        <w:t xml:space="preserve"> </w:t>
      </w:r>
      <w:r w:rsidRPr="00ED769A">
        <w:rPr>
          <w:lang w:val="en-US"/>
        </w:rPr>
        <w:t>“</w:t>
      </w:r>
      <w:proofErr w:type="spellStart"/>
      <w:r w:rsidRPr="00ED769A">
        <w:rPr>
          <w:lang w:val="en-US"/>
        </w:rPr>
        <w:t>Actores</w:t>
      </w:r>
      <w:proofErr w:type="spellEnd"/>
      <w:r w:rsidRPr="00ED769A">
        <w:rPr>
          <w:lang w:val="en-US"/>
        </w:rPr>
        <w:t xml:space="preserve"> et </w:t>
      </w:r>
      <w:proofErr w:type="spellStart"/>
      <w:r w:rsidRPr="00ED769A">
        <w:rPr>
          <w:lang w:val="en-US"/>
        </w:rPr>
        <w:t>tutores</w:t>
      </w:r>
      <w:proofErr w:type="spellEnd"/>
      <w:r w:rsidRPr="00ED769A">
        <w:rPr>
          <w:lang w:val="en-US"/>
        </w:rPr>
        <w:t xml:space="preserve"> a </w:t>
      </w:r>
      <w:proofErr w:type="spellStart"/>
      <w:r w:rsidRPr="00ED769A">
        <w:rPr>
          <w:lang w:val="en-US"/>
        </w:rPr>
        <w:t>Patre</w:t>
      </w:r>
      <w:proofErr w:type="spellEnd"/>
      <w:r w:rsidRPr="00ED769A">
        <w:rPr>
          <w:lang w:val="en-US"/>
        </w:rPr>
        <w:t xml:space="preserve"> </w:t>
      </w:r>
      <w:proofErr w:type="spellStart"/>
      <w:r w:rsidRPr="00ED769A">
        <w:rPr>
          <w:lang w:val="en-US"/>
        </w:rPr>
        <w:t>positos</w:t>
      </w:r>
      <w:proofErr w:type="spellEnd"/>
      <w:r w:rsidRPr="00ED769A">
        <w:rPr>
          <w:lang w:val="en-US"/>
        </w:rPr>
        <w:t xml:space="preserve">, et </w:t>
      </w:r>
      <w:proofErr w:type="spellStart"/>
      <w:r w:rsidRPr="00ED769A">
        <w:rPr>
          <w:lang w:val="en-US"/>
        </w:rPr>
        <w:t>praepositos</w:t>
      </w:r>
      <w:proofErr w:type="spellEnd"/>
      <w:r w:rsidRPr="00ED769A">
        <w:rPr>
          <w:lang w:val="en-US"/>
        </w:rPr>
        <w:t xml:space="preserve"> nobis. Nunc </w:t>
      </w:r>
      <w:proofErr w:type="spellStart"/>
      <w:r w:rsidRPr="00ED769A">
        <w:rPr>
          <w:lang w:val="en-US"/>
        </w:rPr>
        <w:t>enim</w:t>
      </w:r>
      <w:proofErr w:type="spellEnd"/>
      <w:r w:rsidRPr="00ED769A">
        <w:rPr>
          <w:lang w:val="en-US"/>
        </w:rPr>
        <w:t xml:space="preserve"> </w:t>
      </w:r>
      <w:proofErr w:type="spellStart"/>
      <w:r w:rsidRPr="00ED769A">
        <w:rPr>
          <w:lang w:val="en-US"/>
        </w:rPr>
        <w:t>filii</w:t>
      </w:r>
      <w:proofErr w:type="spellEnd"/>
      <w:r w:rsidRPr="00ED769A">
        <w:rPr>
          <w:lang w:val="en-US"/>
        </w:rPr>
        <w:t xml:space="preserve"> Dei </w:t>
      </w:r>
      <w:proofErr w:type="spellStart"/>
      <w:r w:rsidRPr="00ED769A">
        <w:rPr>
          <w:lang w:val="en-US"/>
        </w:rPr>
        <w:t>sumus</w:t>
      </w:r>
      <w:proofErr w:type="spellEnd"/>
      <w:r w:rsidRPr="00ED769A">
        <w:rPr>
          <w:lang w:val="en-US"/>
        </w:rPr>
        <w:t xml:space="preserve">, quod </w:t>
      </w:r>
      <w:proofErr w:type="spellStart"/>
      <w:r w:rsidRPr="00ED769A">
        <w:rPr>
          <w:lang w:val="en-US"/>
        </w:rPr>
        <w:t>adhuc</w:t>
      </w:r>
      <w:proofErr w:type="spellEnd"/>
      <w:r w:rsidRPr="00ED769A">
        <w:rPr>
          <w:lang w:val="en-US"/>
        </w:rPr>
        <w:t xml:space="preserve"> </w:t>
      </w:r>
      <w:proofErr w:type="spellStart"/>
      <w:r w:rsidRPr="00ED769A">
        <w:rPr>
          <w:lang w:val="en-US"/>
        </w:rPr>
        <w:t>parvuli</w:t>
      </w:r>
      <w:proofErr w:type="spellEnd"/>
      <w:r w:rsidRPr="00ED769A">
        <w:rPr>
          <w:lang w:val="en-US"/>
        </w:rPr>
        <w:t xml:space="preserve"> sub </w:t>
      </w:r>
      <w:proofErr w:type="spellStart"/>
      <w:r w:rsidRPr="00ED769A">
        <w:rPr>
          <w:lang w:val="en-US"/>
        </w:rPr>
        <w:t>actoribus</w:t>
      </w:r>
      <w:proofErr w:type="spellEnd"/>
      <w:r w:rsidRPr="00ED769A">
        <w:rPr>
          <w:lang w:val="en-US"/>
        </w:rPr>
        <w:t xml:space="preserve"> et </w:t>
      </w:r>
      <w:proofErr w:type="spellStart"/>
      <w:r w:rsidRPr="00ED769A">
        <w:rPr>
          <w:lang w:val="en-US"/>
        </w:rPr>
        <w:t>tutoribus</w:t>
      </w:r>
      <w:proofErr w:type="spellEnd"/>
      <w:r w:rsidRPr="00ED769A">
        <w:rPr>
          <w:lang w:val="en-US"/>
        </w:rPr>
        <w:t xml:space="preserve"> </w:t>
      </w:r>
      <w:proofErr w:type="spellStart"/>
      <w:r w:rsidRPr="00ED769A">
        <w:rPr>
          <w:lang w:val="en-US"/>
        </w:rPr>
        <w:t>sumus</w:t>
      </w:r>
      <w:proofErr w:type="spellEnd"/>
      <w:r w:rsidRPr="00ED769A">
        <w:rPr>
          <w:lang w:val="en-US"/>
        </w:rPr>
        <w:t xml:space="preserve">” Bernard of Clairvaux (Saint), </w:t>
      </w:r>
      <w:r w:rsidRPr="00ED769A">
        <w:rPr>
          <w:i/>
          <w:iCs/>
          <w:lang w:val="en-US"/>
        </w:rPr>
        <w:t xml:space="preserve">Sermons in </w:t>
      </w:r>
      <w:proofErr w:type="spellStart"/>
      <w:r w:rsidRPr="00ED769A">
        <w:rPr>
          <w:i/>
          <w:iCs/>
          <w:lang w:val="en-US"/>
        </w:rPr>
        <w:t>Psalmum</w:t>
      </w:r>
      <w:proofErr w:type="spellEnd"/>
      <w:r w:rsidRPr="00ED769A">
        <w:rPr>
          <w:i/>
          <w:iCs/>
          <w:lang w:val="en-US"/>
        </w:rPr>
        <w:t xml:space="preserve"> </w:t>
      </w:r>
      <w:r w:rsidRPr="00ED769A">
        <w:rPr>
          <w:lang w:val="en-US"/>
        </w:rPr>
        <w:t xml:space="preserve">Qui Habitat, ed. Jean </w:t>
      </w:r>
      <w:proofErr w:type="spellStart"/>
      <w:r w:rsidRPr="00ED769A">
        <w:rPr>
          <w:lang w:val="en-US"/>
        </w:rPr>
        <w:t>Leclercq</w:t>
      </w:r>
      <w:proofErr w:type="spellEnd"/>
      <w:r w:rsidRPr="00ED769A">
        <w:rPr>
          <w:lang w:val="en-US"/>
        </w:rPr>
        <w:t xml:space="preserve"> and Henri-Marie </w:t>
      </w:r>
      <w:proofErr w:type="spellStart"/>
      <w:r w:rsidRPr="00ED769A">
        <w:rPr>
          <w:lang w:val="en-US"/>
        </w:rPr>
        <w:t>Rochais</w:t>
      </w:r>
      <w:proofErr w:type="spellEnd"/>
      <w:r w:rsidRPr="00ED769A">
        <w:rPr>
          <w:lang w:val="en-US"/>
        </w:rPr>
        <w:t xml:space="preserve">, vol. IV, S. </w:t>
      </w:r>
      <w:proofErr w:type="spellStart"/>
      <w:r w:rsidRPr="00ED769A">
        <w:rPr>
          <w:lang w:val="en-US"/>
        </w:rPr>
        <w:t>Bernardi</w:t>
      </w:r>
      <w:proofErr w:type="spellEnd"/>
      <w:r w:rsidRPr="00ED769A">
        <w:rPr>
          <w:lang w:val="en-US"/>
        </w:rPr>
        <w:t xml:space="preserve"> Opera (Rome: </w:t>
      </w:r>
      <w:proofErr w:type="spellStart"/>
      <w:r w:rsidRPr="00ED769A">
        <w:rPr>
          <w:lang w:val="en-US"/>
        </w:rPr>
        <w:t>Editiones</w:t>
      </w:r>
      <w:proofErr w:type="spellEnd"/>
      <w:r w:rsidRPr="00ED769A">
        <w:rPr>
          <w:lang w:val="en-US"/>
        </w:rPr>
        <w:t xml:space="preserve"> </w:t>
      </w:r>
      <w:proofErr w:type="spellStart"/>
      <w:r w:rsidRPr="00ED769A">
        <w:rPr>
          <w:lang w:val="en-US"/>
        </w:rPr>
        <w:t>Cistercienses</w:t>
      </w:r>
      <w:proofErr w:type="spellEnd"/>
      <w:r w:rsidRPr="00ED769A">
        <w:rPr>
          <w:lang w:val="en-US"/>
        </w:rPr>
        <w:t xml:space="preserve">, 1966), Sermon 12.7; Chase, </w:t>
      </w:r>
      <w:r w:rsidRPr="00ED769A">
        <w:rPr>
          <w:i/>
          <w:iCs/>
          <w:lang w:val="en-US"/>
        </w:rPr>
        <w:t>Angelic Spirituality</w:t>
      </w:r>
      <w:r w:rsidRPr="00ED769A">
        <w:rPr>
          <w:lang w:val="en-US"/>
        </w:rPr>
        <w:t>, 55 and 118.</w:t>
      </w:r>
    </w:p>
  </w:footnote>
  <w:footnote w:id="407">
    <w:p w14:paraId="2292039D" w14:textId="77777777" w:rsidR="00182EED" w:rsidRDefault="00182EED" w:rsidP="008A116C">
      <w:pPr>
        <w:pStyle w:val="FootnoteText"/>
      </w:pPr>
      <w:r w:rsidRPr="00073E38">
        <w:rPr>
          <w:rStyle w:val="FootnoteReference"/>
        </w:rPr>
        <w:footnoteRef/>
      </w:r>
      <w:r>
        <w:t xml:space="preserve"> </w:t>
      </w:r>
      <w:r w:rsidRPr="00ED769A">
        <w:rPr>
          <w:lang w:val="en-US"/>
        </w:rPr>
        <w:t>“</w:t>
      </w:r>
      <w:proofErr w:type="spellStart"/>
      <w:r w:rsidRPr="00ED769A">
        <w:rPr>
          <w:lang w:val="en-US"/>
        </w:rPr>
        <w:t>Surgit</w:t>
      </w:r>
      <w:proofErr w:type="spellEnd"/>
      <w:r w:rsidRPr="00ED769A">
        <w:rPr>
          <w:lang w:val="en-US"/>
        </w:rPr>
        <w:t xml:space="preserve"> </w:t>
      </w:r>
      <w:proofErr w:type="spellStart"/>
      <w:r w:rsidRPr="00ED769A">
        <w:rPr>
          <w:lang w:val="en-US"/>
        </w:rPr>
        <w:t>enim</w:t>
      </w:r>
      <w:proofErr w:type="spellEnd"/>
      <w:r w:rsidRPr="00ED769A">
        <w:rPr>
          <w:lang w:val="en-US"/>
        </w:rPr>
        <w:t xml:space="preserve"> cum </w:t>
      </w:r>
      <w:proofErr w:type="spellStart"/>
      <w:r w:rsidRPr="00ED769A">
        <w:rPr>
          <w:lang w:val="en-US"/>
        </w:rPr>
        <w:t>nos</w:t>
      </w:r>
      <w:proofErr w:type="spellEnd"/>
      <w:r w:rsidRPr="00ED769A">
        <w:rPr>
          <w:lang w:val="en-US"/>
        </w:rPr>
        <w:t xml:space="preserve"> </w:t>
      </w:r>
      <w:proofErr w:type="spellStart"/>
      <w:r w:rsidRPr="00ED769A">
        <w:rPr>
          <w:lang w:val="en-US"/>
        </w:rPr>
        <w:t>erigit</w:t>
      </w:r>
      <w:proofErr w:type="spellEnd"/>
      <w:r w:rsidRPr="00ED769A">
        <w:rPr>
          <w:lang w:val="en-US"/>
        </w:rPr>
        <w:t xml:space="preserve">; </w:t>
      </w:r>
      <w:proofErr w:type="spellStart"/>
      <w:r w:rsidRPr="00ED769A">
        <w:rPr>
          <w:lang w:val="en-US"/>
        </w:rPr>
        <w:t>ambulat</w:t>
      </w:r>
      <w:proofErr w:type="spellEnd"/>
      <w:r w:rsidRPr="00ED769A">
        <w:rPr>
          <w:lang w:val="en-US"/>
        </w:rPr>
        <w:t xml:space="preserve">, cum </w:t>
      </w:r>
      <w:proofErr w:type="spellStart"/>
      <w:r w:rsidRPr="00ED769A">
        <w:rPr>
          <w:lang w:val="en-US"/>
        </w:rPr>
        <w:t>nos</w:t>
      </w:r>
      <w:proofErr w:type="spellEnd"/>
      <w:r w:rsidRPr="00ED769A">
        <w:rPr>
          <w:lang w:val="en-US"/>
        </w:rPr>
        <w:t xml:space="preserve"> </w:t>
      </w:r>
      <w:proofErr w:type="spellStart"/>
      <w:r w:rsidRPr="00ED769A">
        <w:rPr>
          <w:lang w:val="en-US"/>
        </w:rPr>
        <w:t>proficere</w:t>
      </w:r>
      <w:proofErr w:type="spellEnd"/>
      <w:r w:rsidRPr="00ED769A">
        <w:rPr>
          <w:lang w:val="en-US"/>
        </w:rPr>
        <w:t xml:space="preserve"> </w:t>
      </w:r>
      <w:proofErr w:type="spellStart"/>
      <w:r w:rsidRPr="00ED769A">
        <w:rPr>
          <w:lang w:val="en-US"/>
        </w:rPr>
        <w:t>facit</w:t>
      </w:r>
      <w:proofErr w:type="spellEnd"/>
      <w:r w:rsidRPr="00ED769A">
        <w:rPr>
          <w:lang w:val="en-US"/>
        </w:rPr>
        <w:t xml:space="preserve">; stat, cum </w:t>
      </w:r>
      <w:proofErr w:type="spellStart"/>
      <w:r w:rsidRPr="00ED769A">
        <w:rPr>
          <w:lang w:val="en-US"/>
        </w:rPr>
        <w:t>nos</w:t>
      </w:r>
      <w:proofErr w:type="spellEnd"/>
      <w:r w:rsidRPr="00ED769A">
        <w:rPr>
          <w:lang w:val="en-US"/>
        </w:rPr>
        <w:t xml:space="preserve"> in </w:t>
      </w:r>
      <w:proofErr w:type="spellStart"/>
      <w:r w:rsidRPr="00ED769A">
        <w:rPr>
          <w:lang w:val="en-US"/>
        </w:rPr>
        <w:t>beato</w:t>
      </w:r>
      <w:proofErr w:type="spellEnd"/>
      <w:r w:rsidRPr="00ED769A">
        <w:rPr>
          <w:lang w:val="en-US"/>
        </w:rPr>
        <w:t xml:space="preserve"> </w:t>
      </w:r>
      <w:proofErr w:type="spellStart"/>
      <w:r w:rsidRPr="00ED769A">
        <w:rPr>
          <w:lang w:val="en-US"/>
        </w:rPr>
        <w:t>proposito</w:t>
      </w:r>
      <w:proofErr w:type="spellEnd"/>
      <w:r w:rsidRPr="00ED769A">
        <w:rPr>
          <w:lang w:val="en-US"/>
        </w:rPr>
        <w:t xml:space="preserve"> </w:t>
      </w:r>
      <w:proofErr w:type="spellStart"/>
      <w:r w:rsidRPr="00ED769A">
        <w:rPr>
          <w:lang w:val="en-US"/>
        </w:rPr>
        <w:t>figit</w:t>
      </w:r>
      <w:proofErr w:type="spellEnd"/>
      <w:r w:rsidRPr="00ED769A">
        <w:rPr>
          <w:lang w:val="en-US"/>
        </w:rPr>
        <w:t xml:space="preserve">.” </w:t>
      </w:r>
      <w:proofErr w:type="spellStart"/>
      <w:r w:rsidRPr="00ED769A">
        <w:rPr>
          <w:lang w:val="en-US"/>
        </w:rPr>
        <w:t>Hugonis</w:t>
      </w:r>
      <w:proofErr w:type="spellEnd"/>
      <w:r w:rsidRPr="00ED769A">
        <w:rPr>
          <w:lang w:val="en-US"/>
        </w:rPr>
        <w:t xml:space="preserve"> de S. </w:t>
      </w:r>
      <w:proofErr w:type="spellStart"/>
      <w:r w:rsidRPr="00ED769A">
        <w:rPr>
          <w:lang w:val="en-US"/>
        </w:rPr>
        <w:t>Victore</w:t>
      </w:r>
      <w:proofErr w:type="spellEnd"/>
      <w:r w:rsidRPr="00ED769A">
        <w:rPr>
          <w:lang w:val="en-US"/>
        </w:rPr>
        <w:t xml:space="preserve">, </w:t>
      </w:r>
      <w:r w:rsidRPr="00ED769A">
        <w:rPr>
          <w:i/>
          <w:iCs/>
          <w:lang w:val="en-US"/>
        </w:rPr>
        <w:t xml:space="preserve">De sex </w:t>
      </w:r>
      <w:proofErr w:type="spellStart"/>
      <w:r w:rsidRPr="00ED769A">
        <w:rPr>
          <w:i/>
          <w:iCs/>
          <w:lang w:val="en-US"/>
        </w:rPr>
        <w:t>alis</w:t>
      </w:r>
      <w:proofErr w:type="spellEnd"/>
      <w:r w:rsidRPr="00ED769A">
        <w:rPr>
          <w:i/>
          <w:iCs/>
          <w:lang w:val="en-US"/>
        </w:rPr>
        <w:t xml:space="preserve"> cherubim</w:t>
      </w:r>
      <w:r w:rsidRPr="00ED769A">
        <w:rPr>
          <w:lang w:val="en-US"/>
        </w:rPr>
        <w:t xml:space="preserve">, falsely attributed to Alan de Lille in Alani de </w:t>
      </w:r>
      <w:proofErr w:type="spellStart"/>
      <w:r w:rsidRPr="00ED769A">
        <w:rPr>
          <w:lang w:val="en-US"/>
        </w:rPr>
        <w:t>Insulis</w:t>
      </w:r>
      <w:proofErr w:type="spellEnd"/>
      <w:r w:rsidRPr="00ED769A">
        <w:rPr>
          <w:lang w:val="en-US"/>
        </w:rPr>
        <w:t xml:space="preserve">, “De sex </w:t>
      </w:r>
      <w:proofErr w:type="spellStart"/>
      <w:r w:rsidRPr="00ED769A">
        <w:rPr>
          <w:lang w:val="en-US"/>
        </w:rPr>
        <w:t>alis</w:t>
      </w:r>
      <w:proofErr w:type="spellEnd"/>
      <w:r w:rsidRPr="00ED769A">
        <w:rPr>
          <w:lang w:val="en-US"/>
        </w:rPr>
        <w:t xml:space="preserve"> cherubim,” in </w:t>
      </w:r>
      <w:r w:rsidRPr="00ED769A">
        <w:rPr>
          <w:i/>
          <w:iCs/>
          <w:lang w:val="en-US"/>
        </w:rPr>
        <w:t>Opera Omnia</w:t>
      </w:r>
      <w:r w:rsidRPr="00ED769A">
        <w:rPr>
          <w:lang w:val="en-US"/>
        </w:rPr>
        <w:t xml:space="preserve">, ed. J. P. </w:t>
      </w:r>
      <w:proofErr w:type="spellStart"/>
      <w:r w:rsidRPr="00ED769A">
        <w:rPr>
          <w:lang w:val="en-US"/>
        </w:rPr>
        <w:t>Migne</w:t>
      </w:r>
      <w:proofErr w:type="spellEnd"/>
      <w:r w:rsidRPr="00ED769A">
        <w:rPr>
          <w:lang w:val="en-US"/>
        </w:rPr>
        <w:t xml:space="preserve">, vol. 210, </w:t>
      </w:r>
      <w:proofErr w:type="spellStart"/>
      <w:r w:rsidRPr="00ED769A">
        <w:rPr>
          <w:lang w:val="en-US"/>
        </w:rPr>
        <w:t>Patrologia</w:t>
      </w:r>
      <w:proofErr w:type="spellEnd"/>
      <w:r w:rsidRPr="00ED769A">
        <w:rPr>
          <w:lang w:val="en-US"/>
        </w:rPr>
        <w:t xml:space="preserve"> Latina (Paris: </w:t>
      </w:r>
      <w:proofErr w:type="spellStart"/>
      <w:r w:rsidRPr="00ED769A">
        <w:rPr>
          <w:lang w:val="en-US"/>
        </w:rPr>
        <w:t>Migne</w:t>
      </w:r>
      <w:proofErr w:type="spellEnd"/>
      <w:r w:rsidRPr="00ED769A">
        <w:rPr>
          <w:lang w:val="en-US"/>
        </w:rPr>
        <w:t xml:space="preserve">, 1855), 270; English translation from Chase, </w:t>
      </w:r>
      <w:r w:rsidRPr="00ED769A">
        <w:rPr>
          <w:i/>
          <w:iCs/>
          <w:lang w:val="en-US"/>
        </w:rPr>
        <w:t>Angelic Spirituality</w:t>
      </w:r>
      <w:r w:rsidRPr="00ED769A">
        <w:rPr>
          <w:lang w:val="en-US"/>
        </w:rPr>
        <w:t>, 34; see also ibid., 121–45.</w:t>
      </w:r>
    </w:p>
  </w:footnote>
  <w:footnote w:id="408">
    <w:p w14:paraId="56A16404" w14:textId="77777777" w:rsidR="00182EED" w:rsidRDefault="00182EED" w:rsidP="008A116C">
      <w:pPr>
        <w:pStyle w:val="FootnoteText"/>
      </w:pPr>
      <w:r w:rsidRPr="00073E38">
        <w:rPr>
          <w:rStyle w:val="FootnoteReference"/>
        </w:rPr>
        <w:footnoteRef/>
      </w:r>
      <w:r>
        <w:t xml:space="preserve"> </w:t>
      </w:r>
      <w:r w:rsidRPr="0027042F">
        <w:rPr>
          <w:lang w:val="en-US"/>
        </w:rPr>
        <w:t>“</w:t>
      </w:r>
      <w:proofErr w:type="spellStart"/>
      <w:r w:rsidRPr="0027042F">
        <w:rPr>
          <w:lang w:val="en-US"/>
        </w:rPr>
        <w:t>Apparvono</w:t>
      </w:r>
      <w:proofErr w:type="spellEnd"/>
      <w:r w:rsidRPr="0027042F">
        <w:rPr>
          <w:lang w:val="en-US"/>
        </w:rPr>
        <w:t xml:space="preserve"> </w:t>
      </w:r>
      <w:proofErr w:type="spellStart"/>
      <w:r w:rsidRPr="0027042F">
        <w:rPr>
          <w:lang w:val="en-US"/>
        </w:rPr>
        <w:t>gli</w:t>
      </w:r>
      <w:proofErr w:type="spellEnd"/>
      <w:r w:rsidRPr="0027042F">
        <w:rPr>
          <w:lang w:val="en-US"/>
        </w:rPr>
        <w:t xml:space="preserve"> </w:t>
      </w:r>
      <w:proofErr w:type="spellStart"/>
      <w:r w:rsidRPr="0027042F">
        <w:rPr>
          <w:lang w:val="en-US"/>
        </w:rPr>
        <w:t>Angioli</w:t>
      </w:r>
      <w:proofErr w:type="spellEnd"/>
      <w:r w:rsidRPr="0027042F">
        <w:rPr>
          <w:lang w:val="en-US"/>
        </w:rPr>
        <w:t xml:space="preserve"> di </w:t>
      </w:r>
      <w:proofErr w:type="spellStart"/>
      <w:r w:rsidRPr="0027042F">
        <w:rPr>
          <w:lang w:val="en-US"/>
        </w:rPr>
        <w:t>noi</w:t>
      </w:r>
      <w:proofErr w:type="spellEnd"/>
      <w:r w:rsidRPr="0027042F">
        <w:rPr>
          <w:lang w:val="en-US"/>
        </w:rPr>
        <w:t xml:space="preserve"> </w:t>
      </w:r>
      <w:proofErr w:type="spellStart"/>
      <w:r w:rsidRPr="0027042F">
        <w:rPr>
          <w:lang w:val="en-US"/>
        </w:rPr>
        <w:t>tre</w:t>
      </w:r>
      <w:proofErr w:type="spellEnd"/>
      <w:r w:rsidRPr="0027042F">
        <w:rPr>
          <w:lang w:val="en-US"/>
        </w:rPr>
        <w:t xml:space="preserve"> a Fra Silvestro (</w:t>
      </w:r>
      <w:proofErr w:type="spellStart"/>
      <w:r w:rsidRPr="0027042F">
        <w:rPr>
          <w:lang w:val="en-US"/>
        </w:rPr>
        <w:t>dico</w:t>
      </w:r>
      <w:proofErr w:type="spellEnd"/>
      <w:r w:rsidRPr="0027042F">
        <w:rPr>
          <w:lang w:val="en-US"/>
        </w:rPr>
        <w:t xml:space="preserve"> li </w:t>
      </w:r>
      <w:proofErr w:type="spellStart"/>
      <w:r w:rsidRPr="0027042F">
        <w:rPr>
          <w:lang w:val="en-US"/>
        </w:rPr>
        <w:t>Angioli</w:t>
      </w:r>
      <w:proofErr w:type="spellEnd"/>
      <w:r w:rsidRPr="0027042F">
        <w:rPr>
          <w:lang w:val="en-US"/>
        </w:rPr>
        <w:t xml:space="preserve">, </w:t>
      </w:r>
      <w:proofErr w:type="spellStart"/>
      <w:r w:rsidRPr="0027042F">
        <w:rPr>
          <w:lang w:val="en-US"/>
        </w:rPr>
        <w:t>perché</w:t>
      </w:r>
      <w:proofErr w:type="spellEnd"/>
      <w:r w:rsidRPr="0027042F">
        <w:rPr>
          <w:lang w:val="en-US"/>
        </w:rPr>
        <w:t xml:space="preserve"> </w:t>
      </w:r>
      <w:proofErr w:type="spellStart"/>
      <w:r w:rsidRPr="0027042F">
        <w:rPr>
          <w:lang w:val="en-US"/>
        </w:rPr>
        <w:t>cosí</w:t>
      </w:r>
      <w:proofErr w:type="spellEnd"/>
      <w:r w:rsidRPr="0027042F">
        <w:rPr>
          <w:lang w:val="en-US"/>
        </w:rPr>
        <w:t xml:space="preserve"> ho </w:t>
      </w:r>
      <w:proofErr w:type="spellStart"/>
      <w:r w:rsidRPr="0027042F">
        <w:rPr>
          <w:lang w:val="en-US"/>
        </w:rPr>
        <w:t>creduto</w:t>
      </w:r>
      <w:proofErr w:type="spellEnd"/>
      <w:r w:rsidRPr="0027042F">
        <w:rPr>
          <w:lang w:val="en-US"/>
        </w:rPr>
        <w:t xml:space="preserve"> </w:t>
      </w:r>
      <w:proofErr w:type="spellStart"/>
      <w:r w:rsidRPr="0027042F">
        <w:rPr>
          <w:lang w:val="en-US"/>
        </w:rPr>
        <w:t>che</w:t>
      </w:r>
      <w:proofErr w:type="spellEnd"/>
      <w:r w:rsidRPr="0027042F">
        <w:rPr>
          <w:lang w:val="en-US"/>
        </w:rPr>
        <w:t xml:space="preserve"> </w:t>
      </w:r>
      <w:proofErr w:type="spellStart"/>
      <w:r w:rsidRPr="0027042F">
        <w:rPr>
          <w:lang w:val="en-US"/>
        </w:rPr>
        <w:t>fussino</w:t>
      </w:r>
      <w:proofErr w:type="spellEnd"/>
      <w:r w:rsidRPr="0027042F">
        <w:rPr>
          <w:lang w:val="en-US"/>
        </w:rPr>
        <w:t xml:space="preserve">) et con una </w:t>
      </w:r>
      <w:proofErr w:type="spellStart"/>
      <w:r w:rsidRPr="0027042F">
        <w:rPr>
          <w:lang w:val="en-US"/>
        </w:rPr>
        <w:t>cordella</w:t>
      </w:r>
      <w:proofErr w:type="spellEnd"/>
      <w:r w:rsidRPr="0027042F">
        <w:rPr>
          <w:lang w:val="en-US"/>
        </w:rPr>
        <w:t xml:space="preserve"> o </w:t>
      </w:r>
      <w:proofErr w:type="spellStart"/>
      <w:r w:rsidRPr="0027042F">
        <w:rPr>
          <w:lang w:val="en-US"/>
        </w:rPr>
        <w:t>vero</w:t>
      </w:r>
      <w:proofErr w:type="spellEnd"/>
      <w:r w:rsidRPr="0027042F">
        <w:rPr>
          <w:lang w:val="en-US"/>
        </w:rPr>
        <w:t xml:space="preserve"> catena </w:t>
      </w:r>
      <w:proofErr w:type="spellStart"/>
      <w:r w:rsidRPr="0027042F">
        <w:rPr>
          <w:lang w:val="en-US"/>
        </w:rPr>
        <w:t>d’oro</w:t>
      </w:r>
      <w:proofErr w:type="spellEnd"/>
      <w:r w:rsidRPr="0027042F">
        <w:rPr>
          <w:lang w:val="en-US"/>
        </w:rPr>
        <w:t xml:space="preserve"> ci </w:t>
      </w:r>
      <w:proofErr w:type="spellStart"/>
      <w:r w:rsidRPr="0027042F">
        <w:rPr>
          <w:lang w:val="en-US"/>
        </w:rPr>
        <w:t>legarono</w:t>
      </w:r>
      <w:proofErr w:type="spellEnd"/>
      <w:r w:rsidRPr="0027042F">
        <w:rPr>
          <w:lang w:val="en-US"/>
        </w:rPr>
        <w:t xml:space="preserve"> </w:t>
      </w:r>
      <w:proofErr w:type="spellStart"/>
      <w:r w:rsidRPr="0027042F">
        <w:rPr>
          <w:lang w:val="en-US"/>
        </w:rPr>
        <w:t>insieme</w:t>
      </w:r>
      <w:proofErr w:type="spellEnd"/>
      <w:r w:rsidRPr="0027042F">
        <w:rPr>
          <w:lang w:val="en-US"/>
        </w:rPr>
        <w:t xml:space="preserve">, cantando, se </w:t>
      </w:r>
      <w:proofErr w:type="spellStart"/>
      <w:r w:rsidRPr="0027042F">
        <w:rPr>
          <w:lang w:val="en-US"/>
        </w:rPr>
        <w:t>io</w:t>
      </w:r>
      <w:proofErr w:type="spellEnd"/>
      <w:r w:rsidRPr="0027042F">
        <w:rPr>
          <w:lang w:val="en-US"/>
        </w:rPr>
        <w:t xml:space="preserve"> bene mi </w:t>
      </w:r>
      <w:proofErr w:type="spellStart"/>
      <w:r w:rsidRPr="0027042F">
        <w:rPr>
          <w:lang w:val="en-US"/>
        </w:rPr>
        <w:t>ricordo</w:t>
      </w:r>
      <w:proofErr w:type="spellEnd"/>
      <w:r w:rsidRPr="0027042F">
        <w:rPr>
          <w:lang w:val="en-US"/>
        </w:rPr>
        <w:t xml:space="preserve">: Ecce </w:t>
      </w:r>
      <w:proofErr w:type="spellStart"/>
      <w:r w:rsidRPr="0027042F">
        <w:rPr>
          <w:lang w:val="en-US"/>
        </w:rPr>
        <w:t>quam</w:t>
      </w:r>
      <w:proofErr w:type="spellEnd"/>
      <w:r w:rsidRPr="0027042F">
        <w:rPr>
          <w:lang w:val="en-US"/>
        </w:rPr>
        <w:t xml:space="preserve"> </w:t>
      </w:r>
      <w:proofErr w:type="spellStart"/>
      <w:r w:rsidRPr="0027042F">
        <w:rPr>
          <w:lang w:val="en-US"/>
        </w:rPr>
        <w:t>bonum</w:t>
      </w:r>
      <w:proofErr w:type="spellEnd"/>
      <w:r w:rsidRPr="0027042F">
        <w:rPr>
          <w:lang w:val="en-US"/>
        </w:rPr>
        <w:t xml:space="preserve"> et </w:t>
      </w:r>
      <w:proofErr w:type="spellStart"/>
      <w:r w:rsidRPr="0027042F">
        <w:rPr>
          <w:lang w:val="en-US"/>
        </w:rPr>
        <w:t>quam</w:t>
      </w:r>
      <w:proofErr w:type="spellEnd"/>
      <w:r w:rsidRPr="0027042F">
        <w:rPr>
          <w:lang w:val="en-US"/>
        </w:rPr>
        <w:t xml:space="preserve"> </w:t>
      </w:r>
      <w:proofErr w:type="spellStart"/>
      <w:r w:rsidRPr="0027042F">
        <w:rPr>
          <w:lang w:val="en-US"/>
        </w:rPr>
        <w:t>iocundum</w:t>
      </w:r>
      <w:proofErr w:type="spellEnd"/>
      <w:r w:rsidRPr="0027042F">
        <w:rPr>
          <w:lang w:val="en-US"/>
        </w:rPr>
        <w:t xml:space="preserve"> </w:t>
      </w:r>
      <w:proofErr w:type="spellStart"/>
      <w:r w:rsidRPr="0027042F">
        <w:rPr>
          <w:lang w:val="en-US"/>
        </w:rPr>
        <w:t>habitare</w:t>
      </w:r>
      <w:proofErr w:type="spellEnd"/>
      <w:r w:rsidRPr="0027042F">
        <w:rPr>
          <w:lang w:val="en-US"/>
        </w:rPr>
        <w:t xml:space="preserve"> </w:t>
      </w:r>
      <w:proofErr w:type="spellStart"/>
      <w:r w:rsidRPr="0027042F">
        <w:rPr>
          <w:lang w:val="en-US"/>
        </w:rPr>
        <w:t>fratres</w:t>
      </w:r>
      <w:proofErr w:type="spellEnd"/>
      <w:r w:rsidRPr="0027042F">
        <w:rPr>
          <w:lang w:val="en-US"/>
        </w:rPr>
        <w:t xml:space="preserve"> in </w:t>
      </w:r>
      <w:proofErr w:type="spellStart"/>
      <w:r w:rsidRPr="0027042F">
        <w:rPr>
          <w:lang w:val="en-US"/>
        </w:rPr>
        <w:t>unum</w:t>
      </w:r>
      <w:proofErr w:type="spellEnd"/>
      <w:r w:rsidRPr="0027042F">
        <w:rPr>
          <w:lang w:val="en-US"/>
        </w:rPr>
        <w:t xml:space="preserve">.” Quoted in original and in translation in Patrick Paul Macey, </w:t>
      </w:r>
      <w:r w:rsidRPr="0027042F">
        <w:rPr>
          <w:i/>
          <w:iCs/>
          <w:lang w:val="en-US"/>
        </w:rPr>
        <w:t>Bonfire Songs: Savonarola’s Musical Legacy</w:t>
      </w:r>
      <w:r w:rsidRPr="0027042F">
        <w:rPr>
          <w:lang w:val="en-US"/>
        </w:rPr>
        <w:t xml:space="preserve"> (Oxford: Clarendon Press, 1998), 24.</w:t>
      </w:r>
    </w:p>
  </w:footnote>
  <w:footnote w:id="409">
    <w:p w14:paraId="0886E052" w14:textId="77777777" w:rsidR="00182EED" w:rsidRDefault="00182EED" w:rsidP="008A116C">
      <w:pPr>
        <w:pStyle w:val="FootnoteText"/>
      </w:pPr>
      <w:r w:rsidRPr="00073E38">
        <w:rPr>
          <w:rStyle w:val="FootnoteReference"/>
        </w:rPr>
        <w:footnoteRef/>
      </w:r>
      <w:r>
        <w:t xml:space="preserve"> </w:t>
      </w:r>
      <w:r w:rsidRPr="0027042F">
        <w:rPr>
          <w:lang w:val="en-US"/>
        </w:rPr>
        <w:t>Ibid., 23–24.</w:t>
      </w:r>
    </w:p>
  </w:footnote>
  <w:footnote w:id="410">
    <w:p w14:paraId="39586EB9" w14:textId="77777777" w:rsidR="00182EED" w:rsidRDefault="00182EED" w:rsidP="008A116C">
      <w:pPr>
        <w:pStyle w:val="FootnoteText"/>
      </w:pPr>
      <w:r w:rsidRPr="00073E38">
        <w:rPr>
          <w:rStyle w:val="FootnoteReference"/>
        </w:rPr>
        <w:footnoteRef/>
      </w:r>
      <w:r>
        <w:t xml:space="preserve"> </w:t>
      </w:r>
      <w:r w:rsidRPr="0027042F">
        <w:rPr>
          <w:lang w:val="en-US"/>
        </w:rPr>
        <w:t xml:space="preserve">Jacobus de </w:t>
      </w:r>
      <w:proofErr w:type="spellStart"/>
      <w:r w:rsidRPr="0027042F">
        <w:rPr>
          <w:lang w:val="en-US"/>
        </w:rPr>
        <w:t>Voragine</w:t>
      </w:r>
      <w:proofErr w:type="spellEnd"/>
      <w:r w:rsidRPr="0027042F">
        <w:rPr>
          <w:lang w:val="en-US"/>
        </w:rPr>
        <w:t xml:space="preserve">, </w:t>
      </w:r>
      <w:r w:rsidRPr="0027042F">
        <w:rPr>
          <w:i/>
          <w:iCs/>
          <w:lang w:val="en-US"/>
        </w:rPr>
        <w:t>The Golden Legend</w:t>
      </w:r>
      <w:r w:rsidRPr="0027042F">
        <w:rPr>
          <w:lang w:val="en-US"/>
        </w:rPr>
        <w:t>, 289.</w:t>
      </w:r>
    </w:p>
  </w:footnote>
  <w:footnote w:id="411">
    <w:p w14:paraId="109C8D3F" w14:textId="77777777" w:rsidR="00182EED" w:rsidRDefault="00182EED" w:rsidP="008A116C">
      <w:pPr>
        <w:pStyle w:val="FootnoteText"/>
      </w:pPr>
      <w:r w:rsidRPr="00073E38">
        <w:rPr>
          <w:rStyle w:val="FootnoteReference"/>
        </w:rPr>
        <w:footnoteRef/>
      </w:r>
      <w:r>
        <w:t xml:space="preserve"> </w:t>
      </w:r>
      <w:r w:rsidRPr="0027042F">
        <w:rPr>
          <w:lang w:val="en-US"/>
        </w:rPr>
        <w:t xml:space="preserve">Carla </w:t>
      </w:r>
      <w:proofErr w:type="spellStart"/>
      <w:r w:rsidRPr="0027042F">
        <w:rPr>
          <w:lang w:val="en-US"/>
        </w:rPr>
        <w:t>Vivarelli</w:t>
      </w:r>
      <w:proofErr w:type="spellEnd"/>
      <w:r w:rsidRPr="0027042F">
        <w:rPr>
          <w:lang w:val="en-US"/>
        </w:rPr>
        <w:t xml:space="preserve">, “Nicola Da Capua,” in </w:t>
      </w:r>
      <w:proofErr w:type="spellStart"/>
      <w:r w:rsidRPr="0027042F">
        <w:rPr>
          <w:i/>
          <w:iCs/>
          <w:lang w:val="en-US"/>
        </w:rPr>
        <w:t>Dizionario</w:t>
      </w:r>
      <w:proofErr w:type="spellEnd"/>
      <w:r w:rsidRPr="0027042F">
        <w:rPr>
          <w:i/>
          <w:iCs/>
          <w:lang w:val="en-US"/>
        </w:rPr>
        <w:t xml:space="preserve"> </w:t>
      </w:r>
      <w:proofErr w:type="spellStart"/>
      <w:r w:rsidRPr="0027042F">
        <w:rPr>
          <w:i/>
          <w:iCs/>
          <w:lang w:val="en-US"/>
        </w:rPr>
        <w:t>Biografico</w:t>
      </w:r>
      <w:proofErr w:type="spellEnd"/>
      <w:r w:rsidRPr="0027042F">
        <w:rPr>
          <w:i/>
          <w:iCs/>
          <w:lang w:val="en-US"/>
        </w:rPr>
        <w:t xml:space="preserve"> </w:t>
      </w:r>
      <w:proofErr w:type="spellStart"/>
      <w:r w:rsidRPr="0027042F">
        <w:rPr>
          <w:i/>
          <w:iCs/>
          <w:lang w:val="en-US"/>
        </w:rPr>
        <w:t>Degli</w:t>
      </w:r>
      <w:proofErr w:type="spellEnd"/>
      <w:r w:rsidRPr="0027042F">
        <w:rPr>
          <w:i/>
          <w:iCs/>
          <w:lang w:val="en-US"/>
        </w:rPr>
        <w:t xml:space="preserve"> </w:t>
      </w:r>
      <w:proofErr w:type="spellStart"/>
      <w:r w:rsidRPr="0027042F">
        <w:rPr>
          <w:i/>
          <w:iCs/>
          <w:lang w:val="en-US"/>
        </w:rPr>
        <w:t>Italiani</w:t>
      </w:r>
      <w:proofErr w:type="spellEnd"/>
      <w:r w:rsidRPr="0027042F">
        <w:rPr>
          <w:lang w:val="en-US"/>
        </w:rPr>
        <w:t>, 2013, accessed online on 15th December 2017: http://www.treccani.it/enciclopedia/nicola-da-capua_(Dizionario-Biografico)/.</w:t>
      </w:r>
    </w:p>
  </w:footnote>
  <w:footnote w:id="412">
    <w:p w14:paraId="60E35BCA" w14:textId="77777777" w:rsidR="00182EED" w:rsidRDefault="00182EED" w:rsidP="008A116C">
      <w:pPr>
        <w:pStyle w:val="FootnoteText"/>
      </w:pPr>
      <w:r w:rsidRPr="00073E38">
        <w:rPr>
          <w:rStyle w:val="FootnoteReference"/>
        </w:rPr>
        <w:footnoteRef/>
      </w:r>
      <w:r>
        <w:t xml:space="preserve"> </w:t>
      </w:r>
      <w:r w:rsidRPr="0027042F">
        <w:rPr>
          <w:lang w:val="en-US"/>
        </w:rPr>
        <w:t xml:space="preserve">Keck, </w:t>
      </w:r>
      <w:r w:rsidRPr="0027042F">
        <w:rPr>
          <w:i/>
          <w:iCs/>
          <w:lang w:val="en-US"/>
        </w:rPr>
        <w:t>Angels and Angelology in the Middle Ages</w:t>
      </w:r>
      <w:r w:rsidRPr="0027042F">
        <w:rPr>
          <w:lang w:val="en-US"/>
        </w:rPr>
        <w:t>, 161–65, esp. 163.</w:t>
      </w:r>
    </w:p>
  </w:footnote>
  <w:footnote w:id="413">
    <w:p w14:paraId="0D452D2D" w14:textId="77777777" w:rsidR="00182EED" w:rsidRDefault="00182EED" w:rsidP="008A116C">
      <w:pPr>
        <w:pStyle w:val="FootnoteText"/>
      </w:pPr>
      <w:r w:rsidRPr="00073E38">
        <w:rPr>
          <w:rStyle w:val="FootnoteReference"/>
        </w:rPr>
        <w:footnoteRef/>
      </w:r>
      <w:r>
        <w:t xml:space="preserve"> </w:t>
      </w:r>
      <w:r w:rsidRPr="00F1752F">
        <w:rPr>
          <w:lang w:val="en-US"/>
        </w:rPr>
        <w:t xml:space="preserve">“Ad </w:t>
      </w:r>
      <w:proofErr w:type="spellStart"/>
      <w:r w:rsidRPr="00F1752F">
        <w:rPr>
          <w:lang w:val="en-US"/>
        </w:rPr>
        <w:t>secundum</w:t>
      </w:r>
      <w:proofErr w:type="spellEnd"/>
      <w:r w:rsidRPr="00F1752F">
        <w:rPr>
          <w:lang w:val="en-US"/>
        </w:rPr>
        <w:t xml:space="preserve"> </w:t>
      </w:r>
      <w:proofErr w:type="spellStart"/>
      <w:r w:rsidRPr="00F1752F">
        <w:rPr>
          <w:lang w:val="en-US"/>
        </w:rPr>
        <w:t>dicendum</w:t>
      </w:r>
      <w:proofErr w:type="spellEnd"/>
      <w:r w:rsidRPr="00F1752F">
        <w:rPr>
          <w:lang w:val="en-US"/>
        </w:rPr>
        <w:t xml:space="preserve"> quod officium custodiae </w:t>
      </w:r>
      <w:proofErr w:type="spellStart"/>
      <w:r w:rsidRPr="00F1752F">
        <w:rPr>
          <w:lang w:val="en-US"/>
        </w:rPr>
        <w:t>ordinatur</w:t>
      </w:r>
      <w:proofErr w:type="spellEnd"/>
      <w:r w:rsidRPr="00F1752F">
        <w:rPr>
          <w:lang w:val="en-US"/>
        </w:rPr>
        <w:t xml:space="preserve"> </w:t>
      </w:r>
      <w:proofErr w:type="spellStart"/>
      <w:r w:rsidRPr="00F1752F">
        <w:rPr>
          <w:lang w:val="en-US"/>
        </w:rPr>
        <w:t>quidem</w:t>
      </w:r>
      <w:proofErr w:type="spellEnd"/>
      <w:r w:rsidRPr="00F1752F">
        <w:rPr>
          <w:lang w:val="en-US"/>
        </w:rPr>
        <w:t xml:space="preserve"> </w:t>
      </w:r>
      <w:proofErr w:type="spellStart"/>
      <w:r w:rsidRPr="00F1752F">
        <w:rPr>
          <w:lang w:val="en-US"/>
        </w:rPr>
        <w:t>ad</w:t>
      </w:r>
      <w:proofErr w:type="spellEnd"/>
      <w:r w:rsidRPr="00F1752F">
        <w:rPr>
          <w:lang w:val="en-US"/>
        </w:rPr>
        <w:t xml:space="preserve"> </w:t>
      </w:r>
      <w:proofErr w:type="spellStart"/>
      <w:r w:rsidRPr="00F1752F">
        <w:rPr>
          <w:lang w:val="en-US"/>
        </w:rPr>
        <w:t>illuminationem</w:t>
      </w:r>
      <w:proofErr w:type="spellEnd"/>
      <w:r w:rsidRPr="00F1752F">
        <w:rPr>
          <w:lang w:val="en-US"/>
        </w:rPr>
        <w:t xml:space="preserve"> </w:t>
      </w:r>
      <w:proofErr w:type="spellStart"/>
      <w:r w:rsidRPr="00F1752F">
        <w:rPr>
          <w:lang w:val="en-US"/>
        </w:rPr>
        <w:t>doctrinae</w:t>
      </w:r>
      <w:proofErr w:type="spellEnd"/>
      <w:r w:rsidRPr="00F1752F">
        <w:rPr>
          <w:lang w:val="en-US"/>
        </w:rPr>
        <w:t xml:space="preserve"> </w:t>
      </w:r>
      <w:proofErr w:type="spellStart"/>
      <w:r w:rsidRPr="00F1752F">
        <w:rPr>
          <w:lang w:val="en-US"/>
        </w:rPr>
        <w:t>sicut</w:t>
      </w:r>
      <w:proofErr w:type="spellEnd"/>
      <w:r w:rsidRPr="00F1752F">
        <w:rPr>
          <w:lang w:val="en-US"/>
        </w:rPr>
        <w:t xml:space="preserve"> </w:t>
      </w:r>
      <w:proofErr w:type="spellStart"/>
      <w:r w:rsidRPr="00F1752F">
        <w:rPr>
          <w:lang w:val="en-US"/>
        </w:rPr>
        <w:t>ad</w:t>
      </w:r>
      <w:proofErr w:type="spellEnd"/>
      <w:r w:rsidRPr="00F1752F">
        <w:rPr>
          <w:lang w:val="en-US"/>
        </w:rPr>
        <w:t xml:space="preserve"> </w:t>
      </w:r>
      <w:proofErr w:type="spellStart"/>
      <w:r w:rsidRPr="00F1752F">
        <w:rPr>
          <w:lang w:val="en-US"/>
        </w:rPr>
        <w:t>ultimum</w:t>
      </w:r>
      <w:proofErr w:type="spellEnd"/>
      <w:r w:rsidRPr="00F1752F">
        <w:rPr>
          <w:lang w:val="en-US"/>
        </w:rPr>
        <w:t xml:space="preserve"> et </w:t>
      </w:r>
      <w:proofErr w:type="spellStart"/>
      <w:r w:rsidRPr="00F1752F">
        <w:rPr>
          <w:lang w:val="en-US"/>
        </w:rPr>
        <w:t>principalem</w:t>
      </w:r>
      <w:proofErr w:type="spellEnd"/>
      <w:r w:rsidRPr="00F1752F">
        <w:rPr>
          <w:lang w:val="en-US"/>
        </w:rPr>
        <w:t xml:space="preserve"> </w:t>
      </w:r>
      <w:proofErr w:type="spellStart"/>
      <w:r w:rsidRPr="00F1752F">
        <w:rPr>
          <w:lang w:val="en-US"/>
        </w:rPr>
        <w:t>effectum</w:t>
      </w:r>
      <w:proofErr w:type="spellEnd"/>
      <w:r w:rsidRPr="00F1752F">
        <w:rPr>
          <w:lang w:val="en-US"/>
        </w:rPr>
        <w:t xml:space="preserve">.” Thomas Aquinas (Saint), </w:t>
      </w:r>
      <w:r w:rsidRPr="00F1752F">
        <w:rPr>
          <w:i/>
          <w:iCs/>
          <w:lang w:val="en-US"/>
        </w:rPr>
        <w:t xml:space="preserve">Summa </w:t>
      </w:r>
      <w:proofErr w:type="spellStart"/>
      <w:r w:rsidRPr="00F1752F">
        <w:rPr>
          <w:i/>
          <w:iCs/>
          <w:lang w:val="en-US"/>
        </w:rPr>
        <w:t>Theologiae</w:t>
      </w:r>
      <w:proofErr w:type="spellEnd"/>
      <w:r w:rsidRPr="00F1752F">
        <w:rPr>
          <w:i/>
          <w:iCs/>
          <w:lang w:val="en-US"/>
        </w:rPr>
        <w:t>, Vol. 15, The World Order</w:t>
      </w:r>
      <w:r w:rsidRPr="00F1752F">
        <w:rPr>
          <w:lang w:val="en-US"/>
        </w:rPr>
        <w:t xml:space="preserve">, ed. and trans. Maxwell John Charlesworth (Cambridge: Cambridge University Press, 2006), q.113, a.5, 62; English </w:t>
      </w:r>
      <w:proofErr w:type="spellStart"/>
      <w:r w:rsidRPr="00F1752F">
        <w:rPr>
          <w:lang w:val="en-US"/>
        </w:rPr>
        <w:t>translaton</w:t>
      </w:r>
      <w:proofErr w:type="spellEnd"/>
      <w:r w:rsidRPr="00F1752F">
        <w:rPr>
          <w:lang w:val="en-US"/>
        </w:rPr>
        <w:t xml:space="preserve"> in ibid., 63.</w:t>
      </w:r>
    </w:p>
  </w:footnote>
  <w:footnote w:id="414">
    <w:p w14:paraId="31E2D431" w14:textId="77777777" w:rsidR="00182EED" w:rsidRDefault="00182EED" w:rsidP="008A116C">
      <w:pPr>
        <w:pStyle w:val="FootnoteText"/>
      </w:pPr>
      <w:r w:rsidRPr="00073E38">
        <w:rPr>
          <w:rStyle w:val="FootnoteReference"/>
        </w:rPr>
        <w:footnoteRef/>
      </w:r>
      <w:r>
        <w:t xml:space="preserve"> </w:t>
      </w:r>
      <w:r w:rsidRPr="00E6406C">
        <w:rPr>
          <w:lang w:val="en-US"/>
        </w:rPr>
        <w:t>“</w:t>
      </w:r>
      <w:proofErr w:type="spellStart"/>
      <w:r w:rsidRPr="00E6406C">
        <w:rPr>
          <w:lang w:val="en-US"/>
        </w:rPr>
        <w:t>Cuilibet</w:t>
      </w:r>
      <w:proofErr w:type="spellEnd"/>
      <w:r w:rsidRPr="00E6406C">
        <w:rPr>
          <w:lang w:val="en-US"/>
        </w:rPr>
        <w:t xml:space="preserve"> </w:t>
      </w:r>
      <w:proofErr w:type="spellStart"/>
      <w:r w:rsidRPr="00E6406C">
        <w:rPr>
          <w:lang w:val="en-US"/>
        </w:rPr>
        <w:t>enim</w:t>
      </w:r>
      <w:proofErr w:type="spellEnd"/>
      <w:r w:rsidRPr="00E6406C">
        <w:rPr>
          <w:lang w:val="en-US"/>
        </w:rPr>
        <w:t xml:space="preserve"> </w:t>
      </w:r>
      <w:proofErr w:type="spellStart"/>
      <w:r w:rsidRPr="00E6406C">
        <w:rPr>
          <w:lang w:val="en-US"/>
        </w:rPr>
        <w:t>homini</w:t>
      </w:r>
      <w:proofErr w:type="spellEnd"/>
      <w:r w:rsidRPr="00E6406C">
        <w:rPr>
          <w:lang w:val="en-US"/>
        </w:rPr>
        <w:t xml:space="preserve"> </w:t>
      </w:r>
      <w:proofErr w:type="spellStart"/>
      <w:r w:rsidRPr="00E6406C">
        <w:rPr>
          <w:lang w:val="en-US"/>
        </w:rPr>
        <w:t>dantur</w:t>
      </w:r>
      <w:proofErr w:type="spellEnd"/>
      <w:r w:rsidRPr="00E6406C">
        <w:rPr>
          <w:lang w:val="en-US"/>
        </w:rPr>
        <w:t xml:space="preserve"> duo </w:t>
      </w:r>
      <w:proofErr w:type="spellStart"/>
      <w:r w:rsidRPr="00E6406C">
        <w:rPr>
          <w:lang w:val="en-US"/>
        </w:rPr>
        <w:t>angeli</w:t>
      </w:r>
      <w:proofErr w:type="spellEnd"/>
      <w:r w:rsidRPr="00E6406C">
        <w:rPr>
          <w:lang w:val="en-US"/>
        </w:rPr>
        <w:t xml:space="preserve">, </w:t>
      </w:r>
      <w:proofErr w:type="spellStart"/>
      <w:r w:rsidRPr="00E6406C">
        <w:rPr>
          <w:lang w:val="en-US"/>
        </w:rPr>
        <w:t>unus</w:t>
      </w:r>
      <w:proofErr w:type="spellEnd"/>
      <w:r w:rsidRPr="00E6406C">
        <w:rPr>
          <w:lang w:val="en-US"/>
        </w:rPr>
        <w:t xml:space="preserve"> malus ad </w:t>
      </w:r>
      <w:proofErr w:type="spellStart"/>
      <w:r w:rsidRPr="00E6406C">
        <w:rPr>
          <w:lang w:val="en-US"/>
        </w:rPr>
        <w:t>exercitium</w:t>
      </w:r>
      <w:proofErr w:type="spellEnd"/>
      <w:r w:rsidRPr="00E6406C">
        <w:rPr>
          <w:lang w:val="en-US"/>
        </w:rPr>
        <w:t xml:space="preserve">, alter </w:t>
      </w:r>
      <w:proofErr w:type="spellStart"/>
      <w:r w:rsidRPr="00E6406C">
        <w:rPr>
          <w:lang w:val="en-US"/>
        </w:rPr>
        <w:t>bonns</w:t>
      </w:r>
      <w:proofErr w:type="spellEnd"/>
      <w:r w:rsidRPr="00E6406C">
        <w:rPr>
          <w:lang w:val="en-US"/>
        </w:rPr>
        <w:t xml:space="preserve"> </w:t>
      </w:r>
      <w:proofErr w:type="spellStart"/>
      <w:r w:rsidRPr="00E6406C">
        <w:rPr>
          <w:lang w:val="en-US"/>
        </w:rPr>
        <w:t>ad</w:t>
      </w:r>
      <w:proofErr w:type="spellEnd"/>
      <w:r w:rsidRPr="00E6406C">
        <w:rPr>
          <w:lang w:val="en-US"/>
        </w:rPr>
        <w:t xml:space="preserve"> </w:t>
      </w:r>
      <w:proofErr w:type="spellStart"/>
      <w:r w:rsidRPr="00E6406C">
        <w:rPr>
          <w:lang w:val="en-US"/>
        </w:rPr>
        <w:t>custodiendum</w:t>
      </w:r>
      <w:proofErr w:type="spellEnd"/>
      <w:r w:rsidRPr="00E6406C">
        <w:rPr>
          <w:lang w:val="en-US"/>
        </w:rPr>
        <w:t xml:space="preserve">.” Jacobi a </w:t>
      </w:r>
      <w:proofErr w:type="spellStart"/>
      <w:r w:rsidRPr="00E6406C">
        <w:rPr>
          <w:lang w:val="en-US"/>
        </w:rPr>
        <w:t>Voragine</w:t>
      </w:r>
      <w:proofErr w:type="spellEnd"/>
      <w:r w:rsidRPr="00E6406C">
        <w:rPr>
          <w:lang w:val="en-US"/>
        </w:rPr>
        <w:t xml:space="preserve">, </w:t>
      </w:r>
      <w:proofErr w:type="spellStart"/>
      <w:r w:rsidRPr="00E6406C">
        <w:rPr>
          <w:i/>
          <w:iCs/>
          <w:lang w:val="en-US"/>
        </w:rPr>
        <w:t>Legenda</w:t>
      </w:r>
      <w:proofErr w:type="spellEnd"/>
      <w:r w:rsidRPr="00E6406C">
        <w:rPr>
          <w:i/>
          <w:iCs/>
          <w:lang w:val="en-US"/>
        </w:rPr>
        <w:t xml:space="preserve"> Aurea</w:t>
      </w:r>
      <w:r w:rsidRPr="00E6406C">
        <w:rPr>
          <w:lang w:val="en-US"/>
        </w:rPr>
        <w:t xml:space="preserve">, 649; English translation from Jacobus de </w:t>
      </w:r>
      <w:proofErr w:type="spellStart"/>
      <w:r w:rsidRPr="00E6406C">
        <w:rPr>
          <w:lang w:val="en-US"/>
        </w:rPr>
        <w:t>Voragine</w:t>
      </w:r>
      <w:proofErr w:type="spellEnd"/>
      <w:r w:rsidRPr="00E6406C">
        <w:rPr>
          <w:lang w:val="en-US"/>
        </w:rPr>
        <w:t xml:space="preserve">, </w:t>
      </w:r>
      <w:r w:rsidRPr="00E6406C">
        <w:rPr>
          <w:i/>
          <w:iCs/>
          <w:lang w:val="en-US"/>
        </w:rPr>
        <w:t>The Golden Legend</w:t>
      </w:r>
      <w:r w:rsidRPr="00E6406C">
        <w:rPr>
          <w:lang w:val="en-US"/>
        </w:rPr>
        <w:t xml:space="preserve">, 593; Peter Marshall and Alexandra Walsham, “Migrations of Angels in the Early Modern World,” in </w:t>
      </w:r>
      <w:r w:rsidRPr="00E6406C">
        <w:rPr>
          <w:i/>
          <w:iCs/>
          <w:lang w:val="en-US"/>
        </w:rPr>
        <w:t>Angels in the Early Modern World</w:t>
      </w:r>
      <w:r w:rsidRPr="00E6406C">
        <w:rPr>
          <w:lang w:val="en-US"/>
        </w:rPr>
        <w:t>, ed. Peter Marshall and Alexandra Walsham (Cambridge: Cambridge University Press, 2006), 10–11.</w:t>
      </w:r>
    </w:p>
  </w:footnote>
  <w:footnote w:id="415">
    <w:p w14:paraId="65F32228" w14:textId="77777777" w:rsidR="00182EED" w:rsidRDefault="00182EED" w:rsidP="008A116C">
      <w:pPr>
        <w:pStyle w:val="FootnoteText"/>
      </w:pPr>
      <w:r w:rsidRPr="00073E38">
        <w:rPr>
          <w:rStyle w:val="FootnoteReference"/>
        </w:rPr>
        <w:footnoteRef/>
      </w:r>
      <w:r>
        <w:t xml:space="preserve"> </w:t>
      </w:r>
      <w:r w:rsidRPr="00E6406C">
        <w:rPr>
          <w:lang w:val="en-US"/>
        </w:rPr>
        <w:t xml:space="preserve">Chase, </w:t>
      </w:r>
      <w:r w:rsidRPr="00E6406C">
        <w:rPr>
          <w:i/>
          <w:iCs/>
          <w:lang w:val="en-US"/>
        </w:rPr>
        <w:t>Angelic Spirituality</w:t>
      </w:r>
      <w:r w:rsidRPr="00E6406C">
        <w:rPr>
          <w:lang w:val="en-US"/>
        </w:rPr>
        <w:t xml:space="preserve">, 147 ff; see also Gill, </w:t>
      </w:r>
      <w:r w:rsidRPr="00E6406C">
        <w:rPr>
          <w:i/>
          <w:iCs/>
          <w:lang w:val="en-US"/>
        </w:rPr>
        <w:t>Angels and the Order of Heaven in Medieval and Renaissance Italy</w:t>
      </w:r>
      <w:r w:rsidRPr="00E6406C">
        <w:rPr>
          <w:lang w:val="en-US"/>
        </w:rPr>
        <w:t>, 32–33.</w:t>
      </w:r>
    </w:p>
  </w:footnote>
  <w:footnote w:id="416">
    <w:p w14:paraId="3B7247E0" w14:textId="77777777" w:rsidR="00182EED" w:rsidRDefault="00182EED" w:rsidP="008A116C">
      <w:pPr>
        <w:pStyle w:val="FootnoteText"/>
      </w:pPr>
      <w:r w:rsidRPr="00073E38">
        <w:rPr>
          <w:rStyle w:val="FootnoteReference"/>
        </w:rPr>
        <w:footnoteRef/>
      </w:r>
      <w:r>
        <w:t xml:space="preserve"> </w:t>
      </w:r>
      <w:r w:rsidRPr="00E6406C">
        <w:rPr>
          <w:lang w:val="en-US"/>
        </w:rPr>
        <w:t xml:space="preserve">Keck, </w:t>
      </w:r>
      <w:r w:rsidRPr="00E6406C">
        <w:rPr>
          <w:i/>
          <w:iCs/>
          <w:lang w:val="en-US"/>
        </w:rPr>
        <w:t>Angels and Angelology in the Middle Ages</w:t>
      </w:r>
      <w:r w:rsidRPr="00E6406C">
        <w:rPr>
          <w:lang w:val="en-US"/>
        </w:rPr>
        <w:t>, 161.</w:t>
      </w:r>
    </w:p>
  </w:footnote>
  <w:footnote w:id="417">
    <w:p w14:paraId="2A3C3312" w14:textId="77777777" w:rsidR="00182EED" w:rsidRDefault="00182EED" w:rsidP="008A116C">
      <w:pPr>
        <w:pStyle w:val="FootnoteText"/>
      </w:pPr>
      <w:r w:rsidRPr="00073E38">
        <w:rPr>
          <w:rStyle w:val="FootnoteReference"/>
        </w:rPr>
        <w:footnoteRef/>
      </w:r>
      <w:r>
        <w:t xml:space="preserve"> </w:t>
      </w:r>
      <w:r w:rsidRPr="00F1752F">
        <w:rPr>
          <w:lang w:val="en-US"/>
        </w:rPr>
        <w:t>“</w:t>
      </w:r>
      <w:proofErr w:type="spellStart"/>
      <w:r w:rsidRPr="00F1752F">
        <w:rPr>
          <w:lang w:val="en-US"/>
        </w:rPr>
        <w:t>Intelligendum</w:t>
      </w:r>
      <w:proofErr w:type="spellEnd"/>
      <w:r w:rsidRPr="00F1752F">
        <w:rPr>
          <w:lang w:val="en-US"/>
        </w:rPr>
        <w:t xml:space="preserve"> </w:t>
      </w:r>
      <w:proofErr w:type="spellStart"/>
      <w:r w:rsidRPr="00F1752F">
        <w:rPr>
          <w:lang w:val="en-US"/>
        </w:rPr>
        <w:t>est</w:t>
      </w:r>
      <w:proofErr w:type="spellEnd"/>
      <w:r w:rsidRPr="00F1752F">
        <w:rPr>
          <w:lang w:val="en-US"/>
        </w:rPr>
        <w:t xml:space="preserve">, quod ad </w:t>
      </w:r>
      <w:proofErr w:type="spellStart"/>
      <w:r w:rsidRPr="00F1752F">
        <w:rPr>
          <w:lang w:val="en-US"/>
        </w:rPr>
        <w:t>custodiam</w:t>
      </w:r>
      <w:proofErr w:type="spellEnd"/>
      <w:r w:rsidRPr="00F1752F">
        <w:rPr>
          <w:lang w:val="en-US"/>
        </w:rPr>
        <w:t xml:space="preserve"> hominis Angelus </w:t>
      </w:r>
      <w:proofErr w:type="spellStart"/>
      <w:r w:rsidRPr="00F1752F">
        <w:rPr>
          <w:lang w:val="en-US"/>
        </w:rPr>
        <w:t>deputatur</w:t>
      </w:r>
      <w:proofErr w:type="spellEnd"/>
      <w:r w:rsidRPr="00F1752F">
        <w:rPr>
          <w:lang w:val="en-US"/>
        </w:rPr>
        <w:t xml:space="preserve"> ab </w:t>
      </w:r>
      <w:proofErr w:type="spellStart"/>
      <w:r w:rsidRPr="00F1752F">
        <w:rPr>
          <w:lang w:val="en-US"/>
        </w:rPr>
        <w:t>ortu</w:t>
      </w:r>
      <w:proofErr w:type="spellEnd"/>
      <w:r w:rsidRPr="00F1752F">
        <w:rPr>
          <w:lang w:val="en-US"/>
        </w:rPr>
        <w:t xml:space="preserve"> </w:t>
      </w:r>
      <w:proofErr w:type="spellStart"/>
      <w:r w:rsidRPr="00F1752F">
        <w:rPr>
          <w:lang w:val="en-US"/>
        </w:rPr>
        <w:t>nativitatis</w:t>
      </w:r>
      <w:proofErr w:type="spellEnd"/>
      <w:r w:rsidRPr="00F1752F">
        <w:rPr>
          <w:lang w:val="en-US"/>
        </w:rPr>
        <w:t xml:space="preserve">; et non </w:t>
      </w:r>
      <w:proofErr w:type="spellStart"/>
      <w:r w:rsidRPr="00F1752F">
        <w:rPr>
          <w:lang w:val="en-US"/>
        </w:rPr>
        <w:t>solum</w:t>
      </w:r>
      <w:proofErr w:type="spellEnd"/>
      <w:r w:rsidRPr="00F1752F">
        <w:rPr>
          <w:lang w:val="en-US"/>
        </w:rPr>
        <w:t xml:space="preserve"> </w:t>
      </w:r>
      <w:proofErr w:type="spellStart"/>
      <w:r w:rsidRPr="00F1752F">
        <w:rPr>
          <w:lang w:val="en-US"/>
        </w:rPr>
        <w:t>intelligit</w:t>
      </w:r>
      <w:proofErr w:type="spellEnd"/>
      <w:r w:rsidRPr="00F1752F">
        <w:rPr>
          <w:lang w:val="en-US"/>
        </w:rPr>
        <w:t xml:space="preserve"> de </w:t>
      </w:r>
      <w:proofErr w:type="spellStart"/>
      <w:r w:rsidRPr="00F1752F">
        <w:rPr>
          <w:lang w:val="en-US"/>
        </w:rPr>
        <w:t>nativitate</w:t>
      </w:r>
      <w:proofErr w:type="spellEnd"/>
      <w:r w:rsidRPr="00F1752F">
        <w:rPr>
          <w:lang w:val="en-US"/>
        </w:rPr>
        <w:t xml:space="preserve"> ex utero, sed </w:t>
      </w:r>
      <w:proofErr w:type="spellStart"/>
      <w:r w:rsidRPr="00F1752F">
        <w:rPr>
          <w:lang w:val="en-US"/>
        </w:rPr>
        <w:t>etiam</w:t>
      </w:r>
      <w:proofErr w:type="spellEnd"/>
      <w:r w:rsidRPr="00F1752F">
        <w:rPr>
          <w:lang w:val="en-US"/>
        </w:rPr>
        <w:t xml:space="preserve"> de </w:t>
      </w:r>
      <w:proofErr w:type="spellStart"/>
      <w:r w:rsidRPr="00F1752F">
        <w:rPr>
          <w:lang w:val="en-US"/>
        </w:rPr>
        <w:t>nativitate</w:t>
      </w:r>
      <w:proofErr w:type="spellEnd"/>
      <w:r w:rsidRPr="00F1752F">
        <w:rPr>
          <w:lang w:val="en-US"/>
        </w:rPr>
        <w:t xml:space="preserve"> in utero. Ex </w:t>
      </w:r>
      <w:proofErr w:type="spellStart"/>
      <w:r w:rsidRPr="00F1752F">
        <w:rPr>
          <w:lang w:val="en-US"/>
        </w:rPr>
        <w:t>tunc</w:t>
      </w:r>
      <w:proofErr w:type="spellEnd"/>
      <w:r w:rsidRPr="00F1752F">
        <w:rPr>
          <w:lang w:val="en-US"/>
        </w:rPr>
        <w:t xml:space="preserve"> </w:t>
      </w:r>
      <w:proofErr w:type="spellStart"/>
      <w:r w:rsidRPr="00F1752F">
        <w:rPr>
          <w:lang w:val="en-US"/>
        </w:rPr>
        <w:t>enim</w:t>
      </w:r>
      <w:proofErr w:type="spellEnd"/>
      <w:r w:rsidRPr="00F1752F">
        <w:rPr>
          <w:lang w:val="en-US"/>
        </w:rPr>
        <w:t xml:space="preserve">, </w:t>
      </w:r>
      <w:proofErr w:type="spellStart"/>
      <w:r w:rsidRPr="00F1752F">
        <w:rPr>
          <w:lang w:val="en-US"/>
        </w:rPr>
        <w:t>non ante</w:t>
      </w:r>
      <w:proofErr w:type="spellEnd"/>
      <w:r w:rsidRPr="00F1752F">
        <w:rPr>
          <w:lang w:val="en-US"/>
        </w:rPr>
        <w:t xml:space="preserve">, </w:t>
      </w:r>
      <w:proofErr w:type="spellStart"/>
      <w:r w:rsidRPr="00F1752F">
        <w:rPr>
          <w:lang w:val="en-US"/>
        </w:rPr>
        <w:t>debet</w:t>
      </w:r>
      <w:proofErr w:type="spellEnd"/>
      <w:r w:rsidRPr="00F1752F">
        <w:rPr>
          <w:lang w:val="en-US"/>
        </w:rPr>
        <w:t xml:space="preserve"> angelica custodia circa </w:t>
      </w:r>
      <w:proofErr w:type="spellStart"/>
      <w:r w:rsidRPr="00F1752F">
        <w:rPr>
          <w:lang w:val="en-US"/>
        </w:rPr>
        <w:t>eum</w:t>
      </w:r>
      <w:proofErr w:type="spellEnd"/>
      <w:r w:rsidRPr="00F1752F">
        <w:rPr>
          <w:lang w:val="en-US"/>
        </w:rPr>
        <w:t xml:space="preserve"> qui </w:t>
      </w:r>
      <w:proofErr w:type="spellStart"/>
      <w:r w:rsidRPr="00F1752F">
        <w:rPr>
          <w:lang w:val="en-US"/>
        </w:rPr>
        <w:t>nasciturus</w:t>
      </w:r>
      <w:proofErr w:type="spellEnd"/>
      <w:r w:rsidRPr="00F1752F">
        <w:rPr>
          <w:lang w:val="en-US"/>
        </w:rPr>
        <w:t xml:space="preserve"> </w:t>
      </w:r>
      <w:proofErr w:type="spellStart"/>
      <w:r w:rsidRPr="00F1752F">
        <w:rPr>
          <w:lang w:val="en-US"/>
        </w:rPr>
        <w:t>est</w:t>
      </w:r>
      <w:proofErr w:type="spellEnd"/>
      <w:r w:rsidRPr="00F1752F">
        <w:rPr>
          <w:lang w:val="en-US"/>
        </w:rPr>
        <w:t xml:space="preserve">, </w:t>
      </w:r>
      <w:proofErr w:type="spellStart"/>
      <w:r w:rsidRPr="00F1752F">
        <w:rPr>
          <w:lang w:val="en-US"/>
        </w:rPr>
        <w:t>deputari</w:t>
      </w:r>
      <w:proofErr w:type="spellEnd"/>
      <w:r w:rsidRPr="00F1752F">
        <w:rPr>
          <w:lang w:val="en-US"/>
        </w:rPr>
        <w:t>.” Bonaventure (Saint), “</w:t>
      </w:r>
      <w:proofErr w:type="spellStart"/>
      <w:r w:rsidRPr="00F1752F">
        <w:rPr>
          <w:lang w:val="en-US"/>
        </w:rPr>
        <w:t>Commentaria</w:t>
      </w:r>
      <w:proofErr w:type="spellEnd"/>
      <w:r w:rsidRPr="00F1752F">
        <w:rPr>
          <w:lang w:val="en-US"/>
        </w:rPr>
        <w:t xml:space="preserve"> in </w:t>
      </w:r>
      <w:proofErr w:type="spellStart"/>
      <w:r w:rsidRPr="00F1752F">
        <w:rPr>
          <w:lang w:val="en-US"/>
        </w:rPr>
        <w:t>Quatuor</w:t>
      </w:r>
      <w:proofErr w:type="spellEnd"/>
      <w:r w:rsidRPr="00F1752F">
        <w:rPr>
          <w:lang w:val="en-US"/>
        </w:rPr>
        <w:t xml:space="preserve"> </w:t>
      </w:r>
      <w:proofErr w:type="spellStart"/>
      <w:r w:rsidRPr="00F1752F">
        <w:rPr>
          <w:lang w:val="en-US"/>
        </w:rPr>
        <w:t>Libros</w:t>
      </w:r>
      <w:proofErr w:type="spellEnd"/>
      <w:r w:rsidRPr="00F1752F">
        <w:rPr>
          <w:lang w:val="en-US"/>
        </w:rPr>
        <w:t xml:space="preserve"> </w:t>
      </w:r>
      <w:proofErr w:type="spellStart"/>
      <w:r w:rsidRPr="00F1752F">
        <w:rPr>
          <w:lang w:val="en-US"/>
        </w:rPr>
        <w:t>Sententiarum</w:t>
      </w:r>
      <w:proofErr w:type="spellEnd"/>
      <w:r w:rsidRPr="00F1752F">
        <w:rPr>
          <w:lang w:val="en-US"/>
        </w:rPr>
        <w:t xml:space="preserve"> </w:t>
      </w:r>
      <w:proofErr w:type="spellStart"/>
      <w:r w:rsidRPr="00F1752F">
        <w:rPr>
          <w:lang w:val="en-US"/>
        </w:rPr>
        <w:t>Magistri</w:t>
      </w:r>
      <w:proofErr w:type="spellEnd"/>
      <w:r w:rsidRPr="00F1752F">
        <w:rPr>
          <w:lang w:val="en-US"/>
        </w:rPr>
        <w:t xml:space="preserve"> Petri Lombardi,” in </w:t>
      </w:r>
      <w:r w:rsidRPr="00F1752F">
        <w:rPr>
          <w:i/>
          <w:iCs/>
          <w:lang w:val="en-US"/>
        </w:rPr>
        <w:t>Opera Omnia</w:t>
      </w:r>
      <w:r w:rsidRPr="00F1752F">
        <w:rPr>
          <w:lang w:val="en-US"/>
        </w:rPr>
        <w:t>, ed. the College of St. Bonaventura, vol. 2 (</w:t>
      </w:r>
      <w:proofErr w:type="spellStart"/>
      <w:r w:rsidRPr="00F1752F">
        <w:rPr>
          <w:lang w:val="en-US"/>
        </w:rPr>
        <w:t>Quaracchi</w:t>
      </w:r>
      <w:proofErr w:type="spellEnd"/>
      <w:r w:rsidRPr="00F1752F">
        <w:rPr>
          <w:lang w:val="en-US"/>
        </w:rPr>
        <w:t xml:space="preserve">: Collegium S. </w:t>
      </w:r>
      <w:proofErr w:type="spellStart"/>
      <w:r w:rsidRPr="00F1752F">
        <w:rPr>
          <w:lang w:val="en-US"/>
        </w:rPr>
        <w:t>Bonaventurae</w:t>
      </w:r>
      <w:proofErr w:type="spellEnd"/>
      <w:r w:rsidRPr="00F1752F">
        <w:rPr>
          <w:lang w:val="en-US"/>
        </w:rPr>
        <w:t xml:space="preserve">, n.d.), lib.2, </w:t>
      </w:r>
      <w:proofErr w:type="spellStart"/>
      <w:r w:rsidRPr="00F1752F">
        <w:rPr>
          <w:lang w:val="en-US"/>
        </w:rPr>
        <w:t>distinctio</w:t>
      </w:r>
      <w:proofErr w:type="spellEnd"/>
      <w:r w:rsidRPr="00F1752F">
        <w:rPr>
          <w:lang w:val="en-US"/>
        </w:rPr>
        <w:t xml:space="preserve"> XI, dub. I.</w:t>
      </w:r>
    </w:p>
  </w:footnote>
  <w:footnote w:id="418">
    <w:p w14:paraId="627FF315" w14:textId="77777777" w:rsidR="00182EED" w:rsidRDefault="00182EED" w:rsidP="008A116C">
      <w:pPr>
        <w:pStyle w:val="FootnoteText"/>
      </w:pPr>
      <w:r w:rsidRPr="00073E38">
        <w:rPr>
          <w:rStyle w:val="FootnoteReference"/>
        </w:rPr>
        <w:footnoteRef/>
      </w:r>
      <w:r>
        <w:t xml:space="preserve"> </w:t>
      </w:r>
      <w:r w:rsidRPr="00ED769A">
        <w:rPr>
          <w:lang w:val="en-US"/>
        </w:rPr>
        <w:t xml:space="preserve">“Sed </w:t>
      </w:r>
      <w:proofErr w:type="spellStart"/>
      <w:r w:rsidRPr="00ED769A">
        <w:rPr>
          <w:lang w:val="en-US"/>
        </w:rPr>
        <w:t>ea</w:t>
      </w:r>
      <w:proofErr w:type="spellEnd"/>
      <w:r w:rsidRPr="00ED769A">
        <w:rPr>
          <w:lang w:val="en-US"/>
        </w:rPr>
        <w:t xml:space="preserve"> </w:t>
      </w:r>
      <w:proofErr w:type="spellStart"/>
      <w:r w:rsidRPr="00ED769A">
        <w:rPr>
          <w:lang w:val="en-US"/>
        </w:rPr>
        <w:t>quae</w:t>
      </w:r>
      <w:proofErr w:type="spellEnd"/>
      <w:r w:rsidRPr="00ED769A">
        <w:rPr>
          <w:lang w:val="en-US"/>
        </w:rPr>
        <w:t xml:space="preserve"> </w:t>
      </w:r>
      <w:proofErr w:type="spellStart"/>
      <w:r w:rsidRPr="00ED769A">
        <w:rPr>
          <w:lang w:val="en-US"/>
        </w:rPr>
        <w:t>providentur</w:t>
      </w:r>
      <w:proofErr w:type="spellEnd"/>
      <w:r w:rsidRPr="00ED769A">
        <w:rPr>
          <w:lang w:val="en-US"/>
        </w:rPr>
        <w:t xml:space="preserve"> </w:t>
      </w:r>
      <w:proofErr w:type="spellStart"/>
      <w:r w:rsidRPr="00ED769A">
        <w:rPr>
          <w:lang w:val="en-US"/>
        </w:rPr>
        <w:t>homini</w:t>
      </w:r>
      <w:proofErr w:type="spellEnd"/>
      <w:r w:rsidRPr="00ED769A">
        <w:rPr>
          <w:lang w:val="en-US"/>
        </w:rPr>
        <w:t xml:space="preserve"> a Deo, </w:t>
      </w:r>
      <w:proofErr w:type="spellStart"/>
      <w:r w:rsidRPr="00ED769A">
        <w:rPr>
          <w:lang w:val="en-US"/>
        </w:rPr>
        <w:t>inquantum</w:t>
      </w:r>
      <w:proofErr w:type="spellEnd"/>
      <w:r w:rsidRPr="00ED769A">
        <w:rPr>
          <w:lang w:val="en-US"/>
        </w:rPr>
        <w:t xml:space="preserve"> </w:t>
      </w:r>
      <w:proofErr w:type="spellStart"/>
      <w:r w:rsidRPr="00ED769A">
        <w:rPr>
          <w:lang w:val="en-US"/>
        </w:rPr>
        <w:t>habet</w:t>
      </w:r>
      <w:proofErr w:type="spellEnd"/>
      <w:r w:rsidRPr="00ED769A">
        <w:rPr>
          <w:lang w:val="en-US"/>
        </w:rPr>
        <w:t xml:space="preserve"> </w:t>
      </w:r>
      <w:proofErr w:type="spellStart"/>
      <w:r w:rsidRPr="00ED769A">
        <w:rPr>
          <w:lang w:val="en-US"/>
        </w:rPr>
        <w:t>naturam</w:t>
      </w:r>
      <w:proofErr w:type="spellEnd"/>
      <w:r w:rsidRPr="00ED769A">
        <w:rPr>
          <w:lang w:val="en-US"/>
        </w:rPr>
        <w:t xml:space="preserve"> </w:t>
      </w:r>
      <w:proofErr w:type="spellStart"/>
      <w:r w:rsidRPr="00ED769A">
        <w:rPr>
          <w:lang w:val="en-US"/>
        </w:rPr>
        <w:t>rationalem</w:t>
      </w:r>
      <w:proofErr w:type="spellEnd"/>
      <w:r w:rsidRPr="00ED769A">
        <w:rPr>
          <w:lang w:val="en-US"/>
        </w:rPr>
        <w:t xml:space="preserve">, ex </w:t>
      </w:r>
      <w:proofErr w:type="spellStart"/>
      <w:r w:rsidRPr="00ED769A">
        <w:rPr>
          <w:lang w:val="en-US"/>
        </w:rPr>
        <w:t>tunc</w:t>
      </w:r>
      <w:proofErr w:type="spellEnd"/>
      <w:r w:rsidRPr="00ED769A">
        <w:rPr>
          <w:lang w:val="en-US"/>
        </w:rPr>
        <w:t xml:space="preserve"> </w:t>
      </w:r>
      <w:proofErr w:type="spellStart"/>
      <w:r w:rsidRPr="00ED769A">
        <w:rPr>
          <w:lang w:val="en-US"/>
        </w:rPr>
        <w:t>ei</w:t>
      </w:r>
      <w:proofErr w:type="spellEnd"/>
      <w:r w:rsidRPr="00ED769A">
        <w:rPr>
          <w:lang w:val="en-US"/>
        </w:rPr>
        <w:t xml:space="preserve"> </w:t>
      </w:r>
      <w:proofErr w:type="spellStart"/>
      <w:r w:rsidRPr="00ED769A">
        <w:rPr>
          <w:lang w:val="en-US"/>
        </w:rPr>
        <w:t>exhibentur</w:t>
      </w:r>
      <w:proofErr w:type="spellEnd"/>
      <w:r w:rsidRPr="00ED769A">
        <w:rPr>
          <w:lang w:val="en-US"/>
        </w:rPr>
        <w:t xml:space="preserve">, ex quo </w:t>
      </w:r>
      <w:proofErr w:type="spellStart"/>
      <w:r w:rsidRPr="00ED769A">
        <w:rPr>
          <w:lang w:val="en-US"/>
        </w:rPr>
        <w:t>nascendo</w:t>
      </w:r>
      <w:proofErr w:type="spellEnd"/>
      <w:r w:rsidRPr="00ED769A">
        <w:rPr>
          <w:lang w:val="en-US"/>
        </w:rPr>
        <w:t xml:space="preserve"> </w:t>
      </w:r>
      <w:proofErr w:type="spellStart"/>
      <w:r w:rsidRPr="00ED769A">
        <w:rPr>
          <w:lang w:val="en-US"/>
        </w:rPr>
        <w:t>talem</w:t>
      </w:r>
      <w:proofErr w:type="spellEnd"/>
      <w:r w:rsidRPr="00ED769A">
        <w:rPr>
          <w:lang w:val="en-US"/>
        </w:rPr>
        <w:t xml:space="preserve"> </w:t>
      </w:r>
      <w:proofErr w:type="spellStart"/>
      <w:r w:rsidRPr="00ED769A">
        <w:rPr>
          <w:lang w:val="en-US"/>
        </w:rPr>
        <w:t>naturam</w:t>
      </w:r>
      <w:proofErr w:type="spellEnd"/>
      <w:r w:rsidRPr="00ED769A">
        <w:rPr>
          <w:lang w:val="en-US"/>
        </w:rPr>
        <w:t xml:space="preserve"> </w:t>
      </w:r>
      <w:proofErr w:type="spellStart"/>
      <w:r w:rsidRPr="00ED769A">
        <w:rPr>
          <w:lang w:val="en-US"/>
        </w:rPr>
        <w:t>accipit</w:t>
      </w:r>
      <w:proofErr w:type="spellEnd"/>
      <w:r w:rsidRPr="00ED769A">
        <w:rPr>
          <w:lang w:val="en-US"/>
        </w:rPr>
        <w:t xml:space="preserve">. Et tale beneficium </w:t>
      </w:r>
      <w:proofErr w:type="spellStart"/>
      <w:r w:rsidRPr="00ED769A">
        <w:rPr>
          <w:lang w:val="en-US"/>
        </w:rPr>
        <w:t>est</w:t>
      </w:r>
      <w:proofErr w:type="spellEnd"/>
      <w:r w:rsidRPr="00ED769A">
        <w:rPr>
          <w:lang w:val="en-US"/>
        </w:rPr>
        <w:t xml:space="preserve"> custodia </w:t>
      </w:r>
      <w:proofErr w:type="spellStart"/>
      <w:r w:rsidRPr="00ED769A">
        <w:rPr>
          <w:lang w:val="en-US"/>
        </w:rPr>
        <w:t>Angelorum</w:t>
      </w:r>
      <w:proofErr w:type="spellEnd"/>
      <w:r w:rsidRPr="00ED769A">
        <w:rPr>
          <w:lang w:val="en-US"/>
        </w:rPr>
        <w:t xml:space="preserve"> … </w:t>
      </w:r>
      <w:proofErr w:type="spellStart"/>
      <w:r w:rsidRPr="00ED769A">
        <w:rPr>
          <w:lang w:val="en-US"/>
        </w:rPr>
        <w:t>Unde</w:t>
      </w:r>
      <w:proofErr w:type="spellEnd"/>
      <w:r w:rsidRPr="00ED769A">
        <w:rPr>
          <w:lang w:val="en-US"/>
        </w:rPr>
        <w:t xml:space="preserve"> </w:t>
      </w:r>
      <w:proofErr w:type="spellStart"/>
      <w:r w:rsidRPr="00ED769A">
        <w:rPr>
          <w:lang w:val="en-US"/>
        </w:rPr>
        <w:t>statim</w:t>
      </w:r>
      <w:proofErr w:type="spellEnd"/>
      <w:r w:rsidRPr="00ED769A">
        <w:rPr>
          <w:lang w:val="en-US"/>
        </w:rPr>
        <w:t xml:space="preserve"> a </w:t>
      </w:r>
      <w:proofErr w:type="spellStart"/>
      <w:r w:rsidRPr="00ED769A">
        <w:rPr>
          <w:lang w:val="en-US"/>
        </w:rPr>
        <w:t>nativitate</w:t>
      </w:r>
      <w:proofErr w:type="spellEnd"/>
      <w:r w:rsidRPr="00ED769A">
        <w:rPr>
          <w:lang w:val="en-US"/>
        </w:rPr>
        <w:t xml:space="preserve"> </w:t>
      </w:r>
      <w:proofErr w:type="spellStart"/>
      <w:r w:rsidRPr="00ED769A">
        <w:rPr>
          <w:lang w:val="en-US"/>
        </w:rPr>
        <w:t>habet</w:t>
      </w:r>
      <w:proofErr w:type="spellEnd"/>
      <w:r w:rsidRPr="00ED769A">
        <w:rPr>
          <w:lang w:val="en-US"/>
        </w:rPr>
        <w:t xml:space="preserve"> homo </w:t>
      </w:r>
      <w:proofErr w:type="spellStart"/>
      <w:r w:rsidRPr="00ED769A">
        <w:rPr>
          <w:lang w:val="en-US"/>
        </w:rPr>
        <w:t>Angelum</w:t>
      </w:r>
      <w:proofErr w:type="spellEnd"/>
      <w:r w:rsidRPr="00ED769A">
        <w:rPr>
          <w:lang w:val="en-US"/>
        </w:rPr>
        <w:t xml:space="preserve"> ad sui </w:t>
      </w:r>
      <w:proofErr w:type="spellStart"/>
      <w:r w:rsidRPr="00ED769A">
        <w:rPr>
          <w:lang w:val="en-US"/>
        </w:rPr>
        <w:t>custodiam</w:t>
      </w:r>
      <w:proofErr w:type="spellEnd"/>
      <w:r w:rsidRPr="00ED769A">
        <w:rPr>
          <w:lang w:val="en-US"/>
        </w:rPr>
        <w:t xml:space="preserve"> </w:t>
      </w:r>
      <w:proofErr w:type="spellStart"/>
      <w:r w:rsidRPr="00ED769A">
        <w:rPr>
          <w:lang w:val="en-US"/>
        </w:rPr>
        <w:t>deputatum</w:t>
      </w:r>
      <w:proofErr w:type="spellEnd"/>
      <w:r w:rsidRPr="00ED769A">
        <w:rPr>
          <w:lang w:val="en-US"/>
        </w:rPr>
        <w:t xml:space="preserve"> … </w:t>
      </w:r>
      <w:proofErr w:type="spellStart"/>
      <w:r w:rsidRPr="00ED769A">
        <w:rPr>
          <w:lang w:val="en-US"/>
        </w:rPr>
        <w:t>puer</w:t>
      </w:r>
      <w:proofErr w:type="spellEnd"/>
      <w:r w:rsidRPr="00ED769A">
        <w:rPr>
          <w:lang w:val="en-US"/>
        </w:rPr>
        <w:t xml:space="preserve"> </w:t>
      </w:r>
      <w:proofErr w:type="spellStart"/>
      <w:r w:rsidRPr="00ED769A">
        <w:rPr>
          <w:lang w:val="en-US"/>
        </w:rPr>
        <w:t>quandiu</w:t>
      </w:r>
      <w:proofErr w:type="spellEnd"/>
      <w:r w:rsidRPr="00ED769A">
        <w:rPr>
          <w:lang w:val="en-US"/>
        </w:rPr>
        <w:t xml:space="preserve"> </w:t>
      </w:r>
      <w:proofErr w:type="spellStart"/>
      <w:r w:rsidRPr="00ED769A">
        <w:rPr>
          <w:lang w:val="en-US"/>
        </w:rPr>
        <w:t>est</w:t>
      </w:r>
      <w:proofErr w:type="spellEnd"/>
      <w:r w:rsidRPr="00ED769A">
        <w:rPr>
          <w:lang w:val="en-US"/>
        </w:rPr>
        <w:t xml:space="preserve"> in </w:t>
      </w:r>
      <w:proofErr w:type="spellStart"/>
      <w:r w:rsidRPr="00ED769A">
        <w:rPr>
          <w:lang w:val="en-US"/>
        </w:rPr>
        <w:t>materno</w:t>
      </w:r>
      <w:proofErr w:type="spellEnd"/>
      <w:r w:rsidRPr="00ED769A">
        <w:rPr>
          <w:lang w:val="en-US"/>
        </w:rPr>
        <w:t xml:space="preserve"> utero, non </w:t>
      </w:r>
      <w:proofErr w:type="spellStart"/>
      <w:r w:rsidRPr="00ED769A">
        <w:rPr>
          <w:lang w:val="en-US"/>
        </w:rPr>
        <w:t>totaliter</w:t>
      </w:r>
      <w:proofErr w:type="spellEnd"/>
      <w:r w:rsidRPr="00ED769A">
        <w:rPr>
          <w:lang w:val="en-US"/>
        </w:rPr>
        <w:t xml:space="preserve"> </w:t>
      </w:r>
      <w:proofErr w:type="spellStart"/>
      <w:r w:rsidRPr="00ED769A">
        <w:rPr>
          <w:lang w:val="en-US"/>
        </w:rPr>
        <w:t>est</w:t>
      </w:r>
      <w:proofErr w:type="spellEnd"/>
      <w:r w:rsidRPr="00ED769A">
        <w:rPr>
          <w:lang w:val="en-US"/>
        </w:rPr>
        <w:t xml:space="preserve"> a </w:t>
      </w:r>
      <w:proofErr w:type="spellStart"/>
      <w:r w:rsidRPr="00ED769A">
        <w:rPr>
          <w:lang w:val="en-US"/>
        </w:rPr>
        <w:t>matre</w:t>
      </w:r>
      <w:proofErr w:type="spellEnd"/>
      <w:r w:rsidRPr="00ED769A">
        <w:rPr>
          <w:lang w:val="en-US"/>
        </w:rPr>
        <w:t xml:space="preserve"> </w:t>
      </w:r>
      <w:proofErr w:type="spellStart"/>
      <w:r w:rsidRPr="00ED769A">
        <w:rPr>
          <w:lang w:val="en-US"/>
        </w:rPr>
        <w:t>separatus</w:t>
      </w:r>
      <w:proofErr w:type="spellEnd"/>
      <w:r w:rsidRPr="00ED769A">
        <w:rPr>
          <w:lang w:val="en-US"/>
        </w:rPr>
        <w:t xml:space="preserve"> … Et </w:t>
      </w:r>
      <w:proofErr w:type="spellStart"/>
      <w:r w:rsidRPr="00ED769A">
        <w:rPr>
          <w:lang w:val="en-US"/>
        </w:rPr>
        <w:t>ideo</w:t>
      </w:r>
      <w:proofErr w:type="spellEnd"/>
      <w:r w:rsidRPr="00ED769A">
        <w:rPr>
          <w:lang w:val="en-US"/>
        </w:rPr>
        <w:t xml:space="preserve"> </w:t>
      </w:r>
      <w:proofErr w:type="spellStart"/>
      <w:r w:rsidRPr="00ED769A">
        <w:rPr>
          <w:lang w:val="en-US"/>
        </w:rPr>
        <w:t>probabiliter</w:t>
      </w:r>
      <w:proofErr w:type="spellEnd"/>
      <w:r w:rsidRPr="00ED769A">
        <w:rPr>
          <w:lang w:val="en-US"/>
        </w:rPr>
        <w:t xml:space="preserve"> </w:t>
      </w:r>
      <w:proofErr w:type="spellStart"/>
      <w:r w:rsidRPr="00ED769A">
        <w:rPr>
          <w:lang w:val="en-US"/>
        </w:rPr>
        <w:t>dici</w:t>
      </w:r>
      <w:proofErr w:type="spellEnd"/>
      <w:r w:rsidRPr="00ED769A">
        <w:rPr>
          <w:lang w:val="en-US"/>
        </w:rPr>
        <w:t xml:space="preserve"> </w:t>
      </w:r>
      <w:proofErr w:type="spellStart"/>
      <w:r w:rsidRPr="00ED769A">
        <w:rPr>
          <w:lang w:val="en-US"/>
        </w:rPr>
        <w:t>potest</w:t>
      </w:r>
      <w:proofErr w:type="spellEnd"/>
      <w:r w:rsidRPr="00ED769A">
        <w:rPr>
          <w:lang w:val="en-US"/>
        </w:rPr>
        <w:t xml:space="preserve"> quod Angelus qui </w:t>
      </w:r>
      <w:proofErr w:type="spellStart"/>
      <w:r w:rsidRPr="00ED769A">
        <w:rPr>
          <w:lang w:val="en-US"/>
        </w:rPr>
        <w:t>est</w:t>
      </w:r>
      <w:proofErr w:type="spellEnd"/>
      <w:r w:rsidRPr="00ED769A">
        <w:rPr>
          <w:lang w:val="en-US"/>
        </w:rPr>
        <w:t xml:space="preserve"> in custodia </w:t>
      </w:r>
      <w:proofErr w:type="spellStart"/>
      <w:r w:rsidRPr="00ED769A">
        <w:rPr>
          <w:lang w:val="en-US"/>
        </w:rPr>
        <w:t>matris</w:t>
      </w:r>
      <w:proofErr w:type="spellEnd"/>
      <w:r w:rsidRPr="00ED769A">
        <w:rPr>
          <w:lang w:val="en-US"/>
        </w:rPr>
        <w:t xml:space="preserve">, </w:t>
      </w:r>
      <w:proofErr w:type="spellStart"/>
      <w:r w:rsidRPr="00ED769A">
        <w:rPr>
          <w:lang w:val="en-US"/>
        </w:rPr>
        <w:t>custodiat</w:t>
      </w:r>
      <w:proofErr w:type="spellEnd"/>
      <w:r w:rsidRPr="00ED769A">
        <w:rPr>
          <w:lang w:val="en-US"/>
        </w:rPr>
        <w:t xml:space="preserve"> </w:t>
      </w:r>
      <w:proofErr w:type="spellStart"/>
      <w:r w:rsidRPr="00ED769A">
        <w:rPr>
          <w:lang w:val="en-US"/>
        </w:rPr>
        <w:t>prolem</w:t>
      </w:r>
      <w:proofErr w:type="spellEnd"/>
      <w:r w:rsidRPr="00ED769A">
        <w:rPr>
          <w:lang w:val="en-US"/>
        </w:rPr>
        <w:t xml:space="preserve"> in </w:t>
      </w:r>
      <w:proofErr w:type="spellStart"/>
      <w:r w:rsidRPr="00ED769A">
        <w:rPr>
          <w:lang w:val="en-US"/>
        </w:rPr>
        <w:t>matris</w:t>
      </w:r>
      <w:proofErr w:type="spellEnd"/>
      <w:r w:rsidRPr="00ED769A">
        <w:rPr>
          <w:lang w:val="en-US"/>
        </w:rPr>
        <w:t xml:space="preserve"> utero </w:t>
      </w:r>
      <w:proofErr w:type="spellStart"/>
      <w:r w:rsidRPr="00ED769A">
        <w:rPr>
          <w:lang w:val="en-US"/>
        </w:rPr>
        <w:t>existentem</w:t>
      </w:r>
      <w:proofErr w:type="spellEnd"/>
      <w:r w:rsidRPr="00ED769A">
        <w:rPr>
          <w:lang w:val="en-US"/>
        </w:rPr>
        <w:t xml:space="preserve">.” Thomas Aquinas (Saint), </w:t>
      </w:r>
      <w:r w:rsidRPr="00ED769A">
        <w:rPr>
          <w:i/>
          <w:iCs/>
          <w:lang w:val="en-US"/>
        </w:rPr>
        <w:t xml:space="preserve">Summa </w:t>
      </w:r>
      <w:proofErr w:type="spellStart"/>
      <w:r w:rsidRPr="00ED769A">
        <w:rPr>
          <w:i/>
          <w:iCs/>
          <w:lang w:val="en-US"/>
        </w:rPr>
        <w:t>Theologiae</w:t>
      </w:r>
      <w:proofErr w:type="spellEnd"/>
      <w:r w:rsidRPr="00ED769A">
        <w:rPr>
          <w:i/>
          <w:iCs/>
          <w:lang w:val="en-US"/>
        </w:rPr>
        <w:t>, Vol. 15, The World Order</w:t>
      </w:r>
      <w:r w:rsidRPr="00ED769A">
        <w:rPr>
          <w:lang w:val="en-US"/>
        </w:rPr>
        <w:t>, q.113, a.5, 62; English translation in ibid., 63.</w:t>
      </w:r>
    </w:p>
  </w:footnote>
  <w:footnote w:id="419">
    <w:p w14:paraId="619D59A6" w14:textId="77777777" w:rsidR="00182EED" w:rsidRDefault="00182EED" w:rsidP="008A116C">
      <w:pPr>
        <w:pStyle w:val="FootnoteText"/>
      </w:pPr>
      <w:r w:rsidRPr="00073E38">
        <w:rPr>
          <w:rStyle w:val="FootnoteReference"/>
        </w:rPr>
        <w:footnoteRef/>
      </w:r>
      <w:r>
        <w:t xml:space="preserve"> </w:t>
      </w:r>
      <w:r w:rsidRPr="00F1752F">
        <w:rPr>
          <w:lang w:val="en-US"/>
        </w:rPr>
        <w:t xml:space="preserve">Konrad </w:t>
      </w:r>
      <w:proofErr w:type="spellStart"/>
      <w:r w:rsidRPr="00F1752F">
        <w:rPr>
          <w:lang w:val="en-US"/>
        </w:rPr>
        <w:t>Eisenbichler</w:t>
      </w:r>
      <w:proofErr w:type="spellEnd"/>
      <w:r w:rsidRPr="00F1752F">
        <w:rPr>
          <w:lang w:val="en-US"/>
        </w:rPr>
        <w:t xml:space="preserve">, “Devotion to the Archangel Raphael in Renaissance Florence,” in </w:t>
      </w:r>
      <w:r w:rsidRPr="00F1752F">
        <w:rPr>
          <w:i/>
          <w:iCs/>
          <w:lang w:val="en-US"/>
        </w:rPr>
        <w:t>Saints Studies in Hagiography</w:t>
      </w:r>
      <w:r w:rsidRPr="00F1752F">
        <w:rPr>
          <w:lang w:val="en-US"/>
        </w:rPr>
        <w:t xml:space="preserve">, ed. Sandro </w:t>
      </w:r>
      <w:proofErr w:type="spellStart"/>
      <w:r w:rsidRPr="00F1752F">
        <w:rPr>
          <w:lang w:val="en-US"/>
        </w:rPr>
        <w:t>Sticca</w:t>
      </w:r>
      <w:proofErr w:type="spellEnd"/>
      <w:r w:rsidRPr="00F1752F">
        <w:rPr>
          <w:lang w:val="en-US"/>
        </w:rPr>
        <w:t xml:space="preserve"> (Binghamton, New York: Center for Medieval &amp; early Renaissance Studies, 1996), 251–52 and 255; see also Gill, </w:t>
      </w:r>
      <w:r w:rsidRPr="00F1752F">
        <w:rPr>
          <w:i/>
          <w:iCs/>
          <w:lang w:val="en-US"/>
        </w:rPr>
        <w:t>Angels and the Order of Heaven in Medieval and Renaissance Italy</w:t>
      </w:r>
      <w:r w:rsidRPr="00F1752F">
        <w:rPr>
          <w:lang w:val="en-US"/>
        </w:rPr>
        <w:t>, 171–92.</w:t>
      </w:r>
    </w:p>
  </w:footnote>
  <w:footnote w:id="420">
    <w:p w14:paraId="6C851A28" w14:textId="77777777" w:rsidR="00182EED" w:rsidRDefault="00182EED" w:rsidP="008A116C">
      <w:pPr>
        <w:pStyle w:val="FootnoteText"/>
      </w:pPr>
      <w:r w:rsidRPr="00073E38">
        <w:rPr>
          <w:rStyle w:val="FootnoteReference"/>
        </w:rPr>
        <w:footnoteRef/>
      </w:r>
      <w:r>
        <w:t xml:space="preserve"> </w:t>
      </w:r>
      <w:r w:rsidRPr="00B375C4">
        <w:rPr>
          <w:lang w:val="en-US"/>
        </w:rPr>
        <w:t xml:space="preserve">Gertrude M. Achenbach, “The Iconography of Tobias and the Angel in Florentine Paintings of the Renaissance,” </w:t>
      </w:r>
      <w:proofErr w:type="spellStart"/>
      <w:r w:rsidRPr="00B375C4">
        <w:rPr>
          <w:i/>
          <w:iCs/>
          <w:lang w:val="en-US"/>
        </w:rPr>
        <w:t>Marsyas</w:t>
      </w:r>
      <w:proofErr w:type="spellEnd"/>
      <w:r w:rsidRPr="00B375C4">
        <w:rPr>
          <w:lang w:val="en-US"/>
        </w:rPr>
        <w:t xml:space="preserve"> III (1945): 72.</w:t>
      </w:r>
    </w:p>
  </w:footnote>
  <w:footnote w:id="421">
    <w:p w14:paraId="49495D1A" w14:textId="77777777" w:rsidR="00182EED" w:rsidRDefault="00182EED" w:rsidP="008A116C">
      <w:pPr>
        <w:pStyle w:val="FootnoteText"/>
      </w:pPr>
      <w:r w:rsidRPr="00073E38">
        <w:rPr>
          <w:rStyle w:val="FootnoteReference"/>
        </w:rPr>
        <w:footnoteRef/>
      </w:r>
      <w:r>
        <w:t xml:space="preserve"> </w:t>
      </w:r>
      <w:proofErr w:type="spellStart"/>
      <w:r w:rsidRPr="00B375C4">
        <w:rPr>
          <w:lang w:val="en-US"/>
        </w:rPr>
        <w:t>Eisenbichler</w:t>
      </w:r>
      <w:proofErr w:type="spellEnd"/>
      <w:r w:rsidRPr="00B375C4">
        <w:rPr>
          <w:lang w:val="en-US"/>
        </w:rPr>
        <w:t>, “Devotion to the Archangel Raphael in Renaissance Florence,” 257.</w:t>
      </w:r>
    </w:p>
  </w:footnote>
  <w:footnote w:id="422">
    <w:p w14:paraId="1E858FEE" w14:textId="77777777" w:rsidR="00182EED" w:rsidRDefault="00182EED" w:rsidP="008A116C">
      <w:pPr>
        <w:pStyle w:val="FootnoteText"/>
      </w:pPr>
      <w:r w:rsidRPr="00073E38">
        <w:rPr>
          <w:rStyle w:val="FootnoteReference"/>
        </w:rPr>
        <w:footnoteRef/>
      </w:r>
      <w:r>
        <w:t xml:space="preserve"> </w:t>
      </w:r>
      <w:r w:rsidRPr="00B375C4">
        <w:rPr>
          <w:lang w:val="en-US"/>
        </w:rPr>
        <w:t xml:space="preserve">E. H. </w:t>
      </w:r>
      <w:proofErr w:type="spellStart"/>
      <w:r w:rsidRPr="00B375C4">
        <w:rPr>
          <w:lang w:val="en-US"/>
        </w:rPr>
        <w:t>Gombrich</w:t>
      </w:r>
      <w:proofErr w:type="spellEnd"/>
      <w:r w:rsidRPr="00B375C4">
        <w:rPr>
          <w:lang w:val="en-US"/>
        </w:rPr>
        <w:t xml:space="preserve">, </w:t>
      </w:r>
      <w:r w:rsidRPr="00B375C4">
        <w:rPr>
          <w:i/>
          <w:iCs/>
          <w:lang w:val="en-US"/>
        </w:rPr>
        <w:t>Symbolic Images: Studies in the Art of the Renaissance</w:t>
      </w:r>
      <w:r w:rsidRPr="00B375C4">
        <w:rPr>
          <w:lang w:val="en-US"/>
        </w:rPr>
        <w:t xml:space="preserve">, 2nd ed. (Oxford: </w:t>
      </w:r>
      <w:proofErr w:type="spellStart"/>
      <w:r w:rsidRPr="00B375C4">
        <w:rPr>
          <w:lang w:val="en-US"/>
        </w:rPr>
        <w:t>Phaidon</w:t>
      </w:r>
      <w:proofErr w:type="spellEnd"/>
      <w:r w:rsidRPr="00B375C4">
        <w:rPr>
          <w:lang w:val="en-US"/>
        </w:rPr>
        <w:t>, 1972), 26.</w:t>
      </w:r>
    </w:p>
  </w:footnote>
  <w:footnote w:id="423">
    <w:p w14:paraId="04EF5D01" w14:textId="77777777" w:rsidR="00182EED" w:rsidRDefault="00182EED" w:rsidP="008A116C">
      <w:pPr>
        <w:pStyle w:val="FootnoteText"/>
      </w:pPr>
      <w:r w:rsidRPr="00073E38">
        <w:rPr>
          <w:rStyle w:val="FootnoteReference"/>
        </w:rPr>
        <w:footnoteRef/>
      </w:r>
      <w:r>
        <w:t xml:space="preserve"> </w:t>
      </w:r>
      <w:r w:rsidRPr="00B375C4">
        <w:rPr>
          <w:lang w:val="en-US"/>
        </w:rPr>
        <w:t>Achenbach, “The Iconography of Tobias and the Angel in Florentine Paintings of the Renaissance,” 74.</w:t>
      </w:r>
    </w:p>
  </w:footnote>
  <w:footnote w:id="424">
    <w:p w14:paraId="6DCFA409" w14:textId="77777777" w:rsidR="00182EED" w:rsidRDefault="00182EED" w:rsidP="008A116C">
      <w:pPr>
        <w:pStyle w:val="FootnoteText"/>
      </w:pPr>
      <w:r w:rsidRPr="00073E38">
        <w:rPr>
          <w:rStyle w:val="FootnoteReference"/>
        </w:rPr>
        <w:footnoteRef/>
      </w:r>
      <w:r>
        <w:t xml:space="preserve"> </w:t>
      </w:r>
      <w:r w:rsidRPr="00B375C4">
        <w:rPr>
          <w:lang w:val="en-US"/>
        </w:rPr>
        <w:t xml:space="preserve">Alessandro </w:t>
      </w:r>
      <w:proofErr w:type="spellStart"/>
      <w:r w:rsidRPr="00B375C4">
        <w:rPr>
          <w:lang w:val="en-US"/>
        </w:rPr>
        <w:t>d’Ancona</w:t>
      </w:r>
      <w:proofErr w:type="spellEnd"/>
      <w:r w:rsidRPr="00B375C4">
        <w:rPr>
          <w:lang w:val="en-US"/>
        </w:rPr>
        <w:t xml:space="preserve">, </w:t>
      </w:r>
      <w:proofErr w:type="spellStart"/>
      <w:r w:rsidRPr="00B375C4">
        <w:rPr>
          <w:i/>
          <w:iCs/>
          <w:lang w:val="en-US"/>
        </w:rPr>
        <w:t>Sacre</w:t>
      </w:r>
      <w:proofErr w:type="spellEnd"/>
      <w:r w:rsidRPr="00B375C4">
        <w:rPr>
          <w:i/>
          <w:iCs/>
          <w:lang w:val="en-US"/>
        </w:rPr>
        <w:t xml:space="preserve"> </w:t>
      </w:r>
      <w:proofErr w:type="spellStart"/>
      <w:r w:rsidRPr="00B375C4">
        <w:rPr>
          <w:i/>
          <w:iCs/>
          <w:lang w:val="en-US"/>
        </w:rPr>
        <w:t>Rappresentazioni</w:t>
      </w:r>
      <w:proofErr w:type="spellEnd"/>
      <w:r w:rsidRPr="00B375C4">
        <w:rPr>
          <w:i/>
          <w:iCs/>
          <w:lang w:val="en-US"/>
        </w:rPr>
        <w:t xml:space="preserve"> </w:t>
      </w:r>
      <w:proofErr w:type="spellStart"/>
      <w:r w:rsidRPr="00B375C4">
        <w:rPr>
          <w:i/>
          <w:iCs/>
          <w:lang w:val="en-US"/>
        </w:rPr>
        <w:t>dei</w:t>
      </w:r>
      <w:proofErr w:type="spellEnd"/>
      <w:r w:rsidRPr="00B375C4">
        <w:rPr>
          <w:i/>
          <w:iCs/>
          <w:lang w:val="en-US"/>
        </w:rPr>
        <w:t xml:space="preserve"> </w:t>
      </w:r>
      <w:proofErr w:type="spellStart"/>
      <w:r w:rsidRPr="00B375C4">
        <w:rPr>
          <w:i/>
          <w:iCs/>
          <w:lang w:val="en-US"/>
        </w:rPr>
        <w:t>Secoli</w:t>
      </w:r>
      <w:proofErr w:type="spellEnd"/>
      <w:r w:rsidRPr="00B375C4">
        <w:rPr>
          <w:i/>
          <w:iCs/>
          <w:lang w:val="en-US"/>
        </w:rPr>
        <w:t xml:space="preserve"> XIV, XV e XVI</w:t>
      </w:r>
      <w:r w:rsidRPr="00B375C4">
        <w:rPr>
          <w:lang w:val="en-US"/>
        </w:rPr>
        <w:t xml:space="preserve">, vol. 1 (Florence: </w:t>
      </w:r>
      <w:proofErr w:type="spellStart"/>
      <w:r w:rsidRPr="00B375C4">
        <w:rPr>
          <w:lang w:val="en-US"/>
        </w:rPr>
        <w:t>Successori</w:t>
      </w:r>
      <w:proofErr w:type="spellEnd"/>
      <w:r w:rsidRPr="00B375C4">
        <w:rPr>
          <w:lang w:val="en-US"/>
        </w:rPr>
        <w:t xml:space="preserve"> Le Monnier, 1872), 97–128.</w:t>
      </w:r>
    </w:p>
  </w:footnote>
  <w:footnote w:id="425">
    <w:p w14:paraId="51D4E1B5" w14:textId="77777777" w:rsidR="00182EED" w:rsidRDefault="00182EED" w:rsidP="008A116C">
      <w:pPr>
        <w:pStyle w:val="FootnoteText"/>
      </w:pPr>
      <w:r w:rsidRPr="00073E38">
        <w:rPr>
          <w:rStyle w:val="FootnoteReference"/>
        </w:rPr>
        <w:footnoteRef/>
      </w:r>
      <w:r>
        <w:t xml:space="preserve"> </w:t>
      </w:r>
      <w:r w:rsidRPr="00ED769A">
        <w:rPr>
          <w:lang w:val="en-US"/>
        </w:rPr>
        <w:t>“</w:t>
      </w:r>
      <w:proofErr w:type="spellStart"/>
      <w:r w:rsidRPr="00ED769A">
        <w:rPr>
          <w:lang w:val="en-US"/>
        </w:rPr>
        <w:t>L’Angiolo</w:t>
      </w:r>
      <w:proofErr w:type="spellEnd"/>
      <w:r w:rsidRPr="00ED769A">
        <w:rPr>
          <w:lang w:val="en-US"/>
        </w:rPr>
        <w:t xml:space="preserve"> Raffaello, </w:t>
      </w:r>
      <w:proofErr w:type="spellStart"/>
      <w:r w:rsidRPr="00ED769A">
        <w:rPr>
          <w:lang w:val="en-US"/>
        </w:rPr>
        <w:t>che</w:t>
      </w:r>
      <w:proofErr w:type="spellEnd"/>
      <w:r w:rsidRPr="00ED769A">
        <w:rPr>
          <w:lang w:val="en-US"/>
        </w:rPr>
        <w:t xml:space="preserve"> come </w:t>
      </w:r>
      <w:proofErr w:type="spellStart"/>
      <w:r w:rsidRPr="00ED769A">
        <w:rPr>
          <w:lang w:val="en-US"/>
        </w:rPr>
        <w:t>guardò</w:t>
      </w:r>
      <w:proofErr w:type="spellEnd"/>
      <w:r w:rsidRPr="00ED769A">
        <w:rPr>
          <w:lang w:val="en-US"/>
        </w:rPr>
        <w:t xml:space="preserve"> </w:t>
      </w:r>
      <w:proofErr w:type="spellStart"/>
      <w:r w:rsidRPr="00ED769A">
        <w:rPr>
          <w:lang w:val="en-US"/>
        </w:rPr>
        <w:t>Tubbiuzzo</w:t>
      </w:r>
      <w:proofErr w:type="spellEnd"/>
      <w:r w:rsidRPr="00ED769A">
        <w:rPr>
          <w:lang w:val="en-US"/>
        </w:rPr>
        <w:t xml:space="preserve"> da </w:t>
      </w:r>
      <w:proofErr w:type="spellStart"/>
      <w:r w:rsidRPr="00ED769A">
        <w:rPr>
          <w:lang w:val="en-US"/>
        </w:rPr>
        <w:t>pericolo</w:t>
      </w:r>
      <w:proofErr w:type="spellEnd"/>
      <w:r w:rsidRPr="00ED769A">
        <w:rPr>
          <w:lang w:val="en-US"/>
        </w:rPr>
        <w:t xml:space="preserve"> e da </w:t>
      </w:r>
      <w:proofErr w:type="spellStart"/>
      <w:r w:rsidRPr="00ED769A">
        <w:rPr>
          <w:lang w:val="en-US"/>
        </w:rPr>
        <w:t>inganni</w:t>
      </w:r>
      <w:proofErr w:type="spellEnd"/>
      <w:r w:rsidRPr="00ED769A">
        <w:rPr>
          <w:lang w:val="en-US"/>
        </w:rPr>
        <w:t xml:space="preserve">, e poi lo </w:t>
      </w:r>
      <w:proofErr w:type="spellStart"/>
      <w:r w:rsidRPr="00ED769A">
        <w:rPr>
          <w:lang w:val="en-US"/>
        </w:rPr>
        <w:t>rimenò</w:t>
      </w:r>
      <w:proofErr w:type="spellEnd"/>
      <w:r w:rsidRPr="00ED769A">
        <w:rPr>
          <w:lang w:val="en-US"/>
        </w:rPr>
        <w:t xml:space="preserve"> al padre e </w:t>
      </w:r>
      <w:proofErr w:type="spellStart"/>
      <w:r w:rsidRPr="00ED769A">
        <w:rPr>
          <w:lang w:val="en-US"/>
        </w:rPr>
        <w:t>alla</w:t>
      </w:r>
      <w:proofErr w:type="spellEnd"/>
      <w:r w:rsidRPr="00ED769A">
        <w:rPr>
          <w:lang w:val="en-US"/>
        </w:rPr>
        <w:t xml:space="preserve"> </w:t>
      </w:r>
      <w:proofErr w:type="spellStart"/>
      <w:r w:rsidRPr="00ED769A">
        <w:rPr>
          <w:lang w:val="en-US"/>
        </w:rPr>
        <w:t>madre</w:t>
      </w:r>
      <w:proofErr w:type="spellEnd"/>
      <w:r w:rsidRPr="00ED769A">
        <w:rPr>
          <w:lang w:val="en-US"/>
        </w:rPr>
        <w:t xml:space="preserve">, </w:t>
      </w:r>
      <w:proofErr w:type="spellStart"/>
      <w:r w:rsidRPr="00ED769A">
        <w:rPr>
          <w:lang w:val="en-US"/>
        </w:rPr>
        <w:t>così</w:t>
      </w:r>
      <w:proofErr w:type="spellEnd"/>
      <w:r w:rsidRPr="00ED769A">
        <w:rPr>
          <w:lang w:val="en-US"/>
        </w:rPr>
        <w:t xml:space="preserve"> </w:t>
      </w:r>
      <w:proofErr w:type="spellStart"/>
      <w:r w:rsidRPr="00ED769A">
        <w:rPr>
          <w:lang w:val="en-US"/>
        </w:rPr>
        <w:t>rimeni</w:t>
      </w:r>
      <w:proofErr w:type="spellEnd"/>
      <w:r w:rsidRPr="00ED769A">
        <w:rPr>
          <w:lang w:val="en-US"/>
        </w:rPr>
        <w:t xml:space="preserve"> </w:t>
      </w:r>
      <w:proofErr w:type="spellStart"/>
      <w:r w:rsidRPr="00ED769A">
        <w:rPr>
          <w:lang w:val="en-US"/>
        </w:rPr>
        <w:t>voi</w:t>
      </w:r>
      <w:proofErr w:type="spellEnd"/>
      <w:r w:rsidRPr="00ED769A">
        <w:rPr>
          <w:lang w:val="en-US"/>
        </w:rPr>
        <w:t xml:space="preserve"> a </w:t>
      </w:r>
      <w:proofErr w:type="spellStart"/>
      <w:r w:rsidRPr="00ED769A">
        <w:rPr>
          <w:lang w:val="en-US"/>
        </w:rPr>
        <w:t>vostra</w:t>
      </w:r>
      <w:proofErr w:type="spellEnd"/>
      <w:r w:rsidRPr="00ED769A">
        <w:rPr>
          <w:lang w:val="en-US"/>
        </w:rPr>
        <w:t xml:space="preserve"> </w:t>
      </w:r>
      <w:proofErr w:type="spellStart"/>
      <w:r w:rsidRPr="00ED769A">
        <w:rPr>
          <w:lang w:val="en-US"/>
        </w:rPr>
        <w:t>madre</w:t>
      </w:r>
      <w:proofErr w:type="spellEnd"/>
      <w:r w:rsidRPr="00ED769A">
        <w:rPr>
          <w:lang w:val="en-US"/>
        </w:rPr>
        <w:t xml:space="preserve">, </w:t>
      </w:r>
      <w:proofErr w:type="spellStart"/>
      <w:r w:rsidRPr="00ED769A">
        <w:rPr>
          <w:lang w:val="en-US"/>
        </w:rPr>
        <w:t>che</w:t>
      </w:r>
      <w:proofErr w:type="spellEnd"/>
      <w:r w:rsidRPr="00ED769A">
        <w:rPr>
          <w:lang w:val="en-US"/>
        </w:rPr>
        <w:t xml:space="preserve"> con tanto </w:t>
      </w:r>
      <w:proofErr w:type="spellStart"/>
      <w:r w:rsidRPr="00ED769A">
        <w:rPr>
          <w:lang w:val="en-US"/>
        </w:rPr>
        <w:t>disiderio</w:t>
      </w:r>
      <w:proofErr w:type="spellEnd"/>
      <w:r w:rsidRPr="00ED769A">
        <w:rPr>
          <w:lang w:val="en-US"/>
        </w:rPr>
        <w:t xml:space="preserve"> </w:t>
      </w:r>
      <w:proofErr w:type="spellStart"/>
      <w:r w:rsidRPr="00ED769A">
        <w:rPr>
          <w:lang w:val="en-US"/>
        </w:rPr>
        <w:t>v’aspetta</w:t>
      </w:r>
      <w:proofErr w:type="spellEnd"/>
      <w:r w:rsidRPr="00ED769A">
        <w:rPr>
          <w:lang w:val="en-US"/>
        </w:rPr>
        <w:t xml:space="preserve">.” Alessandra </w:t>
      </w:r>
      <w:proofErr w:type="spellStart"/>
      <w:r w:rsidRPr="00ED769A">
        <w:rPr>
          <w:lang w:val="en-US"/>
        </w:rPr>
        <w:t>Macinghi</w:t>
      </w:r>
      <w:proofErr w:type="spellEnd"/>
      <w:r w:rsidRPr="00ED769A">
        <w:rPr>
          <w:lang w:val="en-US"/>
        </w:rPr>
        <w:t xml:space="preserve"> </w:t>
      </w:r>
      <w:proofErr w:type="spellStart"/>
      <w:r w:rsidRPr="00ED769A">
        <w:rPr>
          <w:lang w:val="en-US"/>
        </w:rPr>
        <w:t>negli</w:t>
      </w:r>
      <w:proofErr w:type="spellEnd"/>
      <w:r w:rsidRPr="00ED769A">
        <w:rPr>
          <w:lang w:val="en-US"/>
        </w:rPr>
        <w:t xml:space="preserve"> </w:t>
      </w:r>
      <w:proofErr w:type="spellStart"/>
      <w:r w:rsidRPr="00ED769A">
        <w:rPr>
          <w:lang w:val="en-US"/>
        </w:rPr>
        <w:t>Strozzi</w:t>
      </w:r>
      <w:proofErr w:type="spellEnd"/>
      <w:r w:rsidRPr="00ED769A">
        <w:rPr>
          <w:lang w:val="en-US"/>
        </w:rPr>
        <w:t xml:space="preserve">, </w:t>
      </w:r>
      <w:proofErr w:type="spellStart"/>
      <w:r w:rsidRPr="00ED769A">
        <w:rPr>
          <w:i/>
          <w:iCs/>
          <w:lang w:val="en-US"/>
        </w:rPr>
        <w:t>Lettere</w:t>
      </w:r>
      <w:proofErr w:type="spellEnd"/>
      <w:r w:rsidRPr="00ED769A">
        <w:rPr>
          <w:i/>
          <w:iCs/>
          <w:lang w:val="en-US"/>
        </w:rPr>
        <w:t xml:space="preserve"> di una </w:t>
      </w:r>
      <w:proofErr w:type="spellStart"/>
      <w:r w:rsidRPr="00ED769A">
        <w:rPr>
          <w:i/>
          <w:iCs/>
          <w:lang w:val="en-US"/>
        </w:rPr>
        <w:t>gentildonna</w:t>
      </w:r>
      <w:proofErr w:type="spellEnd"/>
      <w:r w:rsidRPr="00ED769A">
        <w:rPr>
          <w:i/>
          <w:iCs/>
          <w:lang w:val="en-US"/>
        </w:rPr>
        <w:t xml:space="preserve"> </w:t>
      </w:r>
      <w:proofErr w:type="spellStart"/>
      <w:r w:rsidRPr="00ED769A">
        <w:rPr>
          <w:i/>
          <w:iCs/>
          <w:lang w:val="en-US"/>
        </w:rPr>
        <w:t>fiorentina</w:t>
      </w:r>
      <w:proofErr w:type="spellEnd"/>
      <w:r w:rsidRPr="00ED769A">
        <w:rPr>
          <w:i/>
          <w:iCs/>
          <w:lang w:val="en-US"/>
        </w:rPr>
        <w:t xml:space="preserve"> del </w:t>
      </w:r>
      <w:proofErr w:type="spellStart"/>
      <w:r w:rsidRPr="00ED769A">
        <w:rPr>
          <w:i/>
          <w:iCs/>
          <w:lang w:val="en-US"/>
        </w:rPr>
        <w:t>secolo</w:t>
      </w:r>
      <w:proofErr w:type="spellEnd"/>
      <w:r w:rsidRPr="00ED769A">
        <w:rPr>
          <w:i/>
          <w:iCs/>
          <w:lang w:val="en-US"/>
        </w:rPr>
        <w:t xml:space="preserve"> XV ai </w:t>
      </w:r>
      <w:proofErr w:type="spellStart"/>
      <w:r w:rsidRPr="00ED769A">
        <w:rPr>
          <w:i/>
          <w:iCs/>
          <w:lang w:val="en-US"/>
        </w:rPr>
        <w:t>figliuoli</w:t>
      </w:r>
      <w:proofErr w:type="spellEnd"/>
      <w:r w:rsidRPr="00ED769A">
        <w:rPr>
          <w:i/>
          <w:iCs/>
          <w:lang w:val="en-US"/>
        </w:rPr>
        <w:t xml:space="preserve"> </w:t>
      </w:r>
      <w:proofErr w:type="spellStart"/>
      <w:r w:rsidRPr="00ED769A">
        <w:rPr>
          <w:i/>
          <w:iCs/>
          <w:lang w:val="en-US"/>
        </w:rPr>
        <w:t>esuli</w:t>
      </w:r>
      <w:proofErr w:type="spellEnd"/>
      <w:r w:rsidRPr="00ED769A">
        <w:rPr>
          <w:i/>
          <w:iCs/>
          <w:lang w:val="en-US"/>
        </w:rPr>
        <w:t xml:space="preserve">: </w:t>
      </w:r>
      <w:proofErr w:type="spellStart"/>
      <w:r w:rsidRPr="00ED769A">
        <w:rPr>
          <w:i/>
          <w:iCs/>
          <w:lang w:val="en-US"/>
        </w:rPr>
        <w:t>pubblicate</w:t>
      </w:r>
      <w:proofErr w:type="spellEnd"/>
      <w:r w:rsidRPr="00ED769A">
        <w:rPr>
          <w:i/>
          <w:iCs/>
          <w:lang w:val="en-US"/>
        </w:rPr>
        <w:t xml:space="preserve"> da Cesare Guasti.</w:t>
      </w:r>
      <w:r w:rsidRPr="00ED769A">
        <w:rPr>
          <w:lang w:val="en-US"/>
        </w:rPr>
        <w:t xml:space="preserve">, ed. Cesare Guasti (Firenze: G.C. </w:t>
      </w:r>
      <w:proofErr w:type="spellStart"/>
      <w:r w:rsidRPr="00ED769A">
        <w:rPr>
          <w:lang w:val="en-US"/>
        </w:rPr>
        <w:t>Sansoni</w:t>
      </w:r>
      <w:proofErr w:type="spellEnd"/>
      <w:r w:rsidRPr="00ED769A">
        <w:rPr>
          <w:lang w:val="en-US"/>
        </w:rPr>
        <w:t xml:space="preserve">, 1972), letter 59, 517; English translation from </w:t>
      </w:r>
      <w:proofErr w:type="spellStart"/>
      <w:r w:rsidRPr="00ED769A">
        <w:rPr>
          <w:lang w:val="en-US"/>
        </w:rPr>
        <w:t>Eisenbichler</w:t>
      </w:r>
      <w:proofErr w:type="spellEnd"/>
      <w:r w:rsidRPr="00ED769A">
        <w:rPr>
          <w:lang w:val="en-US"/>
        </w:rPr>
        <w:t>, “Devotion to the Archangel Raphael in Renaissance Florence,” 259.</w:t>
      </w:r>
    </w:p>
  </w:footnote>
  <w:footnote w:id="426">
    <w:p w14:paraId="6EE3C115" w14:textId="77777777" w:rsidR="00182EED" w:rsidRDefault="00182EED" w:rsidP="008A116C">
      <w:pPr>
        <w:pStyle w:val="FootnoteText"/>
      </w:pPr>
      <w:r w:rsidRPr="00073E38">
        <w:rPr>
          <w:rStyle w:val="FootnoteReference"/>
        </w:rPr>
        <w:footnoteRef/>
      </w:r>
      <w:r>
        <w:t xml:space="preserve"> </w:t>
      </w:r>
      <w:r w:rsidRPr="007006DB">
        <w:rPr>
          <w:lang w:val="en-US"/>
        </w:rPr>
        <w:t>Achenbach, “The Iconography of Tobias and the Angel in Florentine Paintings of the Renaissance,” 81-82</w:t>
      </w:r>
      <w:r>
        <w:rPr>
          <w:lang w:val="en-US"/>
        </w:rPr>
        <w:t xml:space="preserve"> </w:t>
      </w:r>
      <w:r w:rsidRPr="007006DB">
        <w:rPr>
          <w:lang w:val="en-US"/>
        </w:rPr>
        <w:t>n</w:t>
      </w:r>
      <w:r>
        <w:rPr>
          <w:lang w:val="en-US"/>
        </w:rPr>
        <w:t>.</w:t>
      </w:r>
      <w:r w:rsidRPr="007006DB">
        <w:rPr>
          <w:lang w:val="en-US"/>
        </w:rPr>
        <w:t>10.</w:t>
      </w:r>
    </w:p>
  </w:footnote>
  <w:footnote w:id="427">
    <w:p w14:paraId="327324C9" w14:textId="77777777" w:rsidR="00182EED" w:rsidRDefault="00182EED" w:rsidP="008A116C">
      <w:pPr>
        <w:pStyle w:val="FootnoteText"/>
      </w:pPr>
      <w:r w:rsidRPr="00073E38">
        <w:rPr>
          <w:rStyle w:val="FootnoteReference"/>
        </w:rPr>
        <w:footnoteRef/>
      </w:r>
      <w:r>
        <w:t xml:space="preserve"> </w:t>
      </w:r>
      <w:r w:rsidRPr="007006DB">
        <w:rPr>
          <w:lang w:val="en-US"/>
        </w:rPr>
        <w:t xml:space="preserve">Ibid., 76–77; see also </w:t>
      </w:r>
      <w:proofErr w:type="spellStart"/>
      <w:r w:rsidRPr="007006DB">
        <w:rPr>
          <w:lang w:val="en-US"/>
        </w:rPr>
        <w:t>Eisenbichler</w:t>
      </w:r>
      <w:proofErr w:type="spellEnd"/>
      <w:r w:rsidRPr="007006DB">
        <w:rPr>
          <w:lang w:val="en-US"/>
        </w:rPr>
        <w:t>, “Devotion to the Archangel Raphael in Renaissance Florence,” 266.</w:t>
      </w:r>
    </w:p>
  </w:footnote>
  <w:footnote w:id="428">
    <w:p w14:paraId="06570B10" w14:textId="77777777" w:rsidR="00182EED" w:rsidRDefault="00182EED" w:rsidP="008A116C">
      <w:pPr>
        <w:pStyle w:val="FootnoteText"/>
      </w:pPr>
      <w:r w:rsidRPr="00073E38">
        <w:rPr>
          <w:rStyle w:val="FootnoteReference"/>
        </w:rPr>
        <w:footnoteRef/>
      </w:r>
      <w:r>
        <w:t xml:space="preserve"> </w:t>
      </w:r>
      <w:r w:rsidRPr="00E05C8D">
        <w:rPr>
          <w:lang w:val="en-US"/>
        </w:rPr>
        <w:t xml:space="preserve">Michele </w:t>
      </w:r>
      <w:proofErr w:type="spellStart"/>
      <w:r w:rsidRPr="00E05C8D">
        <w:rPr>
          <w:lang w:val="en-US"/>
        </w:rPr>
        <w:t>Danieli</w:t>
      </w:r>
      <w:proofErr w:type="spellEnd"/>
      <w:r w:rsidRPr="00E05C8D">
        <w:rPr>
          <w:lang w:val="en-US"/>
        </w:rPr>
        <w:t xml:space="preserve">, “Arcangelo Michele,” in </w:t>
      </w:r>
      <w:proofErr w:type="spellStart"/>
      <w:r w:rsidRPr="00E05C8D">
        <w:rPr>
          <w:i/>
          <w:iCs/>
          <w:lang w:val="en-US"/>
        </w:rPr>
        <w:t>Angeli</w:t>
      </w:r>
      <w:proofErr w:type="spellEnd"/>
      <w:r w:rsidRPr="00E05C8D">
        <w:rPr>
          <w:i/>
          <w:iCs/>
          <w:lang w:val="en-US"/>
        </w:rPr>
        <w:t xml:space="preserve">: </w:t>
      </w:r>
      <w:proofErr w:type="spellStart"/>
      <w:r w:rsidRPr="00E05C8D">
        <w:rPr>
          <w:i/>
          <w:iCs/>
          <w:lang w:val="en-US"/>
        </w:rPr>
        <w:t>volti</w:t>
      </w:r>
      <w:proofErr w:type="spellEnd"/>
      <w:r w:rsidRPr="00E05C8D">
        <w:rPr>
          <w:i/>
          <w:iCs/>
          <w:lang w:val="en-US"/>
        </w:rPr>
        <w:t xml:space="preserve"> </w:t>
      </w:r>
      <w:proofErr w:type="spellStart"/>
      <w:r w:rsidRPr="00E05C8D">
        <w:rPr>
          <w:i/>
          <w:iCs/>
          <w:lang w:val="en-US"/>
        </w:rPr>
        <w:t>dell’invisibile</w:t>
      </w:r>
      <w:proofErr w:type="spellEnd"/>
      <w:r w:rsidRPr="00E05C8D">
        <w:rPr>
          <w:i/>
          <w:iCs/>
          <w:lang w:val="en-US"/>
        </w:rPr>
        <w:t xml:space="preserve">, </w:t>
      </w:r>
      <w:r w:rsidRPr="00E05C8D">
        <w:rPr>
          <w:lang w:val="en-US"/>
        </w:rPr>
        <w:t xml:space="preserve">exh.cat., ed. Serenella </w:t>
      </w:r>
      <w:proofErr w:type="spellStart"/>
      <w:r w:rsidRPr="00E05C8D">
        <w:rPr>
          <w:lang w:val="en-US"/>
        </w:rPr>
        <w:t>Castri</w:t>
      </w:r>
      <w:proofErr w:type="spellEnd"/>
      <w:r w:rsidRPr="00E05C8D">
        <w:rPr>
          <w:lang w:val="en-US"/>
        </w:rPr>
        <w:t xml:space="preserve"> (Turin: Umberto </w:t>
      </w:r>
      <w:proofErr w:type="spellStart"/>
      <w:r w:rsidRPr="00E05C8D">
        <w:rPr>
          <w:lang w:val="en-US"/>
        </w:rPr>
        <w:t>Allemandi</w:t>
      </w:r>
      <w:proofErr w:type="spellEnd"/>
      <w:r w:rsidRPr="00E05C8D">
        <w:rPr>
          <w:lang w:val="en-US"/>
        </w:rPr>
        <w:t>, 2010), 191–92.</w:t>
      </w:r>
    </w:p>
  </w:footnote>
  <w:footnote w:id="429">
    <w:p w14:paraId="545028B2" w14:textId="77777777" w:rsidR="00182EED" w:rsidRDefault="00182EED" w:rsidP="008A116C">
      <w:pPr>
        <w:pStyle w:val="FootnoteText"/>
      </w:pPr>
      <w:r w:rsidRPr="00073E38">
        <w:rPr>
          <w:rStyle w:val="FootnoteReference"/>
        </w:rPr>
        <w:footnoteRef/>
      </w:r>
      <w:r>
        <w:t xml:space="preserve"> </w:t>
      </w:r>
      <w:r>
        <w:rPr>
          <w:noProof/>
        </w:rPr>
        <w:t>Ibid.</w:t>
      </w:r>
    </w:p>
  </w:footnote>
  <w:footnote w:id="430">
    <w:p w14:paraId="2236243C" w14:textId="77777777" w:rsidR="00182EED" w:rsidRDefault="00182EED" w:rsidP="008A116C">
      <w:pPr>
        <w:pStyle w:val="FootnoteText"/>
      </w:pPr>
      <w:r w:rsidRPr="00073E38">
        <w:rPr>
          <w:rStyle w:val="FootnoteReference"/>
        </w:rPr>
        <w:footnoteRef/>
      </w:r>
      <w:r>
        <w:t xml:space="preserve"> </w:t>
      </w:r>
      <w:r w:rsidRPr="00E05C8D">
        <w:rPr>
          <w:lang w:val="en-US"/>
        </w:rPr>
        <w:t xml:space="preserve">Sabrina </w:t>
      </w:r>
      <w:proofErr w:type="spellStart"/>
      <w:r w:rsidRPr="00E05C8D">
        <w:rPr>
          <w:lang w:val="en-US"/>
        </w:rPr>
        <w:t>Massini</w:t>
      </w:r>
      <w:proofErr w:type="spellEnd"/>
      <w:r w:rsidRPr="00E05C8D">
        <w:rPr>
          <w:lang w:val="en-US"/>
        </w:rPr>
        <w:t xml:space="preserve">, “30. San Michele Arcangelo,” in </w:t>
      </w:r>
      <w:r w:rsidRPr="00E05C8D">
        <w:rPr>
          <w:i/>
          <w:iCs/>
          <w:lang w:val="en-US"/>
        </w:rPr>
        <w:t xml:space="preserve">Pinacoteca </w:t>
      </w:r>
      <w:proofErr w:type="spellStart"/>
      <w:r w:rsidRPr="00E05C8D">
        <w:rPr>
          <w:i/>
          <w:iCs/>
          <w:lang w:val="en-US"/>
        </w:rPr>
        <w:t>comunale</w:t>
      </w:r>
      <w:proofErr w:type="spellEnd"/>
      <w:r w:rsidRPr="00E05C8D">
        <w:rPr>
          <w:i/>
          <w:iCs/>
          <w:lang w:val="en-US"/>
        </w:rPr>
        <w:t xml:space="preserve"> e Museo </w:t>
      </w:r>
      <w:proofErr w:type="spellStart"/>
      <w:r w:rsidRPr="00E05C8D">
        <w:rPr>
          <w:i/>
          <w:iCs/>
          <w:lang w:val="en-US"/>
        </w:rPr>
        <w:t>della</w:t>
      </w:r>
      <w:proofErr w:type="spellEnd"/>
      <w:r w:rsidRPr="00E05C8D">
        <w:rPr>
          <w:i/>
          <w:iCs/>
          <w:lang w:val="en-US"/>
        </w:rPr>
        <w:t xml:space="preserve"> </w:t>
      </w:r>
      <w:proofErr w:type="spellStart"/>
      <w:r w:rsidRPr="00E05C8D">
        <w:rPr>
          <w:i/>
          <w:iCs/>
          <w:lang w:val="en-US"/>
        </w:rPr>
        <w:t>Pieve</w:t>
      </w:r>
      <w:proofErr w:type="spellEnd"/>
      <w:r w:rsidRPr="00E05C8D">
        <w:rPr>
          <w:i/>
          <w:iCs/>
          <w:lang w:val="en-US"/>
        </w:rPr>
        <w:t xml:space="preserve"> di San Giuliano a </w:t>
      </w:r>
      <w:proofErr w:type="spellStart"/>
      <w:r w:rsidRPr="00E05C8D">
        <w:rPr>
          <w:i/>
          <w:iCs/>
          <w:lang w:val="en-US"/>
        </w:rPr>
        <w:t>Castiglion</w:t>
      </w:r>
      <w:proofErr w:type="spellEnd"/>
      <w:r w:rsidRPr="00E05C8D">
        <w:rPr>
          <w:i/>
          <w:iCs/>
          <w:lang w:val="en-US"/>
        </w:rPr>
        <w:t xml:space="preserve"> </w:t>
      </w:r>
      <w:proofErr w:type="spellStart"/>
      <w:r w:rsidRPr="00E05C8D">
        <w:rPr>
          <w:i/>
          <w:iCs/>
          <w:lang w:val="en-US"/>
        </w:rPr>
        <w:t>Fiorentino</w:t>
      </w:r>
      <w:proofErr w:type="spellEnd"/>
      <w:r w:rsidRPr="00E05C8D">
        <w:rPr>
          <w:lang w:val="en-US"/>
        </w:rPr>
        <w:t xml:space="preserve">, ed. Sabrina </w:t>
      </w:r>
      <w:proofErr w:type="spellStart"/>
      <w:r w:rsidRPr="00E05C8D">
        <w:rPr>
          <w:lang w:val="en-US"/>
        </w:rPr>
        <w:t>Massini</w:t>
      </w:r>
      <w:proofErr w:type="spellEnd"/>
      <w:r w:rsidRPr="00E05C8D">
        <w:rPr>
          <w:lang w:val="en-US"/>
        </w:rPr>
        <w:t>, 2012, 48–49.</w:t>
      </w:r>
    </w:p>
  </w:footnote>
  <w:footnote w:id="431">
    <w:p w14:paraId="1218D709" w14:textId="77777777" w:rsidR="00182EED" w:rsidRPr="000509EE" w:rsidRDefault="00182EED" w:rsidP="008A116C">
      <w:pPr>
        <w:pStyle w:val="FootnoteText"/>
        <w:rPr>
          <w:szCs w:val="18"/>
        </w:rPr>
      </w:pPr>
      <w:r w:rsidRPr="00073E38">
        <w:rPr>
          <w:rStyle w:val="FootnoteReference"/>
        </w:rPr>
        <w:footnoteRef/>
      </w:r>
      <w:r w:rsidRPr="000509EE">
        <w:rPr>
          <w:szCs w:val="18"/>
        </w:rPr>
        <w:t xml:space="preserve"> Tobit 12:18, English Standard Version.</w:t>
      </w:r>
    </w:p>
  </w:footnote>
  <w:footnote w:id="432">
    <w:p w14:paraId="5DFE2173" w14:textId="77777777" w:rsidR="00182EED" w:rsidRDefault="00182EED" w:rsidP="008A116C">
      <w:pPr>
        <w:pStyle w:val="FootnoteText"/>
      </w:pPr>
      <w:r w:rsidRPr="00073E38">
        <w:rPr>
          <w:rStyle w:val="FootnoteReference"/>
        </w:rPr>
        <w:footnoteRef/>
      </w:r>
      <w:r>
        <w:t xml:space="preserve"> </w:t>
      </w:r>
      <w:proofErr w:type="spellStart"/>
      <w:r w:rsidRPr="00E05C8D">
        <w:rPr>
          <w:lang w:val="en-US"/>
        </w:rPr>
        <w:t>Eisenbichler</w:t>
      </w:r>
      <w:proofErr w:type="spellEnd"/>
      <w:r w:rsidRPr="00E05C8D">
        <w:rPr>
          <w:lang w:val="en-US"/>
        </w:rPr>
        <w:t xml:space="preserve">, “Devotion to the Archangel Raphael in Renaissance Florence,” 259–61; for more information on the </w:t>
      </w:r>
      <w:r w:rsidRPr="00E05C8D">
        <w:rPr>
          <w:i/>
          <w:iCs/>
          <w:lang w:val="en-US"/>
        </w:rPr>
        <w:t>La Scala</w:t>
      </w:r>
      <w:r w:rsidRPr="00E05C8D">
        <w:rPr>
          <w:lang w:val="en-US"/>
        </w:rPr>
        <w:t xml:space="preserve"> confraternity see Konrad </w:t>
      </w:r>
      <w:proofErr w:type="spellStart"/>
      <w:r w:rsidRPr="00E05C8D">
        <w:rPr>
          <w:lang w:val="en-US"/>
        </w:rPr>
        <w:t>Eisenbichler</w:t>
      </w:r>
      <w:proofErr w:type="spellEnd"/>
      <w:r w:rsidRPr="00E05C8D">
        <w:rPr>
          <w:lang w:val="en-US"/>
        </w:rPr>
        <w:t xml:space="preserve">, </w:t>
      </w:r>
      <w:r w:rsidRPr="00E05C8D">
        <w:rPr>
          <w:i/>
          <w:iCs/>
          <w:lang w:val="en-US"/>
        </w:rPr>
        <w:t>The Boys of the Archangel Raphael: A Youth Confraternity in Florence, 1411-1785</w:t>
      </w:r>
      <w:r w:rsidRPr="00E05C8D">
        <w:rPr>
          <w:lang w:val="en-US"/>
        </w:rPr>
        <w:t>, 1998.</w:t>
      </w:r>
    </w:p>
  </w:footnote>
  <w:footnote w:id="433">
    <w:p w14:paraId="795626EB" w14:textId="77777777" w:rsidR="00182EED" w:rsidRDefault="00182EED" w:rsidP="008A116C">
      <w:pPr>
        <w:pStyle w:val="FootnoteText"/>
      </w:pPr>
      <w:r w:rsidRPr="00073E38">
        <w:rPr>
          <w:rStyle w:val="FootnoteReference"/>
        </w:rPr>
        <w:footnoteRef/>
      </w:r>
      <w:r>
        <w:t xml:space="preserve"> </w:t>
      </w:r>
      <w:r w:rsidRPr="00E05C8D">
        <w:rPr>
          <w:lang w:val="en-US"/>
        </w:rPr>
        <w:t xml:space="preserve">Quoted in English translation in </w:t>
      </w:r>
      <w:proofErr w:type="spellStart"/>
      <w:r w:rsidRPr="00E05C8D">
        <w:rPr>
          <w:lang w:val="en-US"/>
        </w:rPr>
        <w:t>Eisenbichler</w:t>
      </w:r>
      <w:proofErr w:type="spellEnd"/>
      <w:r w:rsidRPr="00E05C8D">
        <w:rPr>
          <w:lang w:val="en-US"/>
        </w:rPr>
        <w:t xml:space="preserve">, </w:t>
      </w:r>
      <w:r w:rsidRPr="00E05C8D">
        <w:rPr>
          <w:i/>
          <w:iCs/>
          <w:lang w:val="en-US"/>
        </w:rPr>
        <w:t>The Boys of the Archangel Raphael</w:t>
      </w:r>
      <w:r w:rsidRPr="00E05C8D">
        <w:rPr>
          <w:lang w:val="en-US"/>
        </w:rPr>
        <w:t>, 29; see also 147, 236.</w:t>
      </w:r>
    </w:p>
  </w:footnote>
  <w:footnote w:id="434">
    <w:p w14:paraId="79200605" w14:textId="77777777" w:rsidR="00182EED" w:rsidRDefault="00182EED" w:rsidP="008A116C">
      <w:pPr>
        <w:pStyle w:val="FootnoteText"/>
      </w:pPr>
      <w:r w:rsidRPr="00073E38">
        <w:rPr>
          <w:rStyle w:val="FootnoteReference"/>
        </w:rPr>
        <w:footnoteRef/>
      </w:r>
      <w:r>
        <w:t xml:space="preserve"> </w:t>
      </w:r>
      <w:r w:rsidRPr="00851643">
        <w:rPr>
          <w:lang w:val="en-US"/>
        </w:rPr>
        <w:t xml:space="preserve">“Quattro </w:t>
      </w:r>
      <w:proofErr w:type="spellStart"/>
      <w:r w:rsidRPr="00851643">
        <w:rPr>
          <w:lang w:val="en-US"/>
        </w:rPr>
        <w:t>fanciulli</w:t>
      </w:r>
      <w:proofErr w:type="spellEnd"/>
      <w:r w:rsidRPr="00851643">
        <w:rPr>
          <w:lang w:val="en-US"/>
        </w:rPr>
        <w:t xml:space="preserve"> </w:t>
      </w:r>
      <w:proofErr w:type="spellStart"/>
      <w:r w:rsidRPr="00851643">
        <w:rPr>
          <w:lang w:val="en-US"/>
        </w:rPr>
        <w:t>incoronati</w:t>
      </w:r>
      <w:proofErr w:type="spellEnd"/>
      <w:r w:rsidRPr="00851643">
        <w:rPr>
          <w:lang w:val="en-US"/>
        </w:rPr>
        <w:t xml:space="preserve"> e </w:t>
      </w:r>
      <w:proofErr w:type="spellStart"/>
      <w:r w:rsidRPr="00851643">
        <w:rPr>
          <w:lang w:val="en-US"/>
        </w:rPr>
        <w:t>vestiti</w:t>
      </w:r>
      <w:proofErr w:type="spellEnd"/>
      <w:r w:rsidRPr="00851643">
        <w:rPr>
          <w:lang w:val="en-US"/>
        </w:rPr>
        <w:t xml:space="preserve"> da </w:t>
      </w:r>
      <w:proofErr w:type="spellStart"/>
      <w:r w:rsidRPr="00851643">
        <w:rPr>
          <w:lang w:val="en-US"/>
        </w:rPr>
        <w:t>angioli</w:t>
      </w:r>
      <w:proofErr w:type="spellEnd"/>
      <w:r w:rsidRPr="00851643">
        <w:rPr>
          <w:lang w:val="en-US"/>
        </w:rPr>
        <w:t xml:space="preserve"> con un cembalo in una mano o una </w:t>
      </w:r>
      <w:proofErr w:type="spellStart"/>
      <w:r w:rsidRPr="00851643">
        <w:rPr>
          <w:lang w:val="en-US"/>
        </w:rPr>
        <w:t>cetra</w:t>
      </w:r>
      <w:proofErr w:type="spellEnd"/>
      <w:r w:rsidRPr="00851643">
        <w:rPr>
          <w:lang w:val="en-US"/>
        </w:rPr>
        <w:t xml:space="preserve"> o un </w:t>
      </w:r>
      <w:proofErr w:type="spellStart"/>
      <w:r w:rsidRPr="00851643">
        <w:rPr>
          <w:lang w:val="en-US"/>
        </w:rPr>
        <w:t>tamburino</w:t>
      </w:r>
      <w:proofErr w:type="spellEnd"/>
      <w:r w:rsidRPr="00851643">
        <w:rPr>
          <w:lang w:val="en-US"/>
        </w:rPr>
        <w:t xml:space="preserve">.” Quoted in </w:t>
      </w:r>
      <w:proofErr w:type="spellStart"/>
      <w:r w:rsidRPr="00851643">
        <w:rPr>
          <w:lang w:val="en-US"/>
        </w:rPr>
        <w:t>d’Ancona</w:t>
      </w:r>
      <w:proofErr w:type="spellEnd"/>
      <w:r w:rsidRPr="00851643">
        <w:rPr>
          <w:lang w:val="en-US"/>
        </w:rPr>
        <w:t xml:space="preserve">, </w:t>
      </w:r>
      <w:proofErr w:type="spellStart"/>
      <w:r w:rsidRPr="00851643">
        <w:rPr>
          <w:i/>
          <w:iCs/>
          <w:lang w:val="en-US"/>
        </w:rPr>
        <w:t>Sacre</w:t>
      </w:r>
      <w:proofErr w:type="spellEnd"/>
      <w:r w:rsidRPr="00851643">
        <w:rPr>
          <w:i/>
          <w:iCs/>
          <w:lang w:val="en-US"/>
        </w:rPr>
        <w:t xml:space="preserve"> </w:t>
      </w:r>
      <w:proofErr w:type="spellStart"/>
      <w:r w:rsidRPr="00851643">
        <w:rPr>
          <w:i/>
          <w:iCs/>
          <w:lang w:val="en-US"/>
        </w:rPr>
        <w:t>Rappresentazioni</w:t>
      </w:r>
      <w:proofErr w:type="spellEnd"/>
      <w:r w:rsidRPr="00851643">
        <w:rPr>
          <w:i/>
          <w:iCs/>
          <w:lang w:val="en-US"/>
        </w:rPr>
        <w:t xml:space="preserve"> </w:t>
      </w:r>
      <w:proofErr w:type="spellStart"/>
      <w:r w:rsidRPr="00851643">
        <w:rPr>
          <w:i/>
          <w:iCs/>
          <w:lang w:val="en-US"/>
        </w:rPr>
        <w:t>dei</w:t>
      </w:r>
      <w:proofErr w:type="spellEnd"/>
      <w:r w:rsidRPr="00851643">
        <w:rPr>
          <w:i/>
          <w:iCs/>
          <w:lang w:val="en-US"/>
        </w:rPr>
        <w:t xml:space="preserve"> </w:t>
      </w:r>
      <w:proofErr w:type="spellStart"/>
      <w:r w:rsidRPr="00851643">
        <w:rPr>
          <w:i/>
          <w:iCs/>
          <w:lang w:val="en-US"/>
        </w:rPr>
        <w:t>Secoli</w:t>
      </w:r>
      <w:proofErr w:type="spellEnd"/>
      <w:r w:rsidRPr="00851643">
        <w:rPr>
          <w:i/>
          <w:iCs/>
          <w:lang w:val="en-US"/>
        </w:rPr>
        <w:t xml:space="preserve"> XIV, XV e XVI</w:t>
      </w:r>
      <w:r w:rsidRPr="00851643">
        <w:rPr>
          <w:lang w:val="en-US"/>
        </w:rPr>
        <w:t xml:space="preserve">, 1:247. This passage does not appear in </w:t>
      </w:r>
      <w:proofErr w:type="spellStart"/>
      <w:r w:rsidRPr="00851643">
        <w:rPr>
          <w:lang w:val="en-US"/>
        </w:rPr>
        <w:t>Nerida</w:t>
      </w:r>
      <w:proofErr w:type="spellEnd"/>
      <w:r w:rsidRPr="00851643">
        <w:rPr>
          <w:lang w:val="en-US"/>
        </w:rPr>
        <w:t xml:space="preserve"> </w:t>
      </w:r>
      <w:proofErr w:type="spellStart"/>
      <w:r w:rsidRPr="00851643">
        <w:rPr>
          <w:lang w:val="en-US"/>
        </w:rPr>
        <w:t>Newbigin</w:t>
      </w:r>
      <w:proofErr w:type="spellEnd"/>
      <w:r w:rsidRPr="00851643">
        <w:rPr>
          <w:lang w:val="en-US"/>
        </w:rPr>
        <w:t xml:space="preserve">, </w:t>
      </w:r>
      <w:r w:rsidRPr="00851643">
        <w:rPr>
          <w:i/>
          <w:iCs/>
          <w:lang w:val="en-US"/>
        </w:rPr>
        <w:t xml:space="preserve">Feste </w:t>
      </w:r>
      <w:proofErr w:type="spellStart"/>
      <w:r w:rsidRPr="00851643">
        <w:rPr>
          <w:i/>
          <w:iCs/>
          <w:lang w:val="en-US"/>
        </w:rPr>
        <w:t>d’Oltrarno</w:t>
      </w:r>
      <w:proofErr w:type="spellEnd"/>
      <w:r w:rsidRPr="00851643">
        <w:rPr>
          <w:i/>
          <w:iCs/>
          <w:lang w:val="en-US"/>
        </w:rPr>
        <w:t>: Plays in Churches in Fifteenth-Century Florence</w:t>
      </w:r>
      <w:r w:rsidRPr="00851643">
        <w:rPr>
          <w:lang w:val="en-US"/>
        </w:rPr>
        <w:t xml:space="preserve"> (Firenze: </w:t>
      </w:r>
      <w:proofErr w:type="spellStart"/>
      <w:r w:rsidRPr="00851643">
        <w:rPr>
          <w:lang w:val="en-US"/>
        </w:rPr>
        <w:t>Olschki</w:t>
      </w:r>
      <w:proofErr w:type="spellEnd"/>
      <w:r w:rsidRPr="00851643">
        <w:rPr>
          <w:lang w:val="en-US"/>
        </w:rPr>
        <w:t>, 1996).</w:t>
      </w:r>
      <w:r>
        <w:rPr>
          <w:lang w:val="en-US"/>
        </w:rPr>
        <w:t xml:space="preserve"> </w:t>
      </w:r>
      <w:r w:rsidRPr="00851643">
        <w:rPr>
          <w:lang w:val="en-US"/>
        </w:rPr>
        <w:t>The original text is in Russian</w:t>
      </w:r>
      <w:r>
        <w:rPr>
          <w:lang w:val="en-US"/>
        </w:rPr>
        <w:t>.</w:t>
      </w:r>
    </w:p>
  </w:footnote>
  <w:footnote w:id="435">
    <w:p w14:paraId="5C93E95F" w14:textId="77777777" w:rsidR="00182EED" w:rsidRDefault="00182EED" w:rsidP="008A116C">
      <w:pPr>
        <w:pStyle w:val="FootnoteText"/>
      </w:pPr>
      <w:r w:rsidRPr="00073E38">
        <w:rPr>
          <w:rStyle w:val="FootnoteReference"/>
        </w:rPr>
        <w:footnoteRef/>
      </w:r>
      <w:r>
        <w:t xml:space="preserve"> </w:t>
      </w:r>
      <w:proofErr w:type="spellStart"/>
      <w:r w:rsidRPr="00851643">
        <w:rPr>
          <w:lang w:val="en-US"/>
        </w:rPr>
        <w:t>Newbigin</w:t>
      </w:r>
      <w:proofErr w:type="spellEnd"/>
      <w:r w:rsidRPr="00851643">
        <w:rPr>
          <w:lang w:val="en-US"/>
        </w:rPr>
        <w:t xml:space="preserve">, </w:t>
      </w:r>
      <w:r w:rsidRPr="00851643">
        <w:rPr>
          <w:i/>
          <w:iCs/>
          <w:lang w:val="en-US"/>
        </w:rPr>
        <w:t xml:space="preserve">Feste </w:t>
      </w:r>
      <w:proofErr w:type="spellStart"/>
      <w:r w:rsidRPr="00851643">
        <w:rPr>
          <w:i/>
          <w:iCs/>
          <w:lang w:val="en-US"/>
        </w:rPr>
        <w:t>d’Oltrarno</w:t>
      </w:r>
      <w:proofErr w:type="spellEnd"/>
      <w:r w:rsidRPr="00851643">
        <w:rPr>
          <w:lang w:val="en-US"/>
        </w:rPr>
        <w:t xml:space="preserve">, 1:6. </w:t>
      </w:r>
      <w:r>
        <w:rPr>
          <w:lang w:val="en-US"/>
        </w:rPr>
        <w:t>S</w:t>
      </w:r>
      <w:r w:rsidRPr="00851643">
        <w:rPr>
          <w:lang w:val="en-US"/>
        </w:rPr>
        <w:t xml:space="preserve">ee Alessandro </w:t>
      </w:r>
      <w:proofErr w:type="spellStart"/>
      <w:r w:rsidRPr="00851643">
        <w:rPr>
          <w:lang w:val="en-US"/>
        </w:rPr>
        <w:t>D’Ancona</w:t>
      </w:r>
      <w:proofErr w:type="spellEnd"/>
      <w:r w:rsidRPr="00851643">
        <w:rPr>
          <w:lang w:val="en-US"/>
        </w:rPr>
        <w:t xml:space="preserve">, </w:t>
      </w:r>
      <w:proofErr w:type="spellStart"/>
      <w:r w:rsidRPr="00851643">
        <w:rPr>
          <w:i/>
          <w:iCs/>
          <w:lang w:val="en-US"/>
        </w:rPr>
        <w:t>Origini</w:t>
      </w:r>
      <w:proofErr w:type="spellEnd"/>
      <w:r w:rsidRPr="00851643">
        <w:rPr>
          <w:i/>
          <w:iCs/>
          <w:lang w:val="en-US"/>
        </w:rPr>
        <w:t xml:space="preserve"> del Teatro </w:t>
      </w:r>
      <w:proofErr w:type="spellStart"/>
      <w:r w:rsidRPr="00851643">
        <w:rPr>
          <w:i/>
          <w:iCs/>
          <w:lang w:val="en-US"/>
        </w:rPr>
        <w:t>Italiano</w:t>
      </w:r>
      <w:proofErr w:type="spellEnd"/>
      <w:r w:rsidRPr="00851643">
        <w:rPr>
          <w:lang w:val="en-US"/>
        </w:rPr>
        <w:t xml:space="preserve">, vol. I (Turin: </w:t>
      </w:r>
      <w:proofErr w:type="spellStart"/>
      <w:r w:rsidRPr="00851643">
        <w:rPr>
          <w:lang w:val="en-US"/>
        </w:rPr>
        <w:t>Ermanno</w:t>
      </w:r>
      <w:proofErr w:type="spellEnd"/>
      <w:r w:rsidRPr="00851643">
        <w:rPr>
          <w:lang w:val="en-US"/>
        </w:rPr>
        <w:t xml:space="preserve"> </w:t>
      </w:r>
      <w:proofErr w:type="spellStart"/>
      <w:r w:rsidRPr="00851643">
        <w:rPr>
          <w:lang w:val="en-US"/>
        </w:rPr>
        <w:t>Loescher</w:t>
      </w:r>
      <w:proofErr w:type="spellEnd"/>
      <w:r w:rsidRPr="00851643">
        <w:rPr>
          <w:lang w:val="en-US"/>
        </w:rPr>
        <w:t>, 1891), 248 for a slightly different Italian translation: “</w:t>
      </w:r>
      <w:proofErr w:type="spellStart"/>
      <w:r w:rsidRPr="00851643">
        <w:rPr>
          <w:lang w:val="en-US"/>
        </w:rPr>
        <w:t>Lassu</w:t>
      </w:r>
      <w:proofErr w:type="spellEnd"/>
      <w:r w:rsidRPr="00851643">
        <w:rPr>
          <w:lang w:val="en-US"/>
        </w:rPr>
        <w:t xml:space="preserve">̀, </w:t>
      </w:r>
      <w:proofErr w:type="spellStart"/>
      <w:r w:rsidRPr="00851643">
        <w:rPr>
          <w:lang w:val="en-US"/>
        </w:rPr>
        <w:t>sulla</w:t>
      </w:r>
      <w:proofErr w:type="spellEnd"/>
      <w:r w:rsidRPr="00851643">
        <w:rPr>
          <w:lang w:val="en-US"/>
        </w:rPr>
        <w:t xml:space="preserve"> </w:t>
      </w:r>
      <w:proofErr w:type="spellStart"/>
      <w:r w:rsidRPr="00851643">
        <w:rPr>
          <w:lang w:val="en-US"/>
        </w:rPr>
        <w:t>tribuna</w:t>
      </w:r>
      <w:proofErr w:type="spellEnd"/>
      <w:r w:rsidRPr="00851643">
        <w:rPr>
          <w:lang w:val="en-US"/>
        </w:rPr>
        <w:t xml:space="preserve">, </w:t>
      </w:r>
      <w:proofErr w:type="spellStart"/>
      <w:r w:rsidRPr="00851643">
        <w:rPr>
          <w:lang w:val="en-US"/>
        </w:rPr>
        <w:t>si</w:t>
      </w:r>
      <w:proofErr w:type="spellEnd"/>
      <w:r w:rsidRPr="00851643">
        <w:rPr>
          <w:lang w:val="en-US"/>
        </w:rPr>
        <w:t xml:space="preserve"> </w:t>
      </w:r>
      <w:proofErr w:type="spellStart"/>
      <w:r w:rsidRPr="00851643">
        <w:rPr>
          <w:lang w:val="en-US"/>
        </w:rPr>
        <w:t>vede</w:t>
      </w:r>
      <w:proofErr w:type="spellEnd"/>
      <w:r w:rsidRPr="00851643">
        <w:rPr>
          <w:lang w:val="en-US"/>
        </w:rPr>
        <w:t xml:space="preserve"> </w:t>
      </w:r>
      <w:proofErr w:type="spellStart"/>
      <w:r w:rsidRPr="00851643">
        <w:rPr>
          <w:lang w:val="en-US"/>
        </w:rPr>
        <w:t>Dio</w:t>
      </w:r>
      <w:proofErr w:type="spellEnd"/>
      <w:r w:rsidRPr="00851643">
        <w:rPr>
          <w:lang w:val="en-US"/>
        </w:rPr>
        <w:t xml:space="preserve"> Padre ... Dei </w:t>
      </w:r>
      <w:proofErr w:type="spellStart"/>
      <w:r w:rsidRPr="00851643">
        <w:rPr>
          <w:lang w:val="en-US"/>
        </w:rPr>
        <w:t>fanciulli</w:t>
      </w:r>
      <w:proofErr w:type="spellEnd"/>
      <w:r w:rsidRPr="00851643">
        <w:rPr>
          <w:lang w:val="en-US"/>
        </w:rPr>
        <w:t xml:space="preserve"> </w:t>
      </w:r>
      <w:proofErr w:type="spellStart"/>
      <w:r w:rsidRPr="00851643">
        <w:rPr>
          <w:lang w:val="en-US"/>
        </w:rPr>
        <w:t>vestiti</w:t>
      </w:r>
      <w:proofErr w:type="spellEnd"/>
      <w:r w:rsidRPr="00851643">
        <w:rPr>
          <w:lang w:val="en-US"/>
        </w:rPr>
        <w:t xml:space="preserve"> di </w:t>
      </w:r>
      <w:proofErr w:type="spellStart"/>
      <w:r w:rsidRPr="00851643">
        <w:rPr>
          <w:lang w:val="en-US"/>
        </w:rPr>
        <w:t>bianco</w:t>
      </w:r>
      <w:proofErr w:type="spellEnd"/>
      <w:r w:rsidRPr="00851643">
        <w:rPr>
          <w:lang w:val="en-US"/>
        </w:rPr>
        <w:t xml:space="preserve">, </w:t>
      </w:r>
      <w:proofErr w:type="spellStart"/>
      <w:r w:rsidRPr="00851643">
        <w:rPr>
          <w:lang w:val="en-US"/>
        </w:rPr>
        <w:t>raffiguranti</w:t>
      </w:r>
      <w:proofErr w:type="spellEnd"/>
      <w:r w:rsidRPr="00851643">
        <w:rPr>
          <w:lang w:val="en-US"/>
        </w:rPr>
        <w:t xml:space="preserve"> </w:t>
      </w:r>
      <w:proofErr w:type="spellStart"/>
      <w:r w:rsidRPr="00851643">
        <w:rPr>
          <w:lang w:val="en-US"/>
        </w:rPr>
        <w:t>gli</w:t>
      </w:r>
      <w:proofErr w:type="spellEnd"/>
      <w:r w:rsidRPr="00851643">
        <w:rPr>
          <w:lang w:val="en-US"/>
        </w:rPr>
        <w:t xml:space="preserve"> </w:t>
      </w:r>
      <w:proofErr w:type="spellStart"/>
      <w:r w:rsidRPr="00851643">
        <w:rPr>
          <w:lang w:val="en-US"/>
        </w:rPr>
        <w:t>angioli</w:t>
      </w:r>
      <w:proofErr w:type="spellEnd"/>
      <w:r w:rsidRPr="00851643">
        <w:rPr>
          <w:lang w:val="en-US"/>
        </w:rPr>
        <w:t xml:space="preserve">, lo </w:t>
      </w:r>
      <w:proofErr w:type="spellStart"/>
      <w:r w:rsidRPr="00851643">
        <w:rPr>
          <w:lang w:val="en-US"/>
        </w:rPr>
        <w:t>attorniano</w:t>
      </w:r>
      <w:proofErr w:type="spellEnd"/>
      <w:r w:rsidRPr="00851643">
        <w:rPr>
          <w:lang w:val="en-US"/>
        </w:rPr>
        <w:t xml:space="preserve">, </w:t>
      </w:r>
      <w:proofErr w:type="spellStart"/>
      <w:r w:rsidRPr="00851643">
        <w:rPr>
          <w:lang w:val="en-US"/>
        </w:rPr>
        <w:t>alcuni</w:t>
      </w:r>
      <w:proofErr w:type="spellEnd"/>
      <w:r w:rsidRPr="00851643">
        <w:rPr>
          <w:lang w:val="en-US"/>
        </w:rPr>
        <w:t xml:space="preserve"> col cembalo, </w:t>
      </w:r>
      <w:proofErr w:type="spellStart"/>
      <w:r w:rsidRPr="00851643">
        <w:rPr>
          <w:lang w:val="en-US"/>
        </w:rPr>
        <w:t>altri</w:t>
      </w:r>
      <w:proofErr w:type="spellEnd"/>
      <w:r w:rsidRPr="00851643">
        <w:rPr>
          <w:lang w:val="en-US"/>
        </w:rPr>
        <w:t xml:space="preserve"> col flauto o la </w:t>
      </w:r>
      <w:proofErr w:type="spellStart"/>
      <w:r w:rsidRPr="00851643">
        <w:rPr>
          <w:lang w:val="en-US"/>
        </w:rPr>
        <w:t>cetra</w:t>
      </w:r>
      <w:proofErr w:type="spellEnd"/>
      <w:r w:rsidRPr="00851643">
        <w:rPr>
          <w:lang w:val="en-US"/>
        </w:rPr>
        <w:t xml:space="preserve">, </w:t>
      </w:r>
      <w:proofErr w:type="spellStart"/>
      <w:r w:rsidRPr="00851643">
        <w:rPr>
          <w:lang w:val="en-US"/>
        </w:rPr>
        <w:t>facendo</w:t>
      </w:r>
      <w:proofErr w:type="spellEnd"/>
      <w:r w:rsidRPr="00851643">
        <w:rPr>
          <w:lang w:val="en-US"/>
        </w:rPr>
        <w:t xml:space="preserve"> </w:t>
      </w:r>
      <w:proofErr w:type="spellStart"/>
      <w:r w:rsidRPr="00851643">
        <w:rPr>
          <w:lang w:val="en-US"/>
        </w:rPr>
        <w:t>uno</w:t>
      </w:r>
      <w:proofErr w:type="spellEnd"/>
      <w:r w:rsidRPr="00851643">
        <w:rPr>
          <w:lang w:val="en-US"/>
        </w:rPr>
        <w:t xml:space="preserve"> </w:t>
      </w:r>
      <w:proofErr w:type="spellStart"/>
      <w:r w:rsidRPr="00851643">
        <w:rPr>
          <w:lang w:val="en-US"/>
        </w:rPr>
        <w:t>spettacolo</w:t>
      </w:r>
      <w:proofErr w:type="spellEnd"/>
      <w:r w:rsidRPr="00851643">
        <w:rPr>
          <w:lang w:val="en-US"/>
        </w:rPr>
        <w:t xml:space="preserve"> </w:t>
      </w:r>
      <w:proofErr w:type="spellStart"/>
      <w:r w:rsidRPr="00851643">
        <w:rPr>
          <w:lang w:val="en-US"/>
        </w:rPr>
        <w:t>lieto</w:t>
      </w:r>
      <w:proofErr w:type="spellEnd"/>
      <w:r w:rsidRPr="00851643">
        <w:rPr>
          <w:lang w:val="en-US"/>
        </w:rPr>
        <w:t xml:space="preserve"> e d’’ </w:t>
      </w:r>
      <w:proofErr w:type="spellStart"/>
      <w:r w:rsidRPr="00851643">
        <w:rPr>
          <w:lang w:val="en-US"/>
        </w:rPr>
        <w:t>inesprimibile</w:t>
      </w:r>
      <w:proofErr w:type="spellEnd"/>
      <w:r w:rsidRPr="00851643">
        <w:rPr>
          <w:lang w:val="en-US"/>
        </w:rPr>
        <w:t xml:space="preserve"> </w:t>
      </w:r>
      <w:proofErr w:type="spellStart"/>
      <w:r w:rsidRPr="00851643">
        <w:rPr>
          <w:lang w:val="en-US"/>
        </w:rPr>
        <w:t>bellezza</w:t>
      </w:r>
      <w:proofErr w:type="spellEnd"/>
      <w:r w:rsidRPr="00851643">
        <w:rPr>
          <w:lang w:val="en-US"/>
        </w:rPr>
        <w:t>” (little boys in white robes, representing angels, surround him [God], some with the cymbal, others with the pipe or the lute, making the show pleasant and of inexpressible beauty).”</w:t>
      </w:r>
    </w:p>
  </w:footnote>
  <w:footnote w:id="436">
    <w:p w14:paraId="316CCF95" w14:textId="77777777" w:rsidR="00182EED" w:rsidRDefault="00182EED" w:rsidP="008A116C">
      <w:pPr>
        <w:pStyle w:val="FootnoteText"/>
      </w:pPr>
      <w:r w:rsidRPr="00073E38">
        <w:rPr>
          <w:rStyle w:val="FootnoteReference"/>
        </w:rPr>
        <w:footnoteRef/>
      </w:r>
      <w:r>
        <w:t xml:space="preserve"> </w:t>
      </w:r>
      <w:proofErr w:type="spellStart"/>
      <w:r w:rsidRPr="00947BF2">
        <w:rPr>
          <w:lang w:val="en-US"/>
        </w:rPr>
        <w:t>Newbigin</w:t>
      </w:r>
      <w:proofErr w:type="spellEnd"/>
      <w:r w:rsidRPr="00947BF2">
        <w:rPr>
          <w:lang w:val="en-US"/>
        </w:rPr>
        <w:t xml:space="preserve">, </w:t>
      </w:r>
      <w:r w:rsidRPr="00947BF2">
        <w:rPr>
          <w:i/>
          <w:iCs/>
          <w:lang w:val="en-US"/>
        </w:rPr>
        <w:t xml:space="preserve">Feste </w:t>
      </w:r>
      <w:proofErr w:type="spellStart"/>
      <w:r w:rsidRPr="00947BF2">
        <w:rPr>
          <w:i/>
          <w:iCs/>
          <w:lang w:val="en-US"/>
        </w:rPr>
        <w:t>d’Oltrarno</w:t>
      </w:r>
      <w:proofErr w:type="spellEnd"/>
      <w:r w:rsidRPr="00947BF2">
        <w:rPr>
          <w:lang w:val="en-US"/>
        </w:rPr>
        <w:t xml:space="preserve">, 1:6. The original text is in Russian; see </w:t>
      </w:r>
      <w:proofErr w:type="spellStart"/>
      <w:r w:rsidRPr="00947BF2">
        <w:rPr>
          <w:lang w:val="en-US"/>
        </w:rPr>
        <w:t>D’Ancona</w:t>
      </w:r>
      <w:proofErr w:type="spellEnd"/>
      <w:r w:rsidRPr="00947BF2">
        <w:rPr>
          <w:lang w:val="en-US"/>
        </w:rPr>
        <w:t xml:space="preserve">, </w:t>
      </w:r>
      <w:proofErr w:type="spellStart"/>
      <w:r w:rsidRPr="00947BF2">
        <w:rPr>
          <w:i/>
          <w:iCs/>
          <w:lang w:val="en-US"/>
        </w:rPr>
        <w:t>Origini</w:t>
      </w:r>
      <w:proofErr w:type="spellEnd"/>
      <w:r w:rsidRPr="00947BF2">
        <w:rPr>
          <w:i/>
          <w:iCs/>
          <w:lang w:val="en-US"/>
        </w:rPr>
        <w:t xml:space="preserve"> del Teatro </w:t>
      </w:r>
      <w:proofErr w:type="spellStart"/>
      <w:r w:rsidRPr="00947BF2">
        <w:rPr>
          <w:i/>
          <w:iCs/>
          <w:lang w:val="en-US"/>
        </w:rPr>
        <w:t>Italiano</w:t>
      </w:r>
      <w:proofErr w:type="spellEnd"/>
      <w:r w:rsidRPr="00947BF2">
        <w:rPr>
          <w:lang w:val="en-US"/>
        </w:rPr>
        <w:t>, I:249 for a slightly different Italian translation: “</w:t>
      </w:r>
      <w:proofErr w:type="spellStart"/>
      <w:r w:rsidRPr="00947BF2">
        <w:rPr>
          <w:lang w:val="en-US"/>
        </w:rPr>
        <w:t>L’angiolo</w:t>
      </w:r>
      <w:proofErr w:type="spellEnd"/>
      <w:r w:rsidRPr="00947BF2">
        <w:rPr>
          <w:lang w:val="en-US"/>
        </w:rPr>
        <w:t xml:space="preserve"> è un bel </w:t>
      </w:r>
      <w:proofErr w:type="spellStart"/>
      <w:r w:rsidRPr="00947BF2">
        <w:rPr>
          <w:lang w:val="en-US"/>
        </w:rPr>
        <w:t>giovane</w:t>
      </w:r>
      <w:proofErr w:type="spellEnd"/>
      <w:r w:rsidRPr="00947BF2">
        <w:rPr>
          <w:lang w:val="en-US"/>
        </w:rPr>
        <w:t xml:space="preserve">, </w:t>
      </w:r>
      <w:proofErr w:type="spellStart"/>
      <w:r w:rsidRPr="00947BF2">
        <w:rPr>
          <w:lang w:val="en-US"/>
        </w:rPr>
        <w:t>vestito</w:t>
      </w:r>
      <w:proofErr w:type="spellEnd"/>
      <w:r w:rsidRPr="00947BF2">
        <w:rPr>
          <w:lang w:val="en-US"/>
        </w:rPr>
        <w:t xml:space="preserve"> di un </w:t>
      </w:r>
      <w:proofErr w:type="spellStart"/>
      <w:r w:rsidRPr="00947BF2">
        <w:rPr>
          <w:lang w:val="en-US"/>
        </w:rPr>
        <w:t>abito</w:t>
      </w:r>
      <w:proofErr w:type="spellEnd"/>
      <w:r w:rsidRPr="00947BF2">
        <w:rPr>
          <w:lang w:val="en-US"/>
        </w:rPr>
        <w:t xml:space="preserve"> </w:t>
      </w:r>
      <w:proofErr w:type="spellStart"/>
      <w:r w:rsidRPr="00947BF2">
        <w:rPr>
          <w:lang w:val="en-US"/>
        </w:rPr>
        <w:t>bianco</w:t>
      </w:r>
      <w:proofErr w:type="spellEnd"/>
      <w:r w:rsidRPr="00947BF2">
        <w:rPr>
          <w:lang w:val="en-US"/>
        </w:rPr>
        <w:t xml:space="preserve"> come neve, </w:t>
      </w:r>
      <w:proofErr w:type="spellStart"/>
      <w:r w:rsidRPr="00947BF2">
        <w:rPr>
          <w:lang w:val="en-US"/>
        </w:rPr>
        <w:t>ornato</w:t>
      </w:r>
      <w:proofErr w:type="spellEnd"/>
      <w:r w:rsidRPr="00947BF2">
        <w:rPr>
          <w:lang w:val="en-US"/>
        </w:rPr>
        <w:t xml:space="preserve"> </w:t>
      </w:r>
      <w:proofErr w:type="spellStart"/>
      <w:r w:rsidRPr="00947BF2">
        <w:rPr>
          <w:lang w:val="en-US"/>
        </w:rPr>
        <w:t>d’oro</w:t>
      </w:r>
      <w:proofErr w:type="spellEnd"/>
      <w:r w:rsidRPr="00947BF2">
        <w:rPr>
          <w:lang w:val="en-US"/>
        </w:rPr>
        <w:t xml:space="preserve">: proprio come </w:t>
      </w:r>
      <w:proofErr w:type="spellStart"/>
      <w:r w:rsidRPr="00947BF2">
        <w:rPr>
          <w:lang w:val="en-US"/>
        </w:rPr>
        <w:t>si</w:t>
      </w:r>
      <w:proofErr w:type="spellEnd"/>
      <w:r w:rsidRPr="00947BF2">
        <w:rPr>
          <w:lang w:val="en-US"/>
        </w:rPr>
        <w:t xml:space="preserve"> </w:t>
      </w:r>
      <w:proofErr w:type="spellStart"/>
      <w:r w:rsidRPr="00947BF2">
        <w:rPr>
          <w:lang w:val="en-US"/>
        </w:rPr>
        <w:t>veggono</w:t>
      </w:r>
      <w:proofErr w:type="spellEnd"/>
      <w:r w:rsidRPr="00947BF2">
        <w:rPr>
          <w:lang w:val="en-US"/>
        </w:rPr>
        <w:t xml:space="preserve"> dipinti </w:t>
      </w:r>
      <w:proofErr w:type="spellStart"/>
      <w:r w:rsidRPr="00947BF2">
        <w:rPr>
          <w:lang w:val="en-US"/>
        </w:rPr>
        <w:t>gli</w:t>
      </w:r>
      <w:proofErr w:type="spellEnd"/>
      <w:r w:rsidRPr="00947BF2">
        <w:rPr>
          <w:lang w:val="en-US"/>
        </w:rPr>
        <w:t xml:space="preserve"> </w:t>
      </w:r>
      <w:proofErr w:type="spellStart"/>
      <w:r w:rsidRPr="00947BF2">
        <w:rPr>
          <w:lang w:val="en-US"/>
        </w:rPr>
        <w:t>angioli</w:t>
      </w:r>
      <w:proofErr w:type="spellEnd"/>
      <w:r w:rsidRPr="00947BF2">
        <w:rPr>
          <w:lang w:val="en-US"/>
        </w:rPr>
        <w:t xml:space="preserve"> </w:t>
      </w:r>
      <w:proofErr w:type="spellStart"/>
      <w:r w:rsidRPr="00947BF2">
        <w:rPr>
          <w:lang w:val="en-US"/>
        </w:rPr>
        <w:t>celesti</w:t>
      </w:r>
      <w:proofErr w:type="spellEnd"/>
      <w:r w:rsidRPr="00947BF2">
        <w:rPr>
          <w:lang w:val="en-US"/>
        </w:rPr>
        <w:t xml:space="preserve">. </w:t>
      </w:r>
      <w:proofErr w:type="spellStart"/>
      <w:r w:rsidRPr="00947BF2">
        <w:rPr>
          <w:lang w:val="en-US"/>
        </w:rPr>
        <w:t>Intanto</w:t>
      </w:r>
      <w:proofErr w:type="spellEnd"/>
      <w:r w:rsidRPr="00947BF2">
        <w:rPr>
          <w:lang w:val="en-US"/>
        </w:rPr>
        <w:t xml:space="preserve"> </w:t>
      </w:r>
      <w:proofErr w:type="spellStart"/>
      <w:r w:rsidRPr="00947BF2">
        <w:rPr>
          <w:lang w:val="en-US"/>
        </w:rPr>
        <w:t>ch’ei</w:t>
      </w:r>
      <w:proofErr w:type="spellEnd"/>
      <w:r w:rsidRPr="00947BF2">
        <w:rPr>
          <w:lang w:val="en-US"/>
        </w:rPr>
        <w:t xml:space="preserve"> </w:t>
      </w:r>
      <w:proofErr w:type="spellStart"/>
      <w:r w:rsidRPr="00947BF2">
        <w:rPr>
          <w:lang w:val="en-US"/>
        </w:rPr>
        <w:t>scende</w:t>
      </w:r>
      <w:proofErr w:type="spellEnd"/>
      <w:r w:rsidRPr="00947BF2">
        <w:rPr>
          <w:lang w:val="en-US"/>
        </w:rPr>
        <w:t xml:space="preserve">, </w:t>
      </w:r>
      <w:proofErr w:type="spellStart"/>
      <w:r w:rsidRPr="00947BF2">
        <w:rPr>
          <w:lang w:val="en-US"/>
        </w:rPr>
        <w:t>canta</w:t>
      </w:r>
      <w:proofErr w:type="spellEnd"/>
      <w:r w:rsidRPr="00947BF2">
        <w:rPr>
          <w:lang w:val="en-US"/>
        </w:rPr>
        <w:t xml:space="preserve"> a </w:t>
      </w:r>
      <w:proofErr w:type="spellStart"/>
      <w:r w:rsidRPr="00947BF2">
        <w:rPr>
          <w:lang w:val="en-US"/>
        </w:rPr>
        <w:t>bassa</w:t>
      </w:r>
      <w:proofErr w:type="spellEnd"/>
      <w:r w:rsidRPr="00947BF2">
        <w:rPr>
          <w:lang w:val="en-US"/>
        </w:rPr>
        <w:t xml:space="preserve"> voce” (a handsome young boy, dressed in a robe white as snow, decorated with gold: exactly like one can see celestial angels being painted. While he comes downwards, he sings with a low voice); see also Roberto </w:t>
      </w:r>
      <w:proofErr w:type="spellStart"/>
      <w:r w:rsidRPr="00947BF2">
        <w:rPr>
          <w:lang w:val="en-US"/>
        </w:rPr>
        <w:t>Tessari</w:t>
      </w:r>
      <w:proofErr w:type="spellEnd"/>
      <w:r w:rsidRPr="00947BF2">
        <w:rPr>
          <w:lang w:val="en-US"/>
        </w:rPr>
        <w:t>, “</w:t>
      </w:r>
      <w:proofErr w:type="spellStart"/>
      <w:r w:rsidRPr="00947BF2">
        <w:rPr>
          <w:lang w:val="en-US"/>
        </w:rPr>
        <w:t>Attori</w:t>
      </w:r>
      <w:proofErr w:type="spellEnd"/>
      <w:r w:rsidRPr="00947BF2">
        <w:rPr>
          <w:lang w:val="en-US"/>
        </w:rPr>
        <w:t xml:space="preserve"> con le Ali: </w:t>
      </w:r>
      <w:proofErr w:type="spellStart"/>
      <w:r w:rsidRPr="00947BF2">
        <w:rPr>
          <w:lang w:val="en-US"/>
        </w:rPr>
        <w:t>Gli</w:t>
      </w:r>
      <w:proofErr w:type="spellEnd"/>
      <w:r w:rsidRPr="00947BF2">
        <w:rPr>
          <w:lang w:val="en-US"/>
        </w:rPr>
        <w:t xml:space="preserve"> </w:t>
      </w:r>
      <w:proofErr w:type="spellStart"/>
      <w:r w:rsidRPr="00947BF2">
        <w:rPr>
          <w:lang w:val="en-US"/>
        </w:rPr>
        <w:t>Angeli</w:t>
      </w:r>
      <w:proofErr w:type="spellEnd"/>
      <w:r w:rsidRPr="00947BF2">
        <w:rPr>
          <w:lang w:val="en-US"/>
        </w:rPr>
        <w:t xml:space="preserve"> </w:t>
      </w:r>
      <w:proofErr w:type="spellStart"/>
      <w:r w:rsidRPr="00947BF2">
        <w:rPr>
          <w:lang w:val="en-US"/>
        </w:rPr>
        <w:t>negli</w:t>
      </w:r>
      <w:proofErr w:type="spellEnd"/>
      <w:r w:rsidRPr="00947BF2">
        <w:rPr>
          <w:lang w:val="en-US"/>
        </w:rPr>
        <w:t xml:space="preserve"> </w:t>
      </w:r>
      <w:proofErr w:type="spellStart"/>
      <w:r w:rsidRPr="00947BF2">
        <w:rPr>
          <w:lang w:val="en-US"/>
        </w:rPr>
        <w:t>Spettacoli</w:t>
      </w:r>
      <w:proofErr w:type="spellEnd"/>
      <w:r w:rsidRPr="00947BF2">
        <w:rPr>
          <w:lang w:val="en-US"/>
        </w:rPr>
        <w:t xml:space="preserve"> </w:t>
      </w:r>
      <w:proofErr w:type="spellStart"/>
      <w:r w:rsidRPr="00947BF2">
        <w:rPr>
          <w:lang w:val="en-US"/>
        </w:rPr>
        <w:t>Teatrali</w:t>
      </w:r>
      <w:proofErr w:type="spellEnd"/>
      <w:r w:rsidRPr="00947BF2">
        <w:rPr>
          <w:lang w:val="en-US"/>
        </w:rPr>
        <w:t xml:space="preserve"> e </w:t>
      </w:r>
      <w:proofErr w:type="spellStart"/>
      <w:r w:rsidRPr="00947BF2">
        <w:rPr>
          <w:lang w:val="en-US"/>
        </w:rPr>
        <w:t>Cinematografici</w:t>
      </w:r>
      <w:proofErr w:type="spellEnd"/>
      <w:r w:rsidRPr="00947BF2">
        <w:rPr>
          <w:lang w:val="en-US"/>
        </w:rPr>
        <w:t xml:space="preserve">,” in </w:t>
      </w:r>
      <w:proofErr w:type="spellStart"/>
      <w:r w:rsidRPr="00947BF2">
        <w:rPr>
          <w:i/>
          <w:iCs/>
          <w:lang w:val="en-US"/>
        </w:rPr>
        <w:t>Angeli</w:t>
      </w:r>
      <w:proofErr w:type="spellEnd"/>
      <w:r w:rsidRPr="00947BF2">
        <w:rPr>
          <w:i/>
          <w:iCs/>
          <w:lang w:val="en-US"/>
        </w:rPr>
        <w:t xml:space="preserve">: </w:t>
      </w:r>
      <w:proofErr w:type="spellStart"/>
      <w:r w:rsidRPr="00947BF2">
        <w:rPr>
          <w:i/>
          <w:iCs/>
          <w:lang w:val="en-US"/>
        </w:rPr>
        <w:t>volti</w:t>
      </w:r>
      <w:proofErr w:type="spellEnd"/>
      <w:r w:rsidRPr="00947BF2">
        <w:rPr>
          <w:i/>
          <w:iCs/>
          <w:lang w:val="en-US"/>
        </w:rPr>
        <w:t xml:space="preserve"> </w:t>
      </w:r>
      <w:proofErr w:type="spellStart"/>
      <w:r w:rsidRPr="00947BF2">
        <w:rPr>
          <w:i/>
          <w:iCs/>
          <w:lang w:val="en-US"/>
        </w:rPr>
        <w:t>dell’invisibile</w:t>
      </w:r>
      <w:proofErr w:type="spellEnd"/>
      <w:r w:rsidRPr="00947BF2">
        <w:rPr>
          <w:i/>
          <w:iCs/>
          <w:lang w:val="en-US"/>
        </w:rPr>
        <w:t xml:space="preserve">, </w:t>
      </w:r>
      <w:r w:rsidRPr="00947BF2">
        <w:rPr>
          <w:lang w:val="en-US"/>
        </w:rPr>
        <w:t xml:space="preserve">exh.cat., ed. Serenella </w:t>
      </w:r>
      <w:proofErr w:type="spellStart"/>
      <w:r w:rsidRPr="00947BF2">
        <w:rPr>
          <w:lang w:val="en-US"/>
        </w:rPr>
        <w:t>Castri</w:t>
      </w:r>
      <w:proofErr w:type="spellEnd"/>
      <w:r w:rsidRPr="00947BF2">
        <w:rPr>
          <w:lang w:val="en-US"/>
        </w:rPr>
        <w:t xml:space="preserve"> (Turin: Umberto </w:t>
      </w:r>
      <w:proofErr w:type="spellStart"/>
      <w:r w:rsidRPr="00947BF2">
        <w:rPr>
          <w:lang w:val="en-US"/>
        </w:rPr>
        <w:t>Allemandi</w:t>
      </w:r>
      <w:proofErr w:type="spellEnd"/>
      <w:r w:rsidRPr="00947BF2">
        <w:rPr>
          <w:lang w:val="en-US"/>
        </w:rPr>
        <w:t>, 2010), 76.</w:t>
      </w:r>
    </w:p>
  </w:footnote>
  <w:footnote w:id="437">
    <w:p w14:paraId="36645A73" w14:textId="77777777" w:rsidR="00182EED" w:rsidRDefault="00182EED" w:rsidP="008A116C">
      <w:pPr>
        <w:pStyle w:val="FootnoteText"/>
      </w:pPr>
      <w:r w:rsidRPr="00073E38">
        <w:rPr>
          <w:rStyle w:val="FootnoteReference"/>
        </w:rPr>
        <w:footnoteRef/>
      </w:r>
      <w:r>
        <w:t xml:space="preserve"> </w:t>
      </w:r>
      <w:proofErr w:type="spellStart"/>
      <w:r w:rsidRPr="00947BF2">
        <w:rPr>
          <w:lang w:val="en-US"/>
        </w:rPr>
        <w:t>Newbigin</w:t>
      </w:r>
      <w:proofErr w:type="spellEnd"/>
      <w:r w:rsidRPr="00947BF2">
        <w:rPr>
          <w:lang w:val="en-US"/>
        </w:rPr>
        <w:t xml:space="preserve">, </w:t>
      </w:r>
      <w:r w:rsidRPr="00947BF2">
        <w:rPr>
          <w:i/>
          <w:iCs/>
          <w:lang w:val="en-US"/>
        </w:rPr>
        <w:t xml:space="preserve">Feste </w:t>
      </w:r>
      <w:proofErr w:type="spellStart"/>
      <w:r w:rsidRPr="00947BF2">
        <w:rPr>
          <w:i/>
          <w:iCs/>
          <w:lang w:val="en-US"/>
        </w:rPr>
        <w:t>d’Oltrarno</w:t>
      </w:r>
      <w:proofErr w:type="spellEnd"/>
      <w:r w:rsidRPr="00947BF2">
        <w:rPr>
          <w:lang w:val="en-US"/>
        </w:rPr>
        <w:t xml:space="preserve">, 1:61. The original text is in Russian; see </w:t>
      </w:r>
      <w:proofErr w:type="spellStart"/>
      <w:r w:rsidRPr="00947BF2">
        <w:rPr>
          <w:lang w:val="en-US"/>
        </w:rPr>
        <w:t>D’Ancona</w:t>
      </w:r>
      <w:proofErr w:type="spellEnd"/>
      <w:r w:rsidRPr="00947BF2">
        <w:rPr>
          <w:lang w:val="en-US"/>
        </w:rPr>
        <w:t xml:space="preserve">, </w:t>
      </w:r>
      <w:proofErr w:type="spellStart"/>
      <w:r w:rsidRPr="00947BF2">
        <w:rPr>
          <w:i/>
          <w:iCs/>
          <w:lang w:val="en-US"/>
        </w:rPr>
        <w:t>Origini</w:t>
      </w:r>
      <w:proofErr w:type="spellEnd"/>
      <w:r w:rsidRPr="00947BF2">
        <w:rPr>
          <w:i/>
          <w:iCs/>
          <w:lang w:val="en-US"/>
        </w:rPr>
        <w:t xml:space="preserve"> del Teatro </w:t>
      </w:r>
      <w:proofErr w:type="spellStart"/>
      <w:r w:rsidRPr="00947BF2">
        <w:rPr>
          <w:i/>
          <w:iCs/>
          <w:lang w:val="en-US"/>
        </w:rPr>
        <w:t>Italiano</w:t>
      </w:r>
      <w:proofErr w:type="spellEnd"/>
      <w:r w:rsidRPr="00947BF2">
        <w:rPr>
          <w:lang w:val="en-US"/>
        </w:rPr>
        <w:t>, I:251 for a slightly different Italian translation: “</w:t>
      </w:r>
      <w:proofErr w:type="spellStart"/>
      <w:r w:rsidRPr="00947BF2">
        <w:rPr>
          <w:lang w:val="en-US"/>
        </w:rPr>
        <w:t>Fanciulli</w:t>
      </w:r>
      <w:proofErr w:type="spellEnd"/>
      <w:r w:rsidRPr="00947BF2">
        <w:rPr>
          <w:lang w:val="en-US"/>
        </w:rPr>
        <w:t xml:space="preserve"> con flauti, </w:t>
      </w:r>
      <w:proofErr w:type="spellStart"/>
      <w:r w:rsidRPr="00947BF2">
        <w:rPr>
          <w:lang w:val="en-US"/>
        </w:rPr>
        <w:t>cetre</w:t>
      </w:r>
      <w:proofErr w:type="spellEnd"/>
      <w:r w:rsidRPr="00947BF2">
        <w:rPr>
          <w:lang w:val="en-US"/>
        </w:rPr>
        <w:t xml:space="preserve"> e </w:t>
      </w:r>
      <w:proofErr w:type="spellStart"/>
      <w:r w:rsidRPr="00947BF2">
        <w:rPr>
          <w:lang w:val="en-US"/>
        </w:rPr>
        <w:t>campanelli</w:t>
      </w:r>
      <w:proofErr w:type="spellEnd"/>
      <w:r w:rsidRPr="00947BF2">
        <w:rPr>
          <w:lang w:val="en-US"/>
        </w:rPr>
        <w:t>”( young children with pipes, lutes and small bells).</w:t>
      </w:r>
    </w:p>
  </w:footnote>
  <w:footnote w:id="438">
    <w:p w14:paraId="42EEC704" w14:textId="77777777" w:rsidR="00182EED" w:rsidRDefault="00182EED" w:rsidP="008A116C">
      <w:pPr>
        <w:pStyle w:val="FootnoteText"/>
      </w:pPr>
      <w:r w:rsidRPr="00073E38">
        <w:rPr>
          <w:rStyle w:val="FootnoteReference"/>
        </w:rPr>
        <w:footnoteRef/>
      </w:r>
      <w:r>
        <w:t xml:space="preserve"> </w:t>
      </w:r>
      <w:proofErr w:type="spellStart"/>
      <w:r w:rsidRPr="004B1505">
        <w:rPr>
          <w:lang w:val="en-US"/>
        </w:rPr>
        <w:t>Newbigin</w:t>
      </w:r>
      <w:proofErr w:type="spellEnd"/>
      <w:r w:rsidRPr="004B1505">
        <w:rPr>
          <w:lang w:val="en-US"/>
        </w:rPr>
        <w:t xml:space="preserve">, </w:t>
      </w:r>
      <w:r w:rsidRPr="004B1505">
        <w:rPr>
          <w:i/>
          <w:iCs/>
          <w:lang w:val="en-US"/>
        </w:rPr>
        <w:t xml:space="preserve">Feste </w:t>
      </w:r>
      <w:proofErr w:type="spellStart"/>
      <w:r w:rsidRPr="004B1505">
        <w:rPr>
          <w:i/>
          <w:iCs/>
          <w:lang w:val="en-US"/>
        </w:rPr>
        <w:t>d’Oltrarno</w:t>
      </w:r>
      <w:proofErr w:type="spellEnd"/>
      <w:r w:rsidRPr="004B1505">
        <w:rPr>
          <w:lang w:val="en-US"/>
        </w:rPr>
        <w:t xml:space="preserve">, 1:62. The original text is in Russian; see </w:t>
      </w:r>
      <w:proofErr w:type="spellStart"/>
      <w:r w:rsidRPr="004B1505">
        <w:rPr>
          <w:lang w:val="en-US"/>
        </w:rPr>
        <w:t>D’Ancona</w:t>
      </w:r>
      <w:proofErr w:type="spellEnd"/>
      <w:r w:rsidRPr="004B1505">
        <w:rPr>
          <w:lang w:val="en-US"/>
        </w:rPr>
        <w:t xml:space="preserve">, </w:t>
      </w:r>
      <w:proofErr w:type="spellStart"/>
      <w:r w:rsidRPr="004B1505">
        <w:rPr>
          <w:i/>
          <w:iCs/>
          <w:lang w:val="en-US"/>
        </w:rPr>
        <w:t>Origini</w:t>
      </w:r>
      <w:proofErr w:type="spellEnd"/>
      <w:r w:rsidRPr="004B1505">
        <w:rPr>
          <w:i/>
          <w:iCs/>
          <w:lang w:val="en-US"/>
        </w:rPr>
        <w:t xml:space="preserve"> del Teatro </w:t>
      </w:r>
      <w:proofErr w:type="spellStart"/>
      <w:r w:rsidRPr="004B1505">
        <w:rPr>
          <w:i/>
          <w:iCs/>
          <w:lang w:val="en-US"/>
        </w:rPr>
        <w:t>Italiano</w:t>
      </w:r>
      <w:proofErr w:type="spellEnd"/>
      <w:r w:rsidRPr="004B1505">
        <w:rPr>
          <w:lang w:val="en-US"/>
        </w:rPr>
        <w:t xml:space="preserve">, I:253 for a slightly different Italian translation: “I </w:t>
      </w:r>
      <w:proofErr w:type="spellStart"/>
      <w:r w:rsidRPr="004B1505">
        <w:rPr>
          <w:lang w:val="en-US"/>
        </w:rPr>
        <w:t>fanciulli</w:t>
      </w:r>
      <w:proofErr w:type="spellEnd"/>
      <w:r w:rsidRPr="004B1505">
        <w:rPr>
          <w:lang w:val="en-US"/>
        </w:rPr>
        <w:t xml:space="preserve"> </w:t>
      </w:r>
      <w:proofErr w:type="spellStart"/>
      <w:r w:rsidRPr="004B1505">
        <w:rPr>
          <w:lang w:val="en-US"/>
        </w:rPr>
        <w:t>che</w:t>
      </w:r>
      <w:proofErr w:type="spellEnd"/>
      <w:r w:rsidRPr="004B1505">
        <w:rPr>
          <w:lang w:val="en-US"/>
        </w:rPr>
        <w:t xml:space="preserve"> </w:t>
      </w:r>
      <w:proofErr w:type="spellStart"/>
      <w:r w:rsidRPr="004B1505">
        <w:rPr>
          <w:lang w:val="en-US"/>
        </w:rPr>
        <w:t>rappresentano</w:t>
      </w:r>
      <w:proofErr w:type="spellEnd"/>
      <w:r w:rsidRPr="004B1505">
        <w:rPr>
          <w:lang w:val="en-US"/>
        </w:rPr>
        <w:t xml:space="preserve"> </w:t>
      </w:r>
      <w:proofErr w:type="spellStart"/>
      <w:r w:rsidRPr="004B1505">
        <w:rPr>
          <w:lang w:val="en-US"/>
        </w:rPr>
        <w:t>gli</w:t>
      </w:r>
      <w:proofErr w:type="spellEnd"/>
      <w:r w:rsidRPr="004B1505">
        <w:rPr>
          <w:lang w:val="en-US"/>
        </w:rPr>
        <w:t xml:space="preserve"> </w:t>
      </w:r>
      <w:proofErr w:type="spellStart"/>
      <w:r w:rsidRPr="004B1505">
        <w:rPr>
          <w:lang w:val="en-US"/>
        </w:rPr>
        <w:t>angioli</w:t>
      </w:r>
      <w:proofErr w:type="spellEnd"/>
      <w:r w:rsidRPr="004B1505">
        <w:rPr>
          <w:lang w:val="en-US"/>
        </w:rPr>
        <w:t xml:space="preserve"> </w:t>
      </w:r>
      <w:proofErr w:type="spellStart"/>
      <w:r w:rsidRPr="004B1505">
        <w:rPr>
          <w:lang w:val="en-US"/>
        </w:rPr>
        <w:t>si</w:t>
      </w:r>
      <w:proofErr w:type="spellEnd"/>
      <w:r w:rsidRPr="004B1505">
        <w:rPr>
          <w:lang w:val="en-US"/>
        </w:rPr>
        <w:t xml:space="preserve"> </w:t>
      </w:r>
      <w:proofErr w:type="spellStart"/>
      <w:r w:rsidRPr="004B1505">
        <w:rPr>
          <w:lang w:val="en-US"/>
        </w:rPr>
        <w:t>muovono</w:t>
      </w:r>
      <w:proofErr w:type="spellEnd"/>
      <w:r w:rsidRPr="004B1505">
        <w:rPr>
          <w:lang w:val="en-US"/>
        </w:rPr>
        <w:t xml:space="preserve"> </w:t>
      </w:r>
      <w:proofErr w:type="spellStart"/>
      <w:r w:rsidRPr="004B1505">
        <w:rPr>
          <w:lang w:val="en-US"/>
        </w:rPr>
        <w:t>intorno</w:t>
      </w:r>
      <w:proofErr w:type="spellEnd"/>
      <w:r w:rsidRPr="004B1505">
        <w:rPr>
          <w:lang w:val="en-US"/>
        </w:rPr>
        <w:t xml:space="preserve"> a </w:t>
      </w:r>
      <w:proofErr w:type="spellStart"/>
      <w:r w:rsidRPr="004B1505">
        <w:rPr>
          <w:lang w:val="en-US"/>
        </w:rPr>
        <w:t>lui</w:t>
      </w:r>
      <w:proofErr w:type="spellEnd"/>
      <w:r w:rsidRPr="004B1505">
        <w:rPr>
          <w:lang w:val="en-US"/>
        </w:rPr>
        <w:t xml:space="preserve">, </w:t>
      </w:r>
      <w:proofErr w:type="spellStart"/>
      <w:r w:rsidRPr="004B1505">
        <w:rPr>
          <w:lang w:val="en-US"/>
        </w:rPr>
        <w:t>mentre</w:t>
      </w:r>
      <w:proofErr w:type="spellEnd"/>
      <w:r w:rsidRPr="004B1505">
        <w:rPr>
          <w:lang w:val="en-US"/>
        </w:rPr>
        <w:t xml:space="preserve"> una </w:t>
      </w:r>
      <w:proofErr w:type="spellStart"/>
      <w:r w:rsidRPr="004B1505">
        <w:rPr>
          <w:lang w:val="en-US"/>
        </w:rPr>
        <w:t>musica</w:t>
      </w:r>
      <w:proofErr w:type="spellEnd"/>
      <w:r w:rsidRPr="004B1505">
        <w:rPr>
          <w:lang w:val="en-US"/>
        </w:rPr>
        <w:t xml:space="preserve"> </w:t>
      </w:r>
      <w:proofErr w:type="spellStart"/>
      <w:r w:rsidRPr="004B1505">
        <w:rPr>
          <w:lang w:val="en-US"/>
        </w:rPr>
        <w:t>armoniosa</w:t>
      </w:r>
      <w:proofErr w:type="spellEnd"/>
      <w:r w:rsidRPr="004B1505">
        <w:rPr>
          <w:lang w:val="en-US"/>
        </w:rPr>
        <w:t xml:space="preserve"> e un dolce canto </w:t>
      </w:r>
      <w:proofErr w:type="spellStart"/>
      <w:r w:rsidRPr="004B1505">
        <w:rPr>
          <w:lang w:val="en-US"/>
        </w:rPr>
        <w:t>risuona</w:t>
      </w:r>
      <w:proofErr w:type="spellEnd"/>
      <w:r w:rsidRPr="004B1505">
        <w:rPr>
          <w:lang w:val="en-US"/>
        </w:rPr>
        <w:t xml:space="preserve"> da lungi” (the children who represent angels move around Him, while a harmonious music and a sweet song resounds from afar); on the Feast of Ascension see also </w:t>
      </w:r>
      <w:proofErr w:type="spellStart"/>
      <w:r w:rsidRPr="004B1505">
        <w:rPr>
          <w:lang w:val="en-US"/>
        </w:rPr>
        <w:t>Cyrilla</w:t>
      </w:r>
      <w:proofErr w:type="spellEnd"/>
      <w:r w:rsidRPr="004B1505">
        <w:rPr>
          <w:lang w:val="en-US"/>
        </w:rPr>
        <w:t xml:space="preserve"> Barr, “Music and Spectacle in Confraternity Drama of Fifteenth-Century Florence: The Reconstruction of a Theatrical Event,” in </w:t>
      </w:r>
      <w:r w:rsidRPr="004B1505">
        <w:rPr>
          <w:i/>
          <w:iCs/>
          <w:lang w:val="en-US"/>
        </w:rPr>
        <w:t>Christianity and the Renaissance: Image and Religious Imagination in the Quattrocento</w:t>
      </w:r>
      <w:r w:rsidRPr="004B1505">
        <w:rPr>
          <w:lang w:val="en-US"/>
        </w:rPr>
        <w:t xml:space="preserve">, ed. John Henderson and Timothy Verdon (Syracuse, New York: Syracuse University Press, 1990), 376–404; Alessandra </w:t>
      </w:r>
      <w:proofErr w:type="spellStart"/>
      <w:r w:rsidRPr="004B1505">
        <w:rPr>
          <w:lang w:val="en-US"/>
        </w:rPr>
        <w:t>Buccheri</w:t>
      </w:r>
      <w:proofErr w:type="spellEnd"/>
      <w:r w:rsidRPr="004B1505">
        <w:rPr>
          <w:lang w:val="en-US"/>
        </w:rPr>
        <w:t xml:space="preserve">, </w:t>
      </w:r>
      <w:r w:rsidRPr="004B1505">
        <w:rPr>
          <w:i/>
          <w:iCs/>
          <w:lang w:val="en-US"/>
        </w:rPr>
        <w:t>The Spectacle of Clouds, 1439-1650: Italian Art and Theatre</w:t>
      </w:r>
      <w:r w:rsidRPr="004B1505">
        <w:rPr>
          <w:lang w:val="en-US"/>
        </w:rPr>
        <w:t xml:space="preserve"> (Oxon and New York: Ashgate, 2014), 387 for a visual interpretation of the Ascension play.</w:t>
      </w:r>
    </w:p>
  </w:footnote>
  <w:footnote w:id="439">
    <w:p w14:paraId="5D55CB1A" w14:textId="77777777" w:rsidR="00182EED" w:rsidRDefault="00182EED" w:rsidP="008A116C">
      <w:pPr>
        <w:pStyle w:val="FootnoteText"/>
      </w:pPr>
      <w:r w:rsidRPr="00073E38">
        <w:rPr>
          <w:rStyle w:val="FootnoteReference"/>
        </w:rPr>
        <w:footnoteRef/>
      </w:r>
      <w:r>
        <w:t xml:space="preserve"> </w:t>
      </w:r>
      <w:r w:rsidRPr="006D0BDA">
        <w:rPr>
          <w:lang w:val="en-US"/>
        </w:rPr>
        <w:t>Barr, “Music and Spectacle in Confraternity Drama of Fifteenth-Century Florence,” 387.</w:t>
      </w:r>
    </w:p>
  </w:footnote>
  <w:footnote w:id="440">
    <w:p w14:paraId="3F5D9ECE" w14:textId="77777777" w:rsidR="00182EED" w:rsidRDefault="00182EED" w:rsidP="008A116C">
      <w:pPr>
        <w:pStyle w:val="FootnoteText"/>
      </w:pPr>
      <w:r w:rsidRPr="00073E38">
        <w:rPr>
          <w:rStyle w:val="FootnoteReference"/>
        </w:rPr>
        <w:footnoteRef/>
      </w:r>
      <w:r>
        <w:t xml:space="preserve"> </w:t>
      </w:r>
      <w:r w:rsidRPr="004B1505">
        <w:rPr>
          <w:lang w:val="en-US"/>
        </w:rPr>
        <w:t xml:space="preserve">“Che e’ </w:t>
      </w:r>
      <w:proofErr w:type="spellStart"/>
      <w:r w:rsidRPr="004B1505">
        <w:rPr>
          <w:lang w:val="en-US"/>
        </w:rPr>
        <w:t>fanciulli</w:t>
      </w:r>
      <w:proofErr w:type="spellEnd"/>
      <w:r w:rsidRPr="004B1505">
        <w:rPr>
          <w:lang w:val="en-US"/>
        </w:rPr>
        <w:t xml:space="preserve"> </w:t>
      </w:r>
      <w:proofErr w:type="spellStart"/>
      <w:r w:rsidRPr="004B1505">
        <w:rPr>
          <w:lang w:val="en-US"/>
        </w:rPr>
        <w:t>venghino</w:t>
      </w:r>
      <w:proofErr w:type="spellEnd"/>
      <w:r w:rsidRPr="004B1505">
        <w:rPr>
          <w:lang w:val="en-US"/>
        </w:rPr>
        <w:t xml:space="preserve"> </w:t>
      </w:r>
      <w:proofErr w:type="spellStart"/>
      <w:r w:rsidRPr="004B1505">
        <w:rPr>
          <w:lang w:val="en-US"/>
        </w:rPr>
        <w:t>alla</w:t>
      </w:r>
      <w:proofErr w:type="spellEnd"/>
      <w:r w:rsidRPr="004B1505">
        <w:rPr>
          <w:lang w:val="en-US"/>
        </w:rPr>
        <w:t xml:space="preserve"> </w:t>
      </w:r>
      <w:proofErr w:type="spellStart"/>
      <w:r w:rsidRPr="004B1505">
        <w:rPr>
          <w:lang w:val="en-US"/>
        </w:rPr>
        <w:t>predica</w:t>
      </w:r>
      <w:proofErr w:type="spellEnd"/>
      <w:r w:rsidRPr="004B1505">
        <w:rPr>
          <w:lang w:val="en-US"/>
        </w:rPr>
        <w:t xml:space="preserve"> </w:t>
      </w:r>
      <w:proofErr w:type="spellStart"/>
      <w:r w:rsidRPr="004B1505">
        <w:rPr>
          <w:lang w:val="en-US"/>
        </w:rPr>
        <w:t>domattina</w:t>
      </w:r>
      <w:proofErr w:type="spellEnd"/>
      <w:r w:rsidRPr="004B1505">
        <w:rPr>
          <w:lang w:val="en-US"/>
        </w:rPr>
        <w:t xml:space="preserve"> </w:t>
      </w:r>
      <w:proofErr w:type="spellStart"/>
      <w:r w:rsidRPr="004B1505">
        <w:rPr>
          <w:lang w:val="en-US"/>
        </w:rPr>
        <w:t>tutti</w:t>
      </w:r>
      <w:proofErr w:type="spellEnd"/>
      <w:r w:rsidRPr="004B1505">
        <w:rPr>
          <w:lang w:val="en-US"/>
        </w:rPr>
        <w:t xml:space="preserve">, </w:t>
      </w:r>
      <w:proofErr w:type="spellStart"/>
      <w:r w:rsidRPr="004B1505">
        <w:rPr>
          <w:lang w:val="en-US"/>
        </w:rPr>
        <w:t>perché</w:t>
      </w:r>
      <w:proofErr w:type="spellEnd"/>
      <w:r w:rsidRPr="004B1505">
        <w:rPr>
          <w:lang w:val="en-US"/>
        </w:rPr>
        <w:t xml:space="preserve"> </w:t>
      </w:r>
      <w:proofErr w:type="spellStart"/>
      <w:r w:rsidRPr="004B1505">
        <w:rPr>
          <w:lang w:val="en-US"/>
        </w:rPr>
        <w:t>ell’è</w:t>
      </w:r>
      <w:proofErr w:type="spellEnd"/>
      <w:r w:rsidRPr="004B1505">
        <w:rPr>
          <w:lang w:val="en-US"/>
        </w:rPr>
        <w:t xml:space="preserve"> la </w:t>
      </w:r>
      <w:proofErr w:type="spellStart"/>
      <w:r w:rsidRPr="004B1505">
        <w:rPr>
          <w:lang w:val="en-US"/>
        </w:rPr>
        <w:t>loro</w:t>
      </w:r>
      <w:proofErr w:type="spellEnd"/>
      <w:r w:rsidRPr="004B1505">
        <w:rPr>
          <w:lang w:val="en-US"/>
        </w:rPr>
        <w:t xml:space="preserve"> e </w:t>
      </w:r>
      <w:proofErr w:type="spellStart"/>
      <w:r w:rsidRPr="004B1505">
        <w:rPr>
          <w:lang w:val="en-US"/>
        </w:rPr>
        <w:t>acciò</w:t>
      </w:r>
      <w:proofErr w:type="spellEnd"/>
      <w:r w:rsidRPr="004B1505">
        <w:rPr>
          <w:lang w:val="en-US"/>
        </w:rPr>
        <w:t xml:space="preserve"> </w:t>
      </w:r>
      <w:proofErr w:type="spellStart"/>
      <w:r w:rsidRPr="004B1505">
        <w:rPr>
          <w:lang w:val="en-US"/>
        </w:rPr>
        <w:t>che</w:t>
      </w:r>
      <w:proofErr w:type="spellEnd"/>
      <w:r w:rsidRPr="004B1505">
        <w:rPr>
          <w:lang w:val="en-US"/>
        </w:rPr>
        <w:t xml:space="preserve"> non </w:t>
      </w:r>
      <w:proofErr w:type="spellStart"/>
      <w:r w:rsidRPr="004B1505">
        <w:rPr>
          <w:lang w:val="en-US"/>
        </w:rPr>
        <w:t>si</w:t>
      </w:r>
      <w:proofErr w:type="spellEnd"/>
      <w:r w:rsidRPr="004B1505">
        <w:rPr>
          <w:lang w:val="en-US"/>
        </w:rPr>
        <w:t xml:space="preserve"> </w:t>
      </w:r>
      <w:proofErr w:type="spellStart"/>
      <w:r w:rsidRPr="004B1505">
        <w:rPr>
          <w:lang w:val="en-US"/>
        </w:rPr>
        <w:t>facci</w:t>
      </w:r>
      <w:proofErr w:type="spellEnd"/>
      <w:r w:rsidRPr="004B1505">
        <w:rPr>
          <w:lang w:val="en-US"/>
        </w:rPr>
        <w:t xml:space="preserve"> </w:t>
      </w:r>
      <w:proofErr w:type="spellStart"/>
      <w:r w:rsidRPr="004B1505">
        <w:rPr>
          <w:lang w:val="en-US"/>
        </w:rPr>
        <w:t>scandolo</w:t>
      </w:r>
      <w:proofErr w:type="spellEnd"/>
      <w:r w:rsidRPr="004B1505">
        <w:rPr>
          <w:lang w:val="en-US"/>
        </w:rPr>
        <w:t xml:space="preserve"> </w:t>
      </w:r>
      <w:proofErr w:type="spellStart"/>
      <w:r w:rsidRPr="004B1505">
        <w:rPr>
          <w:lang w:val="en-US"/>
        </w:rPr>
        <w:t>gli</w:t>
      </w:r>
      <w:proofErr w:type="spellEnd"/>
      <w:r w:rsidRPr="004B1505">
        <w:rPr>
          <w:lang w:val="en-US"/>
        </w:rPr>
        <w:t xml:space="preserve"> </w:t>
      </w:r>
      <w:proofErr w:type="spellStart"/>
      <w:r w:rsidRPr="004B1505">
        <w:rPr>
          <w:lang w:val="en-US"/>
        </w:rPr>
        <w:t>uomini</w:t>
      </w:r>
      <w:proofErr w:type="spellEnd"/>
      <w:r w:rsidRPr="004B1505">
        <w:rPr>
          <w:lang w:val="en-US"/>
        </w:rPr>
        <w:t xml:space="preserve"> </w:t>
      </w:r>
      <w:proofErr w:type="spellStart"/>
      <w:r w:rsidRPr="004B1505">
        <w:rPr>
          <w:lang w:val="en-US"/>
        </w:rPr>
        <w:t>gli</w:t>
      </w:r>
      <w:proofErr w:type="spellEnd"/>
      <w:r w:rsidRPr="004B1505">
        <w:rPr>
          <w:lang w:val="en-US"/>
        </w:rPr>
        <w:t xml:space="preserve"> </w:t>
      </w:r>
      <w:proofErr w:type="spellStart"/>
      <w:r w:rsidRPr="004B1505">
        <w:rPr>
          <w:lang w:val="en-US"/>
        </w:rPr>
        <w:t>presteranno</w:t>
      </w:r>
      <w:proofErr w:type="spellEnd"/>
      <w:r w:rsidRPr="004B1505">
        <w:rPr>
          <w:lang w:val="en-US"/>
        </w:rPr>
        <w:t xml:space="preserve"> </w:t>
      </w:r>
      <w:proofErr w:type="spellStart"/>
      <w:r w:rsidRPr="004B1505">
        <w:rPr>
          <w:lang w:val="en-US"/>
        </w:rPr>
        <w:t>tutti</w:t>
      </w:r>
      <w:proofErr w:type="spellEnd"/>
      <w:r w:rsidRPr="004B1505">
        <w:rPr>
          <w:lang w:val="en-US"/>
        </w:rPr>
        <w:t xml:space="preserve"> </w:t>
      </w:r>
      <w:proofErr w:type="spellStart"/>
      <w:r w:rsidRPr="004B1505">
        <w:rPr>
          <w:lang w:val="en-US"/>
        </w:rPr>
        <w:t>questi</w:t>
      </w:r>
      <w:proofErr w:type="spellEnd"/>
      <w:r w:rsidRPr="004B1505">
        <w:rPr>
          <w:lang w:val="en-US"/>
        </w:rPr>
        <w:t xml:space="preserve"> </w:t>
      </w:r>
      <w:proofErr w:type="spellStart"/>
      <w:r w:rsidRPr="004B1505">
        <w:rPr>
          <w:lang w:val="en-US"/>
        </w:rPr>
        <w:t>gradi</w:t>
      </w:r>
      <w:proofErr w:type="spellEnd"/>
      <w:r w:rsidRPr="004B1505">
        <w:rPr>
          <w:lang w:val="en-US"/>
        </w:rPr>
        <w:t xml:space="preserve"> </w:t>
      </w:r>
      <w:proofErr w:type="spellStart"/>
      <w:r w:rsidRPr="004B1505">
        <w:rPr>
          <w:lang w:val="en-US"/>
        </w:rPr>
        <w:t>che</w:t>
      </w:r>
      <w:proofErr w:type="spellEnd"/>
      <w:r w:rsidRPr="004B1505">
        <w:rPr>
          <w:lang w:val="en-US"/>
        </w:rPr>
        <w:t xml:space="preserve"> </w:t>
      </w:r>
      <w:proofErr w:type="spellStart"/>
      <w:r w:rsidRPr="004B1505">
        <w:rPr>
          <w:lang w:val="en-US"/>
        </w:rPr>
        <w:t>sono</w:t>
      </w:r>
      <w:proofErr w:type="spellEnd"/>
      <w:r w:rsidRPr="004B1505">
        <w:rPr>
          <w:lang w:val="en-US"/>
        </w:rPr>
        <w:t xml:space="preserve"> </w:t>
      </w:r>
      <w:proofErr w:type="spellStart"/>
      <w:r w:rsidRPr="004B1505">
        <w:rPr>
          <w:lang w:val="en-US"/>
        </w:rPr>
        <w:t>intorno</w:t>
      </w:r>
      <w:proofErr w:type="spellEnd"/>
      <w:r w:rsidRPr="004B1505">
        <w:rPr>
          <w:lang w:val="en-US"/>
        </w:rPr>
        <w:t xml:space="preserve">.” Girolamo Savonarola, </w:t>
      </w:r>
      <w:proofErr w:type="spellStart"/>
      <w:r w:rsidRPr="004B1505">
        <w:rPr>
          <w:i/>
          <w:iCs/>
          <w:lang w:val="en-US"/>
        </w:rPr>
        <w:t>Prediche</w:t>
      </w:r>
      <w:proofErr w:type="spellEnd"/>
      <w:r w:rsidRPr="004B1505">
        <w:rPr>
          <w:i/>
          <w:iCs/>
          <w:lang w:val="en-US"/>
        </w:rPr>
        <w:t xml:space="preserve"> sopra Amos e </w:t>
      </w:r>
      <w:proofErr w:type="spellStart"/>
      <w:r w:rsidRPr="004B1505">
        <w:rPr>
          <w:i/>
          <w:iCs/>
          <w:lang w:val="en-US"/>
        </w:rPr>
        <w:t>Zaccaria</w:t>
      </w:r>
      <w:proofErr w:type="spellEnd"/>
      <w:r w:rsidRPr="004B1505">
        <w:rPr>
          <w:lang w:val="en-US"/>
        </w:rPr>
        <w:t xml:space="preserve">, ed. Paolo </w:t>
      </w:r>
      <w:proofErr w:type="spellStart"/>
      <w:r w:rsidRPr="004B1505">
        <w:rPr>
          <w:lang w:val="en-US"/>
        </w:rPr>
        <w:t>Ghiglieri</w:t>
      </w:r>
      <w:proofErr w:type="spellEnd"/>
      <w:r w:rsidRPr="004B1505">
        <w:rPr>
          <w:lang w:val="en-US"/>
        </w:rPr>
        <w:t xml:space="preserve"> (Roma: Angelo </w:t>
      </w:r>
      <w:proofErr w:type="spellStart"/>
      <w:r w:rsidRPr="004B1505">
        <w:rPr>
          <w:lang w:val="en-US"/>
        </w:rPr>
        <w:t>Belardetti</w:t>
      </w:r>
      <w:proofErr w:type="spellEnd"/>
      <w:r w:rsidRPr="004B1505">
        <w:rPr>
          <w:lang w:val="en-US"/>
        </w:rPr>
        <w:t xml:space="preserve">, 1972), 3:139; English translation from Michel Plaisance, </w:t>
      </w:r>
      <w:r w:rsidRPr="004B1505">
        <w:rPr>
          <w:i/>
          <w:iCs/>
          <w:lang w:val="en-US"/>
        </w:rPr>
        <w:t>Florence in the Time of the Medici: Public Celebrations, Politics, and Literature in the Fifteenth and Sixteenth Centuries</w:t>
      </w:r>
      <w:r w:rsidRPr="004B1505">
        <w:rPr>
          <w:lang w:val="en-US"/>
        </w:rPr>
        <w:t>, ed. and trans. Nicole Carew-Reid (Toronto: Centre for Reformation and Renaissance Studies, 2008), 95.</w:t>
      </w:r>
    </w:p>
  </w:footnote>
  <w:footnote w:id="441">
    <w:p w14:paraId="05A21011" w14:textId="77777777" w:rsidR="00182EED" w:rsidRDefault="00182EED" w:rsidP="008A116C">
      <w:pPr>
        <w:pStyle w:val="FootnoteText"/>
      </w:pPr>
      <w:r w:rsidRPr="00073E38">
        <w:rPr>
          <w:rStyle w:val="FootnoteReference"/>
        </w:rPr>
        <w:footnoteRef/>
      </w:r>
      <w:r>
        <w:t xml:space="preserve"> </w:t>
      </w:r>
      <w:r w:rsidRPr="00136784">
        <w:rPr>
          <w:lang w:val="en-US"/>
        </w:rPr>
        <w:t>“</w:t>
      </w:r>
      <w:proofErr w:type="spellStart"/>
      <w:r w:rsidRPr="00136784">
        <w:rPr>
          <w:lang w:val="en-US"/>
        </w:rPr>
        <w:t>Facevano</w:t>
      </w:r>
      <w:proofErr w:type="spellEnd"/>
      <w:r w:rsidRPr="00136784">
        <w:rPr>
          <w:lang w:val="en-US"/>
        </w:rPr>
        <w:t xml:space="preserve"> </w:t>
      </w:r>
      <w:proofErr w:type="spellStart"/>
      <w:r w:rsidRPr="00136784">
        <w:rPr>
          <w:lang w:val="en-US"/>
        </w:rPr>
        <w:t>grillande</w:t>
      </w:r>
      <w:proofErr w:type="spellEnd"/>
      <w:r w:rsidRPr="00136784">
        <w:rPr>
          <w:lang w:val="en-US"/>
        </w:rPr>
        <w:t xml:space="preserve"> e </w:t>
      </w:r>
      <w:proofErr w:type="spellStart"/>
      <w:r w:rsidRPr="00136784">
        <w:rPr>
          <w:lang w:val="en-US"/>
        </w:rPr>
        <w:t>cantavano</w:t>
      </w:r>
      <w:proofErr w:type="spellEnd"/>
      <w:r w:rsidRPr="00136784">
        <w:rPr>
          <w:lang w:val="en-US"/>
        </w:rPr>
        <w:t xml:space="preserve"> laude, </w:t>
      </w:r>
      <w:proofErr w:type="spellStart"/>
      <w:r w:rsidRPr="00136784">
        <w:rPr>
          <w:lang w:val="en-US"/>
        </w:rPr>
        <w:t>che</w:t>
      </w:r>
      <w:proofErr w:type="spellEnd"/>
      <w:r w:rsidRPr="00136784">
        <w:rPr>
          <w:lang w:val="en-US"/>
        </w:rPr>
        <w:t xml:space="preserve"> </w:t>
      </w:r>
      <w:proofErr w:type="spellStart"/>
      <w:r w:rsidRPr="00136784">
        <w:rPr>
          <w:lang w:val="en-US"/>
        </w:rPr>
        <w:t>pareva</w:t>
      </w:r>
      <w:proofErr w:type="spellEnd"/>
      <w:r w:rsidRPr="00136784">
        <w:rPr>
          <w:lang w:val="en-US"/>
        </w:rPr>
        <w:t xml:space="preserve"> un </w:t>
      </w:r>
      <w:proofErr w:type="spellStart"/>
      <w:r w:rsidRPr="00136784">
        <w:rPr>
          <w:lang w:val="en-US"/>
        </w:rPr>
        <w:t>paradiso</w:t>
      </w:r>
      <w:proofErr w:type="spellEnd"/>
      <w:r w:rsidRPr="00136784">
        <w:rPr>
          <w:lang w:val="en-US"/>
        </w:rPr>
        <w:t xml:space="preserve">.” Savonarola, </w:t>
      </w:r>
      <w:proofErr w:type="spellStart"/>
      <w:r w:rsidRPr="00136784">
        <w:rPr>
          <w:i/>
          <w:iCs/>
          <w:lang w:val="en-US"/>
        </w:rPr>
        <w:t>Prediche</w:t>
      </w:r>
      <w:proofErr w:type="spellEnd"/>
      <w:r w:rsidRPr="00136784">
        <w:rPr>
          <w:i/>
          <w:iCs/>
          <w:lang w:val="en-US"/>
        </w:rPr>
        <w:t xml:space="preserve"> sopra Amos e </w:t>
      </w:r>
      <w:proofErr w:type="spellStart"/>
      <w:r w:rsidRPr="00136784">
        <w:rPr>
          <w:i/>
          <w:iCs/>
          <w:lang w:val="en-US"/>
        </w:rPr>
        <w:t>Zaccaria</w:t>
      </w:r>
      <w:proofErr w:type="spellEnd"/>
      <w:r w:rsidRPr="00136784">
        <w:rPr>
          <w:lang w:val="en-US"/>
        </w:rPr>
        <w:t xml:space="preserve">, 3:152; English translation from Plaisance, </w:t>
      </w:r>
      <w:r w:rsidRPr="00136784">
        <w:rPr>
          <w:i/>
          <w:iCs/>
          <w:lang w:val="en-US"/>
        </w:rPr>
        <w:t>Florence in the Time of the Medici</w:t>
      </w:r>
      <w:r w:rsidRPr="00136784">
        <w:rPr>
          <w:lang w:val="en-US"/>
        </w:rPr>
        <w:t>, 96.</w:t>
      </w:r>
    </w:p>
  </w:footnote>
  <w:footnote w:id="442">
    <w:p w14:paraId="354F1DBD" w14:textId="77777777" w:rsidR="00182EED" w:rsidRDefault="00182EED" w:rsidP="008A116C">
      <w:pPr>
        <w:pStyle w:val="FootnoteText"/>
      </w:pPr>
      <w:r w:rsidRPr="00073E38">
        <w:rPr>
          <w:rStyle w:val="FootnoteReference"/>
        </w:rPr>
        <w:footnoteRef/>
      </w:r>
      <w:r>
        <w:t xml:space="preserve"> </w:t>
      </w:r>
      <w:r w:rsidRPr="00136784">
        <w:rPr>
          <w:lang w:val="en-US"/>
        </w:rPr>
        <w:t xml:space="preserve">“Questa </w:t>
      </w:r>
      <w:proofErr w:type="spellStart"/>
      <w:r w:rsidRPr="00136784">
        <w:rPr>
          <w:lang w:val="en-US"/>
        </w:rPr>
        <w:t>predicazione</w:t>
      </w:r>
      <w:proofErr w:type="spellEnd"/>
      <w:r w:rsidRPr="00136784">
        <w:rPr>
          <w:lang w:val="en-US"/>
        </w:rPr>
        <w:t xml:space="preserve"> è de’ </w:t>
      </w:r>
      <w:proofErr w:type="spellStart"/>
      <w:r w:rsidRPr="00136784">
        <w:rPr>
          <w:lang w:val="en-US"/>
        </w:rPr>
        <w:t>fanciulli</w:t>
      </w:r>
      <w:proofErr w:type="spellEnd"/>
      <w:r w:rsidRPr="00136784">
        <w:rPr>
          <w:lang w:val="en-US"/>
        </w:rPr>
        <w:t xml:space="preserve"> e per </w:t>
      </w:r>
      <w:proofErr w:type="spellStart"/>
      <w:r w:rsidRPr="00136784">
        <w:rPr>
          <w:lang w:val="en-US"/>
        </w:rPr>
        <w:t>loro</w:t>
      </w:r>
      <w:proofErr w:type="spellEnd"/>
      <w:r w:rsidRPr="00136784">
        <w:rPr>
          <w:lang w:val="en-US"/>
        </w:rPr>
        <w:t xml:space="preserve"> la </w:t>
      </w:r>
      <w:proofErr w:type="spellStart"/>
      <w:r w:rsidRPr="00136784">
        <w:rPr>
          <w:lang w:val="en-US"/>
        </w:rPr>
        <w:t>facciamo</w:t>
      </w:r>
      <w:proofErr w:type="spellEnd"/>
      <w:r w:rsidRPr="00136784">
        <w:rPr>
          <w:lang w:val="en-US"/>
        </w:rPr>
        <w:t xml:space="preserve">, ma </w:t>
      </w:r>
      <w:proofErr w:type="spellStart"/>
      <w:r w:rsidRPr="00136784">
        <w:rPr>
          <w:lang w:val="en-US"/>
        </w:rPr>
        <w:t>sarà</w:t>
      </w:r>
      <w:proofErr w:type="spellEnd"/>
      <w:r w:rsidRPr="00136784">
        <w:rPr>
          <w:lang w:val="en-US"/>
        </w:rPr>
        <w:t xml:space="preserve"> </w:t>
      </w:r>
      <w:proofErr w:type="spellStart"/>
      <w:r w:rsidRPr="00136784">
        <w:rPr>
          <w:lang w:val="en-US"/>
        </w:rPr>
        <w:t>anche</w:t>
      </w:r>
      <w:proofErr w:type="spellEnd"/>
      <w:r w:rsidRPr="00136784">
        <w:rPr>
          <w:lang w:val="en-US"/>
        </w:rPr>
        <w:t xml:space="preserve"> di </w:t>
      </w:r>
      <w:proofErr w:type="spellStart"/>
      <w:r w:rsidRPr="00136784">
        <w:rPr>
          <w:lang w:val="en-US"/>
        </w:rPr>
        <w:t>quelli</w:t>
      </w:r>
      <w:proofErr w:type="spellEnd"/>
      <w:r w:rsidRPr="00136784">
        <w:rPr>
          <w:lang w:val="en-US"/>
        </w:rPr>
        <w:t xml:space="preserve"> </w:t>
      </w:r>
      <w:proofErr w:type="spellStart"/>
      <w:r w:rsidRPr="00136784">
        <w:rPr>
          <w:lang w:val="en-US"/>
        </w:rPr>
        <w:t>grandi</w:t>
      </w:r>
      <w:proofErr w:type="spellEnd"/>
      <w:r w:rsidRPr="00136784">
        <w:rPr>
          <w:lang w:val="en-US"/>
        </w:rPr>
        <w:t xml:space="preserve"> </w:t>
      </w:r>
      <w:proofErr w:type="spellStart"/>
      <w:r w:rsidRPr="00136784">
        <w:rPr>
          <w:lang w:val="en-US"/>
        </w:rPr>
        <w:t>che</w:t>
      </w:r>
      <w:proofErr w:type="spellEnd"/>
      <w:r w:rsidRPr="00136784">
        <w:rPr>
          <w:lang w:val="en-US"/>
        </w:rPr>
        <w:t xml:space="preserve"> </w:t>
      </w:r>
      <w:proofErr w:type="spellStart"/>
      <w:r w:rsidRPr="00136784">
        <w:rPr>
          <w:lang w:val="en-US"/>
        </w:rPr>
        <w:t>vorranno</w:t>
      </w:r>
      <w:proofErr w:type="spellEnd"/>
      <w:r w:rsidRPr="00136784">
        <w:rPr>
          <w:lang w:val="en-US"/>
        </w:rPr>
        <w:t xml:space="preserve"> </w:t>
      </w:r>
      <w:proofErr w:type="spellStart"/>
      <w:r w:rsidRPr="00136784">
        <w:rPr>
          <w:lang w:val="en-US"/>
        </w:rPr>
        <w:t>diventare</w:t>
      </w:r>
      <w:proofErr w:type="spellEnd"/>
      <w:r w:rsidRPr="00136784">
        <w:rPr>
          <w:lang w:val="en-US"/>
        </w:rPr>
        <w:t xml:space="preserve"> </w:t>
      </w:r>
      <w:proofErr w:type="spellStart"/>
      <w:r w:rsidRPr="00136784">
        <w:rPr>
          <w:lang w:val="en-US"/>
        </w:rPr>
        <w:t>fanciulli</w:t>
      </w:r>
      <w:proofErr w:type="spellEnd"/>
      <w:r w:rsidRPr="00136784">
        <w:rPr>
          <w:lang w:val="en-US"/>
        </w:rPr>
        <w:t xml:space="preserve"> per </w:t>
      </w:r>
      <w:proofErr w:type="spellStart"/>
      <w:r w:rsidRPr="00136784">
        <w:rPr>
          <w:lang w:val="en-US"/>
        </w:rPr>
        <w:t>purità</w:t>
      </w:r>
      <w:proofErr w:type="spellEnd"/>
      <w:r w:rsidRPr="00136784">
        <w:rPr>
          <w:lang w:val="en-US"/>
        </w:rPr>
        <w:t xml:space="preserve"> … </w:t>
      </w:r>
      <w:proofErr w:type="spellStart"/>
      <w:r w:rsidRPr="00136784">
        <w:rPr>
          <w:lang w:val="en-US"/>
        </w:rPr>
        <w:t>Sarà</w:t>
      </w:r>
      <w:proofErr w:type="spellEnd"/>
      <w:r w:rsidRPr="00136784">
        <w:rPr>
          <w:lang w:val="en-US"/>
        </w:rPr>
        <w:t xml:space="preserve"> </w:t>
      </w:r>
      <w:proofErr w:type="spellStart"/>
      <w:r w:rsidRPr="00136784">
        <w:rPr>
          <w:lang w:val="en-US"/>
        </w:rPr>
        <w:t>adunque</w:t>
      </w:r>
      <w:proofErr w:type="spellEnd"/>
      <w:r w:rsidRPr="00136784">
        <w:rPr>
          <w:lang w:val="en-US"/>
        </w:rPr>
        <w:t xml:space="preserve"> la </w:t>
      </w:r>
      <w:proofErr w:type="spellStart"/>
      <w:r w:rsidRPr="00136784">
        <w:rPr>
          <w:lang w:val="en-US"/>
        </w:rPr>
        <w:t>predicazione</w:t>
      </w:r>
      <w:proofErr w:type="spellEnd"/>
      <w:r w:rsidRPr="00136784">
        <w:rPr>
          <w:lang w:val="en-US"/>
        </w:rPr>
        <w:t xml:space="preserve"> de’ </w:t>
      </w:r>
      <w:proofErr w:type="spellStart"/>
      <w:r w:rsidRPr="00136784">
        <w:rPr>
          <w:lang w:val="en-US"/>
        </w:rPr>
        <w:t>fanciulli</w:t>
      </w:r>
      <w:proofErr w:type="spellEnd"/>
      <w:r w:rsidRPr="00136784">
        <w:rPr>
          <w:lang w:val="en-US"/>
        </w:rPr>
        <w:t xml:space="preserve"> per </w:t>
      </w:r>
      <w:proofErr w:type="spellStart"/>
      <w:r w:rsidRPr="00136784">
        <w:rPr>
          <w:lang w:val="en-US"/>
        </w:rPr>
        <w:t>età</w:t>
      </w:r>
      <w:proofErr w:type="spellEnd"/>
      <w:r w:rsidRPr="00136784">
        <w:rPr>
          <w:lang w:val="en-US"/>
        </w:rPr>
        <w:t xml:space="preserve"> e de’ </w:t>
      </w:r>
      <w:proofErr w:type="spellStart"/>
      <w:r w:rsidRPr="00136784">
        <w:rPr>
          <w:lang w:val="en-US"/>
        </w:rPr>
        <w:t>fanciulli</w:t>
      </w:r>
      <w:proofErr w:type="spellEnd"/>
      <w:r w:rsidRPr="00136784">
        <w:rPr>
          <w:lang w:val="en-US"/>
        </w:rPr>
        <w:t xml:space="preserve"> per </w:t>
      </w:r>
      <w:proofErr w:type="spellStart"/>
      <w:r w:rsidRPr="00136784">
        <w:rPr>
          <w:lang w:val="en-US"/>
        </w:rPr>
        <w:t>purità</w:t>
      </w:r>
      <w:proofErr w:type="spellEnd"/>
      <w:r w:rsidRPr="00136784">
        <w:rPr>
          <w:lang w:val="en-US"/>
        </w:rPr>
        <w:t xml:space="preserve">.” Savonarola, </w:t>
      </w:r>
      <w:proofErr w:type="spellStart"/>
      <w:r w:rsidRPr="00136784">
        <w:rPr>
          <w:i/>
          <w:iCs/>
          <w:lang w:val="en-US"/>
        </w:rPr>
        <w:t>Prediche</w:t>
      </w:r>
      <w:proofErr w:type="spellEnd"/>
      <w:r w:rsidRPr="00136784">
        <w:rPr>
          <w:i/>
          <w:iCs/>
          <w:lang w:val="en-US"/>
        </w:rPr>
        <w:t xml:space="preserve"> sopra Amos e </w:t>
      </w:r>
      <w:proofErr w:type="spellStart"/>
      <w:r w:rsidRPr="00136784">
        <w:rPr>
          <w:i/>
          <w:iCs/>
          <w:lang w:val="en-US"/>
        </w:rPr>
        <w:t>Zaccaria</w:t>
      </w:r>
      <w:proofErr w:type="spellEnd"/>
      <w:r w:rsidRPr="00136784">
        <w:rPr>
          <w:lang w:val="en-US"/>
        </w:rPr>
        <w:t xml:space="preserve">, 3:147; see also Plaisance, </w:t>
      </w:r>
      <w:r w:rsidRPr="00136784">
        <w:rPr>
          <w:i/>
          <w:iCs/>
          <w:lang w:val="en-US"/>
        </w:rPr>
        <w:t>Florence in the Time of the Medici</w:t>
      </w:r>
      <w:r w:rsidRPr="00136784">
        <w:rPr>
          <w:lang w:val="en-US"/>
        </w:rPr>
        <w:t>, 96.</w:t>
      </w:r>
    </w:p>
  </w:footnote>
  <w:footnote w:id="443">
    <w:p w14:paraId="3734B307" w14:textId="77777777" w:rsidR="00182EED" w:rsidRDefault="00182EED" w:rsidP="008A116C">
      <w:pPr>
        <w:pStyle w:val="FootnoteText"/>
      </w:pPr>
      <w:r w:rsidRPr="00073E38">
        <w:rPr>
          <w:rStyle w:val="FootnoteReference"/>
        </w:rPr>
        <w:footnoteRef/>
      </w:r>
      <w:r>
        <w:t xml:space="preserve"> </w:t>
      </w:r>
      <w:r w:rsidRPr="006D0BDA">
        <w:rPr>
          <w:lang w:val="en-US"/>
        </w:rPr>
        <w:t>Barr, “Music and Spectacle in Confraternity Drama of Fifteenth-Century Florence,” 376–404.</w:t>
      </w:r>
    </w:p>
  </w:footnote>
  <w:footnote w:id="444">
    <w:p w14:paraId="7BC4E570" w14:textId="77777777" w:rsidR="00182EED" w:rsidRDefault="00182EED" w:rsidP="008A116C">
      <w:pPr>
        <w:pStyle w:val="FootnoteText"/>
      </w:pPr>
      <w:r w:rsidRPr="00073E38">
        <w:rPr>
          <w:rStyle w:val="FootnoteReference"/>
        </w:rPr>
        <w:footnoteRef/>
      </w:r>
      <w:r>
        <w:t xml:space="preserve"> </w:t>
      </w:r>
      <w:r w:rsidRPr="00136784">
        <w:rPr>
          <w:lang w:val="en-US"/>
        </w:rPr>
        <w:t xml:space="preserve">Giuseppina de </w:t>
      </w:r>
      <w:proofErr w:type="spellStart"/>
      <w:r w:rsidRPr="00136784">
        <w:rPr>
          <w:lang w:val="en-US"/>
        </w:rPr>
        <w:t>Sandre</w:t>
      </w:r>
      <w:proofErr w:type="spellEnd"/>
      <w:r w:rsidRPr="00136784">
        <w:rPr>
          <w:lang w:val="en-US"/>
        </w:rPr>
        <w:t xml:space="preserve"> Gasparini, “</w:t>
      </w:r>
      <w:proofErr w:type="spellStart"/>
      <w:r w:rsidRPr="00136784">
        <w:rPr>
          <w:lang w:val="en-US"/>
        </w:rPr>
        <w:t>Proiezione</w:t>
      </w:r>
      <w:proofErr w:type="spellEnd"/>
      <w:r w:rsidRPr="00136784">
        <w:rPr>
          <w:lang w:val="en-US"/>
        </w:rPr>
        <w:t xml:space="preserve"> </w:t>
      </w:r>
      <w:proofErr w:type="spellStart"/>
      <w:r w:rsidRPr="00136784">
        <w:rPr>
          <w:lang w:val="en-US"/>
        </w:rPr>
        <w:t>civica</w:t>
      </w:r>
      <w:proofErr w:type="spellEnd"/>
      <w:r w:rsidRPr="00136784">
        <w:rPr>
          <w:lang w:val="en-US"/>
        </w:rPr>
        <w:t xml:space="preserve"> del </w:t>
      </w:r>
      <w:proofErr w:type="spellStart"/>
      <w:r w:rsidRPr="00136784">
        <w:rPr>
          <w:lang w:val="en-US"/>
        </w:rPr>
        <w:t>culto</w:t>
      </w:r>
      <w:proofErr w:type="spellEnd"/>
      <w:r w:rsidRPr="00136784">
        <w:rPr>
          <w:lang w:val="en-US"/>
        </w:rPr>
        <w:t xml:space="preserve"> </w:t>
      </w:r>
      <w:proofErr w:type="spellStart"/>
      <w:r w:rsidRPr="00136784">
        <w:rPr>
          <w:lang w:val="en-US"/>
        </w:rPr>
        <w:t>antoniano</w:t>
      </w:r>
      <w:proofErr w:type="spellEnd"/>
      <w:r w:rsidRPr="00136784">
        <w:rPr>
          <w:lang w:val="en-US"/>
        </w:rPr>
        <w:t xml:space="preserve"> e </w:t>
      </w:r>
      <w:proofErr w:type="spellStart"/>
      <w:r w:rsidRPr="00136784">
        <w:rPr>
          <w:lang w:val="en-US"/>
        </w:rPr>
        <w:t>processioni</w:t>
      </w:r>
      <w:proofErr w:type="spellEnd"/>
      <w:r w:rsidRPr="00136784">
        <w:rPr>
          <w:lang w:val="en-US"/>
        </w:rPr>
        <w:t xml:space="preserve"> </w:t>
      </w:r>
      <w:proofErr w:type="spellStart"/>
      <w:r w:rsidRPr="00136784">
        <w:rPr>
          <w:lang w:val="en-US"/>
        </w:rPr>
        <w:t>cittadine</w:t>
      </w:r>
      <w:proofErr w:type="spellEnd"/>
      <w:r w:rsidRPr="00136784">
        <w:rPr>
          <w:lang w:val="en-US"/>
        </w:rPr>
        <w:t xml:space="preserve"> </w:t>
      </w:r>
      <w:proofErr w:type="spellStart"/>
      <w:r w:rsidRPr="00136784">
        <w:rPr>
          <w:lang w:val="en-US"/>
        </w:rPr>
        <w:t>nel</w:t>
      </w:r>
      <w:proofErr w:type="spellEnd"/>
      <w:r w:rsidRPr="00136784">
        <w:rPr>
          <w:lang w:val="en-US"/>
        </w:rPr>
        <w:t xml:space="preserve"> Quattrocento,” in </w:t>
      </w:r>
      <w:r w:rsidRPr="00136784">
        <w:rPr>
          <w:i/>
          <w:iCs/>
          <w:lang w:val="en-US"/>
        </w:rPr>
        <w:t>“</w:t>
      </w:r>
      <w:proofErr w:type="spellStart"/>
      <w:r w:rsidRPr="00136784">
        <w:rPr>
          <w:i/>
          <w:iCs/>
          <w:lang w:val="en-US"/>
        </w:rPr>
        <w:t>Vite</w:t>
      </w:r>
      <w:proofErr w:type="spellEnd"/>
      <w:r w:rsidRPr="00136784">
        <w:rPr>
          <w:i/>
          <w:iCs/>
          <w:lang w:val="en-US"/>
        </w:rPr>
        <w:t>” e Vita di Antonio di Padova</w:t>
      </w:r>
      <w:r w:rsidRPr="00136784">
        <w:rPr>
          <w:lang w:val="en-US"/>
        </w:rPr>
        <w:t xml:space="preserve">, ed. Luciano </w:t>
      </w:r>
      <w:proofErr w:type="spellStart"/>
      <w:r w:rsidRPr="00136784">
        <w:rPr>
          <w:lang w:val="en-US"/>
        </w:rPr>
        <w:t>Bertazzo</w:t>
      </w:r>
      <w:proofErr w:type="spellEnd"/>
      <w:r w:rsidRPr="00136784">
        <w:rPr>
          <w:lang w:val="en-US"/>
        </w:rPr>
        <w:t xml:space="preserve"> (Padova: Centro </w:t>
      </w:r>
      <w:proofErr w:type="spellStart"/>
      <w:r w:rsidRPr="00136784">
        <w:rPr>
          <w:lang w:val="en-US"/>
        </w:rPr>
        <w:t>Studi</w:t>
      </w:r>
      <w:proofErr w:type="spellEnd"/>
      <w:r w:rsidRPr="00136784">
        <w:rPr>
          <w:lang w:val="en-US"/>
        </w:rPr>
        <w:t xml:space="preserve"> </w:t>
      </w:r>
      <w:proofErr w:type="spellStart"/>
      <w:r w:rsidRPr="00136784">
        <w:rPr>
          <w:lang w:val="en-US"/>
        </w:rPr>
        <w:t>Antoniani</w:t>
      </w:r>
      <w:proofErr w:type="spellEnd"/>
      <w:r w:rsidRPr="00136784">
        <w:rPr>
          <w:lang w:val="en-US"/>
        </w:rPr>
        <w:t>, 1997), 271–72.</w:t>
      </w:r>
    </w:p>
  </w:footnote>
  <w:footnote w:id="445">
    <w:p w14:paraId="4BA2E7FB" w14:textId="77777777" w:rsidR="00182EED" w:rsidRDefault="00182EED" w:rsidP="008A116C">
      <w:pPr>
        <w:pStyle w:val="FootnoteText"/>
      </w:pPr>
      <w:r w:rsidRPr="00073E38">
        <w:rPr>
          <w:rStyle w:val="FootnoteReference"/>
        </w:rPr>
        <w:footnoteRef/>
      </w:r>
      <w:r>
        <w:t xml:space="preserve"> </w:t>
      </w:r>
      <w:r w:rsidRPr="00C67FDD">
        <w:rPr>
          <w:lang w:val="en-US"/>
        </w:rPr>
        <w:t>“</w:t>
      </w:r>
      <w:proofErr w:type="spellStart"/>
      <w:r w:rsidRPr="00C67FDD">
        <w:rPr>
          <w:lang w:val="en-US"/>
        </w:rPr>
        <w:t>Fanciulli</w:t>
      </w:r>
      <w:proofErr w:type="spellEnd"/>
      <w:r w:rsidRPr="00C67FDD">
        <w:rPr>
          <w:lang w:val="en-US"/>
        </w:rPr>
        <w:t xml:space="preserve"> in forma di </w:t>
      </w:r>
      <w:proofErr w:type="spellStart"/>
      <w:r w:rsidRPr="00C67FDD">
        <w:rPr>
          <w:lang w:val="en-US"/>
        </w:rPr>
        <w:t>angeli</w:t>
      </w:r>
      <w:proofErr w:type="spellEnd"/>
      <w:r w:rsidRPr="00C67FDD">
        <w:rPr>
          <w:lang w:val="en-US"/>
        </w:rPr>
        <w:t xml:space="preserve">, de’ </w:t>
      </w:r>
      <w:proofErr w:type="spellStart"/>
      <w:r w:rsidRPr="00C67FDD">
        <w:rPr>
          <w:lang w:val="en-US"/>
        </w:rPr>
        <w:t>quali</w:t>
      </w:r>
      <w:proofErr w:type="spellEnd"/>
      <w:r w:rsidRPr="00C67FDD">
        <w:rPr>
          <w:lang w:val="en-US"/>
        </w:rPr>
        <w:t xml:space="preserve"> </w:t>
      </w:r>
      <w:proofErr w:type="spellStart"/>
      <w:r w:rsidRPr="00C67FDD">
        <w:rPr>
          <w:lang w:val="en-US"/>
        </w:rPr>
        <w:t>alcuni</w:t>
      </w:r>
      <w:proofErr w:type="spellEnd"/>
      <w:r w:rsidRPr="00C67FDD">
        <w:rPr>
          <w:lang w:val="en-US"/>
        </w:rPr>
        <w:t xml:space="preserve"> </w:t>
      </w:r>
      <w:proofErr w:type="spellStart"/>
      <w:r w:rsidRPr="00C67FDD">
        <w:rPr>
          <w:lang w:val="en-US"/>
        </w:rPr>
        <w:t>dolcemente</w:t>
      </w:r>
      <w:proofErr w:type="spellEnd"/>
      <w:r w:rsidRPr="00C67FDD">
        <w:rPr>
          <w:lang w:val="en-US"/>
        </w:rPr>
        <w:t xml:space="preserve"> </w:t>
      </w:r>
      <w:proofErr w:type="spellStart"/>
      <w:r w:rsidRPr="00C67FDD">
        <w:rPr>
          <w:lang w:val="en-US"/>
        </w:rPr>
        <w:t>cantavano</w:t>
      </w:r>
      <w:proofErr w:type="spellEnd"/>
      <w:r w:rsidRPr="00C67FDD">
        <w:rPr>
          <w:lang w:val="en-US"/>
        </w:rPr>
        <w:t xml:space="preserve">, </w:t>
      </w:r>
      <w:proofErr w:type="spellStart"/>
      <w:r w:rsidRPr="00C67FDD">
        <w:rPr>
          <w:lang w:val="en-US"/>
        </w:rPr>
        <w:t>altri</w:t>
      </w:r>
      <w:proofErr w:type="spellEnd"/>
      <w:r w:rsidRPr="00C67FDD">
        <w:rPr>
          <w:lang w:val="en-US"/>
        </w:rPr>
        <w:t xml:space="preserve"> </w:t>
      </w:r>
      <w:proofErr w:type="spellStart"/>
      <w:r w:rsidRPr="00C67FDD">
        <w:rPr>
          <w:lang w:val="en-US"/>
        </w:rPr>
        <w:t>suonavano</w:t>
      </w:r>
      <w:proofErr w:type="spellEnd"/>
      <w:r w:rsidRPr="00C67FDD">
        <w:rPr>
          <w:lang w:val="en-US"/>
        </w:rPr>
        <w:t xml:space="preserve"> </w:t>
      </w:r>
      <w:proofErr w:type="spellStart"/>
      <w:r w:rsidRPr="00C67FDD">
        <w:rPr>
          <w:lang w:val="en-US"/>
        </w:rPr>
        <w:t>organi</w:t>
      </w:r>
      <w:proofErr w:type="spellEnd"/>
      <w:r w:rsidRPr="00C67FDD">
        <w:rPr>
          <w:lang w:val="en-US"/>
        </w:rPr>
        <w:t xml:space="preserve">: </w:t>
      </w:r>
      <w:proofErr w:type="spellStart"/>
      <w:r w:rsidRPr="00C67FDD">
        <w:rPr>
          <w:lang w:val="en-US"/>
        </w:rPr>
        <w:t>nessuno</w:t>
      </w:r>
      <w:proofErr w:type="spellEnd"/>
      <w:r w:rsidRPr="00C67FDD">
        <w:rPr>
          <w:lang w:val="en-US"/>
        </w:rPr>
        <w:t xml:space="preserve"> </w:t>
      </w:r>
      <w:proofErr w:type="spellStart"/>
      <w:r w:rsidRPr="00C67FDD">
        <w:rPr>
          <w:lang w:val="en-US"/>
        </w:rPr>
        <w:t>strumento</w:t>
      </w:r>
      <w:proofErr w:type="spellEnd"/>
      <w:r w:rsidRPr="00C67FDD">
        <w:rPr>
          <w:lang w:val="en-US"/>
        </w:rPr>
        <w:t xml:space="preserve"> </w:t>
      </w:r>
      <w:proofErr w:type="spellStart"/>
      <w:r w:rsidRPr="00C67FDD">
        <w:rPr>
          <w:lang w:val="en-US"/>
        </w:rPr>
        <w:t>dell’arte</w:t>
      </w:r>
      <w:proofErr w:type="spellEnd"/>
      <w:r w:rsidRPr="00C67FDD">
        <w:rPr>
          <w:lang w:val="en-US"/>
        </w:rPr>
        <w:t xml:space="preserve"> musicale </w:t>
      </w:r>
      <w:proofErr w:type="spellStart"/>
      <w:r w:rsidRPr="00C67FDD">
        <w:rPr>
          <w:lang w:val="en-US"/>
        </w:rPr>
        <w:t>mancava</w:t>
      </w:r>
      <w:proofErr w:type="spellEnd"/>
      <w:r w:rsidRPr="00C67FDD">
        <w:rPr>
          <w:lang w:val="en-US"/>
        </w:rPr>
        <w:t xml:space="preserve">.” Quoted in </w:t>
      </w:r>
      <w:proofErr w:type="spellStart"/>
      <w:r w:rsidRPr="00C67FDD">
        <w:rPr>
          <w:lang w:val="en-US"/>
        </w:rPr>
        <w:t>D’Ancona</w:t>
      </w:r>
      <w:proofErr w:type="spellEnd"/>
      <w:r w:rsidRPr="00C67FDD">
        <w:rPr>
          <w:lang w:val="en-US"/>
        </w:rPr>
        <w:t xml:space="preserve">, </w:t>
      </w:r>
      <w:proofErr w:type="spellStart"/>
      <w:r w:rsidRPr="00C67FDD">
        <w:rPr>
          <w:i/>
          <w:iCs/>
          <w:lang w:val="en-US"/>
        </w:rPr>
        <w:t>Origini</w:t>
      </w:r>
      <w:proofErr w:type="spellEnd"/>
      <w:r w:rsidRPr="00C67FDD">
        <w:rPr>
          <w:i/>
          <w:iCs/>
          <w:lang w:val="en-US"/>
        </w:rPr>
        <w:t xml:space="preserve"> del Teatro </w:t>
      </w:r>
      <w:proofErr w:type="spellStart"/>
      <w:r w:rsidRPr="00C67FDD">
        <w:rPr>
          <w:i/>
          <w:iCs/>
          <w:lang w:val="en-US"/>
        </w:rPr>
        <w:t>Italiano</w:t>
      </w:r>
      <w:proofErr w:type="spellEnd"/>
      <w:r w:rsidRPr="00C67FDD">
        <w:rPr>
          <w:lang w:val="en-US"/>
        </w:rPr>
        <w:t xml:space="preserve">, I:235; and in </w:t>
      </w:r>
      <w:proofErr w:type="spellStart"/>
      <w:r w:rsidRPr="00C67FDD">
        <w:rPr>
          <w:lang w:val="en-US"/>
        </w:rPr>
        <w:t>Tessari</w:t>
      </w:r>
      <w:proofErr w:type="spellEnd"/>
      <w:r w:rsidRPr="00C67FDD">
        <w:rPr>
          <w:lang w:val="en-US"/>
        </w:rPr>
        <w:t>, “</w:t>
      </w:r>
      <w:proofErr w:type="spellStart"/>
      <w:r w:rsidRPr="00C67FDD">
        <w:rPr>
          <w:lang w:val="en-US"/>
        </w:rPr>
        <w:t>Attori</w:t>
      </w:r>
      <w:proofErr w:type="spellEnd"/>
      <w:r w:rsidRPr="00C67FDD">
        <w:rPr>
          <w:lang w:val="en-US"/>
        </w:rPr>
        <w:t xml:space="preserve"> con le Ali: </w:t>
      </w:r>
      <w:proofErr w:type="spellStart"/>
      <w:r w:rsidRPr="00C67FDD">
        <w:rPr>
          <w:lang w:val="en-US"/>
        </w:rPr>
        <w:t>Gli</w:t>
      </w:r>
      <w:proofErr w:type="spellEnd"/>
      <w:r w:rsidRPr="00C67FDD">
        <w:rPr>
          <w:lang w:val="en-US"/>
        </w:rPr>
        <w:t xml:space="preserve"> </w:t>
      </w:r>
      <w:proofErr w:type="spellStart"/>
      <w:r w:rsidRPr="00C67FDD">
        <w:rPr>
          <w:lang w:val="en-US"/>
        </w:rPr>
        <w:t>Angeli</w:t>
      </w:r>
      <w:proofErr w:type="spellEnd"/>
      <w:r w:rsidRPr="00C67FDD">
        <w:rPr>
          <w:lang w:val="en-US"/>
        </w:rPr>
        <w:t xml:space="preserve"> </w:t>
      </w:r>
      <w:proofErr w:type="spellStart"/>
      <w:r w:rsidRPr="00C67FDD">
        <w:rPr>
          <w:lang w:val="en-US"/>
        </w:rPr>
        <w:t>negli</w:t>
      </w:r>
      <w:proofErr w:type="spellEnd"/>
      <w:r w:rsidRPr="00C67FDD">
        <w:rPr>
          <w:lang w:val="en-US"/>
        </w:rPr>
        <w:t xml:space="preserve"> </w:t>
      </w:r>
      <w:proofErr w:type="spellStart"/>
      <w:r w:rsidRPr="00C67FDD">
        <w:rPr>
          <w:lang w:val="en-US"/>
        </w:rPr>
        <w:t>Spettacoli</w:t>
      </w:r>
      <w:proofErr w:type="spellEnd"/>
      <w:r w:rsidRPr="00C67FDD">
        <w:rPr>
          <w:lang w:val="en-US"/>
        </w:rPr>
        <w:t xml:space="preserve"> </w:t>
      </w:r>
      <w:proofErr w:type="spellStart"/>
      <w:r w:rsidRPr="00C67FDD">
        <w:rPr>
          <w:lang w:val="en-US"/>
        </w:rPr>
        <w:t>Teatrali</w:t>
      </w:r>
      <w:proofErr w:type="spellEnd"/>
      <w:r w:rsidRPr="00C67FDD">
        <w:rPr>
          <w:lang w:val="en-US"/>
        </w:rPr>
        <w:t xml:space="preserve"> e </w:t>
      </w:r>
      <w:proofErr w:type="spellStart"/>
      <w:r w:rsidRPr="00C67FDD">
        <w:rPr>
          <w:lang w:val="en-US"/>
        </w:rPr>
        <w:t>Cinematografici</w:t>
      </w:r>
      <w:proofErr w:type="spellEnd"/>
      <w:r w:rsidRPr="00C67FDD">
        <w:rPr>
          <w:lang w:val="en-US"/>
        </w:rPr>
        <w:t xml:space="preserve">,” 77; English translation from Emanuel </w:t>
      </w:r>
      <w:proofErr w:type="spellStart"/>
      <w:r w:rsidRPr="00C67FDD">
        <w:rPr>
          <w:lang w:val="en-US"/>
        </w:rPr>
        <w:t>Winternitz</w:t>
      </w:r>
      <w:proofErr w:type="spellEnd"/>
      <w:r w:rsidRPr="00C67FDD">
        <w:rPr>
          <w:lang w:val="en-US"/>
        </w:rPr>
        <w:t xml:space="preserve">, </w:t>
      </w:r>
      <w:r w:rsidRPr="00C67FDD">
        <w:rPr>
          <w:i/>
          <w:iCs/>
          <w:lang w:val="en-US"/>
        </w:rPr>
        <w:t>Musical Instruments and Their Symbolism in Western Art</w:t>
      </w:r>
      <w:r w:rsidRPr="00C67FDD">
        <w:rPr>
          <w:lang w:val="en-US"/>
        </w:rPr>
        <w:t>, 1st ed. (London: Faber and Faber, 1967), 220.</w:t>
      </w:r>
    </w:p>
  </w:footnote>
  <w:footnote w:id="446">
    <w:p w14:paraId="43AA7069" w14:textId="77777777" w:rsidR="00182EED" w:rsidRDefault="00182EED" w:rsidP="008A116C">
      <w:pPr>
        <w:pStyle w:val="FootnoteText"/>
      </w:pPr>
      <w:r w:rsidRPr="00073E38">
        <w:rPr>
          <w:rStyle w:val="FootnoteReference"/>
        </w:rPr>
        <w:footnoteRef/>
      </w:r>
      <w:r>
        <w:t xml:space="preserve"> </w:t>
      </w:r>
      <w:r w:rsidRPr="00851643">
        <w:rPr>
          <w:lang w:val="en-US"/>
        </w:rPr>
        <w:t>“</w:t>
      </w:r>
      <w:proofErr w:type="spellStart"/>
      <w:r w:rsidRPr="00851643">
        <w:rPr>
          <w:lang w:val="en-US"/>
        </w:rPr>
        <w:t>Nè</w:t>
      </w:r>
      <w:proofErr w:type="spellEnd"/>
      <w:r w:rsidRPr="00851643">
        <w:rPr>
          <w:lang w:val="en-US"/>
        </w:rPr>
        <w:t xml:space="preserve"> </w:t>
      </w:r>
      <w:proofErr w:type="spellStart"/>
      <w:r w:rsidRPr="00851643">
        <w:rPr>
          <w:lang w:val="en-US"/>
        </w:rPr>
        <w:t>altro</w:t>
      </w:r>
      <w:proofErr w:type="spellEnd"/>
      <w:r w:rsidRPr="00851643">
        <w:rPr>
          <w:lang w:val="en-US"/>
        </w:rPr>
        <w:t xml:space="preserve"> </w:t>
      </w:r>
      <w:proofErr w:type="spellStart"/>
      <w:r w:rsidRPr="00851643">
        <w:rPr>
          <w:lang w:val="en-US"/>
        </w:rPr>
        <w:t>infatti</w:t>
      </w:r>
      <w:proofErr w:type="spellEnd"/>
      <w:r w:rsidRPr="00851643">
        <w:rPr>
          <w:lang w:val="en-US"/>
        </w:rPr>
        <w:t xml:space="preserve"> </w:t>
      </w:r>
      <w:proofErr w:type="spellStart"/>
      <w:r w:rsidRPr="00851643">
        <w:rPr>
          <w:lang w:val="en-US"/>
        </w:rPr>
        <w:t>parve</w:t>
      </w:r>
      <w:proofErr w:type="spellEnd"/>
      <w:r w:rsidRPr="00851643">
        <w:rPr>
          <w:lang w:val="en-US"/>
        </w:rPr>
        <w:t xml:space="preserve"> se non un Paradiso </w:t>
      </w:r>
      <w:proofErr w:type="spellStart"/>
      <w:r w:rsidRPr="00851643">
        <w:rPr>
          <w:lang w:val="en-US"/>
        </w:rPr>
        <w:t>quando</w:t>
      </w:r>
      <w:proofErr w:type="spellEnd"/>
      <w:r w:rsidRPr="00851643">
        <w:rPr>
          <w:lang w:val="en-US"/>
        </w:rPr>
        <w:t xml:space="preserve"> </w:t>
      </w:r>
      <w:proofErr w:type="spellStart"/>
      <w:r w:rsidRPr="00851643">
        <w:rPr>
          <w:lang w:val="en-US"/>
        </w:rPr>
        <w:t>i</w:t>
      </w:r>
      <w:proofErr w:type="spellEnd"/>
      <w:r w:rsidRPr="00851643">
        <w:rPr>
          <w:lang w:val="en-US"/>
        </w:rPr>
        <w:t xml:space="preserve"> </w:t>
      </w:r>
      <w:proofErr w:type="spellStart"/>
      <w:r w:rsidRPr="00851643">
        <w:rPr>
          <w:lang w:val="en-US"/>
        </w:rPr>
        <w:t>cantori</w:t>
      </w:r>
      <w:proofErr w:type="spellEnd"/>
      <w:r w:rsidRPr="00851643">
        <w:rPr>
          <w:lang w:val="en-US"/>
        </w:rPr>
        <w:t xml:space="preserve">, quasi </w:t>
      </w:r>
      <w:proofErr w:type="spellStart"/>
      <w:r w:rsidRPr="00851643">
        <w:rPr>
          <w:lang w:val="en-US"/>
        </w:rPr>
        <w:t>angeli</w:t>
      </w:r>
      <w:proofErr w:type="spellEnd"/>
      <w:r w:rsidRPr="00851643">
        <w:rPr>
          <w:lang w:val="en-US"/>
        </w:rPr>
        <w:t xml:space="preserve">, </w:t>
      </w:r>
      <w:proofErr w:type="spellStart"/>
      <w:r w:rsidRPr="00851643">
        <w:rPr>
          <w:lang w:val="en-US"/>
        </w:rPr>
        <w:t>intuonarono</w:t>
      </w:r>
      <w:proofErr w:type="spellEnd"/>
      <w:r w:rsidRPr="00851643">
        <w:rPr>
          <w:lang w:val="en-US"/>
        </w:rPr>
        <w:t xml:space="preserve"> </w:t>
      </w:r>
      <w:proofErr w:type="spellStart"/>
      <w:r w:rsidRPr="00851643">
        <w:rPr>
          <w:lang w:val="en-US"/>
        </w:rPr>
        <w:t>dolci</w:t>
      </w:r>
      <w:proofErr w:type="spellEnd"/>
      <w:r w:rsidRPr="00851643">
        <w:rPr>
          <w:lang w:val="en-US"/>
        </w:rPr>
        <w:t xml:space="preserve"> </w:t>
      </w:r>
      <w:proofErr w:type="spellStart"/>
      <w:r w:rsidRPr="00851643">
        <w:rPr>
          <w:lang w:val="en-US"/>
        </w:rPr>
        <w:t>canti</w:t>
      </w:r>
      <w:proofErr w:type="spellEnd"/>
      <w:r w:rsidRPr="00851643">
        <w:rPr>
          <w:lang w:val="en-US"/>
        </w:rPr>
        <w:t xml:space="preserve"> … Ora </w:t>
      </w:r>
      <w:proofErr w:type="spellStart"/>
      <w:r w:rsidRPr="00851643">
        <w:rPr>
          <w:lang w:val="en-US"/>
        </w:rPr>
        <w:t>si</w:t>
      </w:r>
      <w:proofErr w:type="spellEnd"/>
      <w:r w:rsidRPr="00851643">
        <w:rPr>
          <w:lang w:val="en-US"/>
        </w:rPr>
        <w:t xml:space="preserve"> </w:t>
      </w:r>
      <w:proofErr w:type="spellStart"/>
      <w:r w:rsidRPr="00851643">
        <w:rPr>
          <w:lang w:val="en-US"/>
        </w:rPr>
        <w:t>udivano</w:t>
      </w:r>
      <w:proofErr w:type="spellEnd"/>
      <w:r w:rsidRPr="00851643">
        <w:rPr>
          <w:lang w:val="en-US"/>
        </w:rPr>
        <w:t xml:space="preserve"> soave </w:t>
      </w:r>
      <w:proofErr w:type="spellStart"/>
      <w:r w:rsidRPr="00851643">
        <w:rPr>
          <w:lang w:val="en-US"/>
        </w:rPr>
        <w:t>melodie</w:t>
      </w:r>
      <w:proofErr w:type="spellEnd"/>
      <w:r w:rsidRPr="00851643">
        <w:rPr>
          <w:lang w:val="en-US"/>
        </w:rPr>
        <w:t xml:space="preserve"> di </w:t>
      </w:r>
      <w:proofErr w:type="spellStart"/>
      <w:r w:rsidRPr="00851643">
        <w:rPr>
          <w:lang w:val="en-US"/>
        </w:rPr>
        <w:t>voci</w:t>
      </w:r>
      <w:proofErr w:type="spellEnd"/>
      <w:r w:rsidRPr="00851643">
        <w:rPr>
          <w:lang w:val="en-US"/>
        </w:rPr>
        <w:t xml:space="preserve"> </w:t>
      </w:r>
      <w:proofErr w:type="spellStart"/>
      <w:r w:rsidRPr="00851643">
        <w:rPr>
          <w:lang w:val="en-US"/>
        </w:rPr>
        <w:t>umane</w:t>
      </w:r>
      <w:proofErr w:type="spellEnd"/>
      <w:r w:rsidRPr="00851643">
        <w:rPr>
          <w:lang w:val="en-US"/>
        </w:rPr>
        <w:t xml:space="preserve">, </w:t>
      </w:r>
      <w:proofErr w:type="spellStart"/>
      <w:r w:rsidRPr="00851643">
        <w:rPr>
          <w:lang w:val="en-US"/>
        </w:rPr>
        <w:t>ora</w:t>
      </w:r>
      <w:proofErr w:type="spellEnd"/>
      <w:r w:rsidRPr="00851643">
        <w:rPr>
          <w:lang w:val="en-US"/>
        </w:rPr>
        <w:t xml:space="preserve"> </w:t>
      </w:r>
      <w:proofErr w:type="spellStart"/>
      <w:r w:rsidRPr="00851643">
        <w:rPr>
          <w:lang w:val="en-US"/>
        </w:rPr>
        <w:t>deliziosi</w:t>
      </w:r>
      <w:proofErr w:type="spellEnd"/>
      <w:r w:rsidRPr="00851643">
        <w:rPr>
          <w:lang w:val="en-US"/>
        </w:rPr>
        <w:t xml:space="preserve"> </w:t>
      </w:r>
      <w:proofErr w:type="spellStart"/>
      <w:r w:rsidRPr="00851643">
        <w:rPr>
          <w:lang w:val="en-US"/>
        </w:rPr>
        <w:t>accordi</w:t>
      </w:r>
      <w:proofErr w:type="spellEnd"/>
      <w:r w:rsidRPr="00851643">
        <w:rPr>
          <w:lang w:val="en-US"/>
        </w:rPr>
        <w:t xml:space="preserve"> di </w:t>
      </w:r>
      <w:proofErr w:type="spellStart"/>
      <w:r w:rsidRPr="00851643">
        <w:rPr>
          <w:lang w:val="en-US"/>
        </w:rPr>
        <w:t>musici</w:t>
      </w:r>
      <w:proofErr w:type="spellEnd"/>
      <w:r w:rsidRPr="00851643">
        <w:rPr>
          <w:lang w:val="en-US"/>
        </w:rPr>
        <w:t xml:space="preserve"> </w:t>
      </w:r>
      <w:proofErr w:type="spellStart"/>
      <w:r w:rsidRPr="00851643">
        <w:rPr>
          <w:lang w:val="en-US"/>
        </w:rPr>
        <w:t>strumenti</w:t>
      </w:r>
      <w:proofErr w:type="spellEnd"/>
      <w:r w:rsidRPr="00851643">
        <w:rPr>
          <w:lang w:val="en-US"/>
        </w:rPr>
        <w:t xml:space="preserve">.” Quoted in </w:t>
      </w:r>
      <w:proofErr w:type="spellStart"/>
      <w:r w:rsidRPr="00851643">
        <w:rPr>
          <w:lang w:val="en-US"/>
        </w:rPr>
        <w:t>D’Ancona</w:t>
      </w:r>
      <w:proofErr w:type="spellEnd"/>
      <w:r w:rsidRPr="00851643">
        <w:rPr>
          <w:lang w:val="en-US"/>
        </w:rPr>
        <w:t xml:space="preserve">, </w:t>
      </w:r>
      <w:proofErr w:type="spellStart"/>
      <w:r w:rsidRPr="00851643">
        <w:rPr>
          <w:i/>
          <w:iCs/>
          <w:lang w:val="en-US"/>
        </w:rPr>
        <w:t>Origini</w:t>
      </w:r>
      <w:proofErr w:type="spellEnd"/>
      <w:r w:rsidRPr="00851643">
        <w:rPr>
          <w:i/>
          <w:iCs/>
          <w:lang w:val="en-US"/>
        </w:rPr>
        <w:t xml:space="preserve"> del Teatro </w:t>
      </w:r>
      <w:proofErr w:type="spellStart"/>
      <w:r w:rsidRPr="00851643">
        <w:rPr>
          <w:i/>
          <w:iCs/>
          <w:lang w:val="en-US"/>
        </w:rPr>
        <w:t>Italiano</w:t>
      </w:r>
      <w:proofErr w:type="spellEnd"/>
      <w:r w:rsidRPr="00851643">
        <w:rPr>
          <w:lang w:val="en-US"/>
        </w:rPr>
        <w:t xml:space="preserve">, I:237; English translation from </w:t>
      </w:r>
      <w:proofErr w:type="spellStart"/>
      <w:r w:rsidRPr="00851643">
        <w:rPr>
          <w:lang w:val="en-US"/>
        </w:rPr>
        <w:t>Winternitz</w:t>
      </w:r>
      <w:proofErr w:type="spellEnd"/>
      <w:r w:rsidRPr="00851643">
        <w:rPr>
          <w:lang w:val="en-US"/>
        </w:rPr>
        <w:t xml:space="preserve">, </w:t>
      </w:r>
      <w:r w:rsidRPr="00851643">
        <w:rPr>
          <w:i/>
          <w:iCs/>
          <w:lang w:val="en-US"/>
        </w:rPr>
        <w:t>Musical Instruments and Their Symbolism in Western Art</w:t>
      </w:r>
      <w:r w:rsidRPr="00851643">
        <w:rPr>
          <w:lang w:val="en-US"/>
        </w:rPr>
        <w:t xml:space="preserve">, 220; see also Daniel V. </w:t>
      </w:r>
      <w:proofErr w:type="spellStart"/>
      <w:r w:rsidRPr="00851643">
        <w:rPr>
          <w:lang w:val="en-US"/>
        </w:rPr>
        <w:t>Filippi</w:t>
      </w:r>
      <w:proofErr w:type="spellEnd"/>
      <w:r w:rsidRPr="00851643">
        <w:rPr>
          <w:lang w:val="en-US"/>
        </w:rPr>
        <w:t xml:space="preserve">, “Sonic Afterworld: Mapping the Soundscape of Heaven and Hell in Early Modern Cities,” in </w:t>
      </w:r>
      <w:r w:rsidRPr="00851643">
        <w:rPr>
          <w:i/>
          <w:iCs/>
          <w:lang w:val="en-US"/>
        </w:rPr>
        <w:t>Cultural Histories of Noise, Sound and Listening in Europe, 1300-1918.</w:t>
      </w:r>
      <w:r w:rsidRPr="00851643">
        <w:rPr>
          <w:lang w:val="en-US"/>
        </w:rPr>
        <w:t>, ed. Ian Biddle and Kirsten Gibson (London and New York: Routledge, Taylor &amp; Francis Group, 2017), 196.</w:t>
      </w:r>
    </w:p>
  </w:footnote>
  <w:footnote w:id="447">
    <w:p w14:paraId="7CA73905" w14:textId="77777777" w:rsidR="00182EED" w:rsidRDefault="00182EED" w:rsidP="008A116C">
      <w:pPr>
        <w:pStyle w:val="FootnoteText"/>
      </w:pPr>
      <w:r w:rsidRPr="00073E38">
        <w:rPr>
          <w:rStyle w:val="FootnoteReference"/>
        </w:rPr>
        <w:footnoteRef/>
      </w:r>
      <w:r>
        <w:t xml:space="preserve"> </w:t>
      </w:r>
      <w:r w:rsidRPr="006D0BDA">
        <w:rPr>
          <w:lang w:val="en-US"/>
        </w:rPr>
        <w:t>“</w:t>
      </w:r>
      <w:proofErr w:type="spellStart"/>
      <w:r w:rsidRPr="006D0BDA">
        <w:rPr>
          <w:lang w:val="en-US"/>
        </w:rPr>
        <w:t>Diciotto</w:t>
      </w:r>
      <w:proofErr w:type="spellEnd"/>
      <w:r w:rsidRPr="006D0BDA">
        <w:rPr>
          <w:lang w:val="en-US"/>
        </w:rPr>
        <w:t xml:space="preserve"> </w:t>
      </w:r>
      <w:proofErr w:type="spellStart"/>
      <w:r w:rsidRPr="006D0BDA">
        <w:rPr>
          <w:lang w:val="en-US"/>
        </w:rPr>
        <w:t>furono</w:t>
      </w:r>
      <w:proofErr w:type="spellEnd"/>
      <w:r w:rsidRPr="006D0BDA">
        <w:rPr>
          <w:lang w:val="en-US"/>
        </w:rPr>
        <w:t xml:space="preserve"> </w:t>
      </w:r>
      <w:proofErr w:type="spellStart"/>
      <w:r w:rsidRPr="006D0BDA">
        <w:rPr>
          <w:lang w:val="en-US"/>
        </w:rPr>
        <w:t>i</w:t>
      </w:r>
      <w:proofErr w:type="spellEnd"/>
      <w:r w:rsidRPr="006D0BDA">
        <w:rPr>
          <w:lang w:val="en-US"/>
        </w:rPr>
        <w:t xml:space="preserve"> </w:t>
      </w:r>
      <w:proofErr w:type="spellStart"/>
      <w:r w:rsidRPr="006D0BDA">
        <w:rPr>
          <w:lang w:val="en-US"/>
        </w:rPr>
        <w:t>fanciulli</w:t>
      </w:r>
      <w:proofErr w:type="spellEnd"/>
      <w:r w:rsidRPr="006D0BDA">
        <w:rPr>
          <w:lang w:val="en-US"/>
        </w:rPr>
        <w:t xml:space="preserve"> </w:t>
      </w:r>
      <w:proofErr w:type="spellStart"/>
      <w:r w:rsidRPr="006D0BDA">
        <w:rPr>
          <w:lang w:val="en-US"/>
        </w:rPr>
        <w:t>che</w:t>
      </w:r>
      <w:proofErr w:type="spellEnd"/>
      <w:r w:rsidRPr="006D0BDA">
        <w:rPr>
          <w:lang w:val="en-US"/>
        </w:rPr>
        <w:t xml:space="preserve">, </w:t>
      </w:r>
      <w:proofErr w:type="spellStart"/>
      <w:r w:rsidRPr="006D0BDA">
        <w:rPr>
          <w:lang w:val="en-US"/>
        </w:rPr>
        <w:t>nel</w:t>
      </w:r>
      <w:proofErr w:type="spellEnd"/>
      <w:r w:rsidRPr="006D0BDA">
        <w:rPr>
          <w:lang w:val="en-US"/>
        </w:rPr>
        <w:t xml:space="preserve"> </w:t>
      </w:r>
      <w:proofErr w:type="spellStart"/>
      <w:r w:rsidRPr="006D0BDA">
        <w:rPr>
          <w:lang w:val="en-US"/>
        </w:rPr>
        <w:t>volto</w:t>
      </w:r>
      <w:proofErr w:type="spellEnd"/>
      <w:r w:rsidRPr="006D0BDA">
        <w:rPr>
          <w:lang w:val="en-US"/>
        </w:rPr>
        <w:t xml:space="preserve">, </w:t>
      </w:r>
      <w:proofErr w:type="spellStart"/>
      <w:r w:rsidRPr="006D0BDA">
        <w:rPr>
          <w:lang w:val="en-US"/>
        </w:rPr>
        <w:t>nella</w:t>
      </w:r>
      <w:proofErr w:type="spellEnd"/>
      <w:r w:rsidRPr="006D0BDA">
        <w:rPr>
          <w:lang w:val="en-US"/>
        </w:rPr>
        <w:t xml:space="preserve"> voce e </w:t>
      </w:r>
      <w:proofErr w:type="spellStart"/>
      <w:r w:rsidRPr="006D0BDA">
        <w:rPr>
          <w:lang w:val="en-US"/>
        </w:rPr>
        <w:t>nell’abito</w:t>
      </w:r>
      <w:proofErr w:type="spellEnd"/>
      <w:r w:rsidRPr="006D0BDA">
        <w:rPr>
          <w:lang w:val="en-US"/>
        </w:rPr>
        <w:t xml:space="preserve"> </w:t>
      </w:r>
      <w:proofErr w:type="spellStart"/>
      <w:r w:rsidRPr="006D0BDA">
        <w:rPr>
          <w:lang w:val="en-US"/>
        </w:rPr>
        <w:t>imitavano</w:t>
      </w:r>
      <w:proofErr w:type="spellEnd"/>
      <w:r w:rsidRPr="006D0BDA">
        <w:rPr>
          <w:lang w:val="en-US"/>
        </w:rPr>
        <w:t xml:space="preserve"> la </w:t>
      </w:r>
      <w:proofErr w:type="spellStart"/>
      <w:r w:rsidRPr="006D0BDA">
        <w:rPr>
          <w:lang w:val="en-US"/>
        </w:rPr>
        <w:t>natura</w:t>
      </w:r>
      <w:proofErr w:type="spellEnd"/>
      <w:r w:rsidRPr="006D0BDA">
        <w:rPr>
          <w:lang w:val="en-US"/>
        </w:rPr>
        <w:t xml:space="preserve"> </w:t>
      </w:r>
      <w:proofErr w:type="spellStart"/>
      <w:r w:rsidRPr="006D0BDA">
        <w:rPr>
          <w:lang w:val="en-US"/>
        </w:rPr>
        <w:t>degli</w:t>
      </w:r>
      <w:proofErr w:type="spellEnd"/>
      <w:r w:rsidRPr="006D0BDA">
        <w:rPr>
          <w:lang w:val="en-US"/>
        </w:rPr>
        <w:t xml:space="preserve"> </w:t>
      </w:r>
      <w:proofErr w:type="spellStart"/>
      <w:r w:rsidRPr="006D0BDA">
        <w:rPr>
          <w:lang w:val="en-US"/>
        </w:rPr>
        <w:t>angeli</w:t>
      </w:r>
      <w:proofErr w:type="spellEnd"/>
      <w:r w:rsidRPr="006D0BDA">
        <w:rPr>
          <w:lang w:val="en-US"/>
        </w:rPr>
        <w:t xml:space="preserve">, e </w:t>
      </w:r>
      <w:proofErr w:type="spellStart"/>
      <w:r w:rsidRPr="006D0BDA">
        <w:rPr>
          <w:lang w:val="en-US"/>
        </w:rPr>
        <w:t>che</w:t>
      </w:r>
      <w:proofErr w:type="spellEnd"/>
      <w:r w:rsidRPr="006D0BDA">
        <w:rPr>
          <w:lang w:val="en-US"/>
        </w:rPr>
        <w:t xml:space="preserve"> con soave canto </w:t>
      </w:r>
      <w:proofErr w:type="spellStart"/>
      <w:r w:rsidRPr="006D0BDA">
        <w:rPr>
          <w:lang w:val="en-US"/>
        </w:rPr>
        <w:t>alternamente</w:t>
      </w:r>
      <w:proofErr w:type="spellEnd"/>
      <w:r w:rsidRPr="006D0BDA">
        <w:rPr>
          <w:lang w:val="en-US"/>
        </w:rPr>
        <w:t xml:space="preserve"> </w:t>
      </w:r>
      <w:proofErr w:type="spellStart"/>
      <w:r w:rsidRPr="006D0BDA">
        <w:rPr>
          <w:lang w:val="en-US"/>
        </w:rPr>
        <w:t>dicevano</w:t>
      </w:r>
      <w:proofErr w:type="spellEnd"/>
      <w:r w:rsidRPr="006D0BDA">
        <w:rPr>
          <w:lang w:val="en-US"/>
        </w:rPr>
        <w:t xml:space="preserve"> </w:t>
      </w:r>
      <w:proofErr w:type="spellStart"/>
      <w:r w:rsidRPr="006D0BDA">
        <w:rPr>
          <w:lang w:val="en-US"/>
        </w:rPr>
        <w:t>i</w:t>
      </w:r>
      <w:proofErr w:type="spellEnd"/>
      <w:r w:rsidRPr="006D0BDA">
        <w:rPr>
          <w:lang w:val="en-US"/>
        </w:rPr>
        <w:t xml:space="preserve"> </w:t>
      </w:r>
      <w:proofErr w:type="spellStart"/>
      <w:r w:rsidRPr="006D0BDA">
        <w:rPr>
          <w:lang w:val="en-US"/>
        </w:rPr>
        <w:t>carmi</w:t>
      </w:r>
      <w:proofErr w:type="spellEnd"/>
      <w:r w:rsidRPr="006D0BDA">
        <w:rPr>
          <w:lang w:val="en-US"/>
        </w:rPr>
        <w:t xml:space="preserve"> </w:t>
      </w:r>
      <w:proofErr w:type="spellStart"/>
      <w:r w:rsidRPr="006D0BDA">
        <w:rPr>
          <w:lang w:val="en-US"/>
        </w:rPr>
        <w:t>ordinati</w:t>
      </w:r>
      <w:proofErr w:type="spellEnd"/>
      <w:r w:rsidRPr="006D0BDA">
        <w:rPr>
          <w:lang w:val="en-US"/>
        </w:rPr>
        <w:t xml:space="preserve">”. Quoted in </w:t>
      </w:r>
      <w:proofErr w:type="spellStart"/>
      <w:r w:rsidRPr="006D0BDA">
        <w:rPr>
          <w:lang w:val="en-US"/>
        </w:rPr>
        <w:t>Tessari</w:t>
      </w:r>
      <w:proofErr w:type="spellEnd"/>
      <w:r w:rsidRPr="006D0BDA">
        <w:rPr>
          <w:lang w:val="en-US"/>
        </w:rPr>
        <w:t>, “</w:t>
      </w:r>
      <w:proofErr w:type="spellStart"/>
      <w:r w:rsidRPr="006D0BDA">
        <w:rPr>
          <w:lang w:val="en-US"/>
        </w:rPr>
        <w:t>Attori</w:t>
      </w:r>
      <w:proofErr w:type="spellEnd"/>
      <w:r w:rsidRPr="006D0BDA">
        <w:rPr>
          <w:lang w:val="en-US"/>
        </w:rPr>
        <w:t xml:space="preserve"> con le Ali: </w:t>
      </w:r>
      <w:proofErr w:type="spellStart"/>
      <w:r w:rsidRPr="006D0BDA">
        <w:rPr>
          <w:lang w:val="en-US"/>
        </w:rPr>
        <w:t>Gli</w:t>
      </w:r>
      <w:proofErr w:type="spellEnd"/>
      <w:r w:rsidRPr="006D0BDA">
        <w:rPr>
          <w:lang w:val="en-US"/>
        </w:rPr>
        <w:t xml:space="preserve"> </w:t>
      </w:r>
      <w:proofErr w:type="spellStart"/>
      <w:r w:rsidRPr="006D0BDA">
        <w:rPr>
          <w:lang w:val="en-US"/>
        </w:rPr>
        <w:t>Angeli</w:t>
      </w:r>
      <w:proofErr w:type="spellEnd"/>
      <w:r w:rsidRPr="006D0BDA">
        <w:rPr>
          <w:lang w:val="en-US"/>
        </w:rPr>
        <w:t xml:space="preserve"> </w:t>
      </w:r>
      <w:proofErr w:type="spellStart"/>
      <w:r w:rsidRPr="006D0BDA">
        <w:rPr>
          <w:lang w:val="en-US"/>
        </w:rPr>
        <w:t>negli</w:t>
      </w:r>
      <w:proofErr w:type="spellEnd"/>
      <w:r w:rsidRPr="006D0BDA">
        <w:rPr>
          <w:lang w:val="en-US"/>
        </w:rPr>
        <w:t xml:space="preserve"> </w:t>
      </w:r>
      <w:proofErr w:type="spellStart"/>
      <w:r w:rsidRPr="006D0BDA">
        <w:rPr>
          <w:lang w:val="en-US"/>
        </w:rPr>
        <w:t>Spettacoli</w:t>
      </w:r>
      <w:proofErr w:type="spellEnd"/>
      <w:r w:rsidRPr="006D0BDA">
        <w:rPr>
          <w:lang w:val="en-US"/>
        </w:rPr>
        <w:t xml:space="preserve"> </w:t>
      </w:r>
      <w:proofErr w:type="spellStart"/>
      <w:r w:rsidRPr="006D0BDA">
        <w:rPr>
          <w:lang w:val="en-US"/>
        </w:rPr>
        <w:t>Teatrali</w:t>
      </w:r>
      <w:proofErr w:type="spellEnd"/>
      <w:r w:rsidRPr="006D0BDA">
        <w:rPr>
          <w:lang w:val="en-US"/>
        </w:rPr>
        <w:t xml:space="preserve"> e </w:t>
      </w:r>
      <w:proofErr w:type="spellStart"/>
      <w:r w:rsidRPr="006D0BDA">
        <w:rPr>
          <w:lang w:val="en-US"/>
        </w:rPr>
        <w:t>Cinematografici</w:t>
      </w:r>
      <w:proofErr w:type="spellEnd"/>
      <w:r w:rsidRPr="006D0BDA">
        <w:rPr>
          <w:lang w:val="en-US"/>
        </w:rPr>
        <w:t>,” 78.</w:t>
      </w:r>
    </w:p>
  </w:footnote>
  <w:footnote w:id="448">
    <w:p w14:paraId="36435C98" w14:textId="77777777" w:rsidR="00182EED" w:rsidRDefault="00182EED" w:rsidP="008A116C">
      <w:pPr>
        <w:pStyle w:val="FootnoteText"/>
      </w:pPr>
      <w:r w:rsidRPr="00073E38">
        <w:rPr>
          <w:rStyle w:val="FootnoteReference"/>
        </w:rPr>
        <w:footnoteRef/>
      </w:r>
      <w:r>
        <w:t xml:space="preserve"> </w:t>
      </w:r>
      <w:r w:rsidRPr="006D0BDA">
        <w:rPr>
          <w:lang w:val="en-US"/>
        </w:rPr>
        <w:t>Barr, “Music and Spectacle in Confraternity Drama of Fifteenth-Century Florence,” 386.</w:t>
      </w:r>
    </w:p>
  </w:footnote>
  <w:footnote w:id="449">
    <w:p w14:paraId="5143FCB9" w14:textId="77777777" w:rsidR="00182EED" w:rsidRDefault="00182EED" w:rsidP="008A116C">
      <w:pPr>
        <w:pStyle w:val="FootnoteText"/>
      </w:pPr>
      <w:r w:rsidRPr="00073E38">
        <w:rPr>
          <w:rStyle w:val="FootnoteReference"/>
        </w:rPr>
        <w:footnoteRef/>
      </w:r>
      <w:r>
        <w:t xml:space="preserve"> </w:t>
      </w:r>
      <w:proofErr w:type="spellStart"/>
      <w:r w:rsidRPr="002C1CB7">
        <w:rPr>
          <w:lang w:val="en-US"/>
        </w:rPr>
        <w:t>Nerida</w:t>
      </w:r>
      <w:proofErr w:type="spellEnd"/>
      <w:r w:rsidRPr="002C1CB7">
        <w:rPr>
          <w:lang w:val="en-US"/>
        </w:rPr>
        <w:t xml:space="preserve"> </w:t>
      </w:r>
      <w:proofErr w:type="spellStart"/>
      <w:r w:rsidRPr="002C1CB7">
        <w:rPr>
          <w:lang w:val="en-US"/>
        </w:rPr>
        <w:t>Newbigin</w:t>
      </w:r>
      <w:proofErr w:type="spellEnd"/>
      <w:r w:rsidRPr="002C1CB7">
        <w:rPr>
          <w:lang w:val="en-US"/>
        </w:rPr>
        <w:t xml:space="preserve">, “Pavilioned in </w:t>
      </w:r>
      <w:proofErr w:type="spellStart"/>
      <w:r w:rsidRPr="002C1CB7">
        <w:rPr>
          <w:lang w:val="en-US"/>
        </w:rPr>
        <w:t>Splendour</w:t>
      </w:r>
      <w:proofErr w:type="spellEnd"/>
      <w:r w:rsidRPr="002C1CB7">
        <w:rPr>
          <w:lang w:val="en-US"/>
        </w:rPr>
        <w:t xml:space="preserve">: Performing Heaven in Fifteenth-Century Florence,” in </w:t>
      </w:r>
      <w:r w:rsidRPr="002C1CB7">
        <w:rPr>
          <w:i/>
          <w:iCs/>
          <w:lang w:val="en-US"/>
        </w:rPr>
        <w:t>Medieval Theatre Performance: Actors, Dancers, Automata and Their Audiences</w:t>
      </w:r>
      <w:r w:rsidRPr="002C1CB7">
        <w:rPr>
          <w:lang w:val="en-US"/>
        </w:rPr>
        <w:t>, ed</w:t>
      </w:r>
      <w:r>
        <w:rPr>
          <w:lang w:val="en-US"/>
        </w:rPr>
        <w:t>s</w:t>
      </w:r>
      <w:r w:rsidRPr="002C1CB7">
        <w:rPr>
          <w:lang w:val="en-US"/>
        </w:rPr>
        <w:t xml:space="preserve"> Philip Butterworth and Katie </w:t>
      </w:r>
      <w:proofErr w:type="spellStart"/>
      <w:r w:rsidRPr="002C1CB7">
        <w:rPr>
          <w:lang w:val="en-US"/>
        </w:rPr>
        <w:t>Normington</w:t>
      </w:r>
      <w:proofErr w:type="spellEnd"/>
      <w:r w:rsidRPr="002C1CB7">
        <w:rPr>
          <w:lang w:val="en-US"/>
        </w:rPr>
        <w:t xml:space="preserve"> (Cambridge: D. S. Brewer, 2017), 97, 99.</w:t>
      </w:r>
    </w:p>
  </w:footnote>
  <w:footnote w:id="450">
    <w:p w14:paraId="38432651" w14:textId="77777777" w:rsidR="00182EED" w:rsidRDefault="00182EED" w:rsidP="008A116C">
      <w:pPr>
        <w:pStyle w:val="FootnoteText"/>
      </w:pPr>
      <w:r w:rsidRPr="00073E38">
        <w:rPr>
          <w:rStyle w:val="FootnoteReference"/>
        </w:rPr>
        <w:footnoteRef/>
      </w:r>
      <w:r>
        <w:t xml:space="preserve"> </w:t>
      </w:r>
      <w:r w:rsidRPr="002C1CB7">
        <w:rPr>
          <w:lang w:val="en-US"/>
        </w:rPr>
        <w:t xml:space="preserve">Angels painted by </w:t>
      </w:r>
      <w:proofErr w:type="spellStart"/>
      <w:r w:rsidRPr="002C1CB7">
        <w:rPr>
          <w:lang w:val="en-US"/>
        </w:rPr>
        <w:t>Masolino</w:t>
      </w:r>
      <w:proofErr w:type="spellEnd"/>
      <w:r w:rsidRPr="002C1CB7">
        <w:rPr>
          <w:lang w:val="en-US"/>
        </w:rPr>
        <w:t xml:space="preserve"> are mentioned in Barr, “Music and Spectacle in Confraternity Drama of Fifteenth-Century Florence,” 381; see also ibid., 385.</w:t>
      </w:r>
    </w:p>
  </w:footnote>
  <w:footnote w:id="451">
    <w:p w14:paraId="0321B47E" w14:textId="77777777" w:rsidR="00182EED" w:rsidRDefault="00182EED" w:rsidP="008A116C">
      <w:pPr>
        <w:pStyle w:val="FootnoteText"/>
      </w:pPr>
      <w:r w:rsidRPr="00073E38">
        <w:rPr>
          <w:rStyle w:val="FootnoteReference"/>
        </w:rPr>
        <w:footnoteRef/>
      </w:r>
      <w:r>
        <w:t xml:space="preserve"> </w:t>
      </w:r>
      <w:r w:rsidRPr="002C1CB7">
        <w:rPr>
          <w:lang w:val="en-US"/>
        </w:rPr>
        <w:t>“</w:t>
      </w:r>
      <w:proofErr w:type="spellStart"/>
      <w:r w:rsidRPr="002C1CB7">
        <w:rPr>
          <w:lang w:val="en-US"/>
        </w:rPr>
        <w:t>Questi</w:t>
      </w:r>
      <w:proofErr w:type="spellEnd"/>
      <w:r w:rsidRPr="002C1CB7">
        <w:rPr>
          <w:lang w:val="en-US"/>
        </w:rPr>
        <w:t xml:space="preserve"> putti </w:t>
      </w:r>
      <w:proofErr w:type="spellStart"/>
      <w:r w:rsidRPr="002C1CB7">
        <w:rPr>
          <w:lang w:val="en-US"/>
        </w:rPr>
        <w:t>che</w:t>
      </w:r>
      <w:proofErr w:type="spellEnd"/>
      <w:r w:rsidRPr="002C1CB7">
        <w:rPr>
          <w:lang w:val="en-US"/>
        </w:rPr>
        <w:t xml:space="preserve"> in </w:t>
      </w:r>
      <w:proofErr w:type="spellStart"/>
      <w:r w:rsidRPr="002C1CB7">
        <w:rPr>
          <w:lang w:val="en-US"/>
        </w:rPr>
        <w:t>tutto</w:t>
      </w:r>
      <w:proofErr w:type="spellEnd"/>
      <w:r w:rsidRPr="002C1CB7">
        <w:rPr>
          <w:lang w:val="en-US"/>
        </w:rPr>
        <w:t xml:space="preserve"> </w:t>
      </w:r>
      <w:proofErr w:type="spellStart"/>
      <w:r w:rsidRPr="002C1CB7">
        <w:rPr>
          <w:lang w:val="en-US"/>
        </w:rPr>
        <w:t>erano</w:t>
      </w:r>
      <w:proofErr w:type="spellEnd"/>
      <w:r w:rsidRPr="002C1CB7">
        <w:rPr>
          <w:lang w:val="en-US"/>
        </w:rPr>
        <w:t xml:space="preserve"> </w:t>
      </w:r>
      <w:proofErr w:type="spellStart"/>
      <w:r w:rsidRPr="002C1CB7">
        <w:rPr>
          <w:lang w:val="en-US"/>
        </w:rPr>
        <w:t>dodici</w:t>
      </w:r>
      <w:proofErr w:type="spellEnd"/>
      <w:r w:rsidRPr="002C1CB7">
        <w:rPr>
          <w:lang w:val="en-US"/>
        </w:rPr>
        <w:t xml:space="preserve">, </w:t>
      </w:r>
      <w:proofErr w:type="spellStart"/>
      <w:r w:rsidRPr="002C1CB7">
        <w:rPr>
          <w:lang w:val="en-US"/>
        </w:rPr>
        <w:t>essendo</w:t>
      </w:r>
      <w:proofErr w:type="spellEnd"/>
      <w:r w:rsidRPr="002C1CB7">
        <w:rPr>
          <w:lang w:val="en-US"/>
        </w:rPr>
        <w:t xml:space="preserve"> </w:t>
      </w:r>
      <w:proofErr w:type="spellStart"/>
      <w:r w:rsidRPr="002C1CB7">
        <w:rPr>
          <w:lang w:val="en-US"/>
        </w:rPr>
        <w:t>accomodati</w:t>
      </w:r>
      <w:proofErr w:type="spellEnd"/>
      <w:r w:rsidRPr="002C1CB7">
        <w:rPr>
          <w:lang w:val="en-US"/>
        </w:rPr>
        <w:t xml:space="preserve"> come </w:t>
      </w:r>
      <w:proofErr w:type="spellStart"/>
      <w:r w:rsidRPr="002C1CB7">
        <w:rPr>
          <w:lang w:val="en-US"/>
        </w:rPr>
        <w:t>si</w:t>
      </w:r>
      <w:proofErr w:type="spellEnd"/>
      <w:r w:rsidRPr="002C1CB7">
        <w:rPr>
          <w:lang w:val="en-US"/>
        </w:rPr>
        <w:t xml:space="preserve"> è </w:t>
      </w:r>
      <w:proofErr w:type="spellStart"/>
      <w:r w:rsidRPr="002C1CB7">
        <w:rPr>
          <w:lang w:val="en-US"/>
        </w:rPr>
        <w:t>detto</w:t>
      </w:r>
      <w:proofErr w:type="spellEnd"/>
      <w:r w:rsidRPr="002C1CB7">
        <w:rPr>
          <w:lang w:val="en-US"/>
        </w:rPr>
        <w:t xml:space="preserve">, sopra le base, e </w:t>
      </w:r>
      <w:proofErr w:type="spellStart"/>
      <w:r w:rsidRPr="002C1CB7">
        <w:rPr>
          <w:lang w:val="en-US"/>
        </w:rPr>
        <w:t>vestiti</w:t>
      </w:r>
      <w:proofErr w:type="spellEnd"/>
      <w:r w:rsidRPr="002C1CB7">
        <w:rPr>
          <w:lang w:val="en-US"/>
        </w:rPr>
        <w:t xml:space="preserve"> da </w:t>
      </w:r>
      <w:proofErr w:type="spellStart"/>
      <w:r w:rsidRPr="002C1CB7">
        <w:rPr>
          <w:lang w:val="en-US"/>
        </w:rPr>
        <w:t>angeli</w:t>
      </w:r>
      <w:proofErr w:type="spellEnd"/>
      <w:r w:rsidRPr="002C1CB7">
        <w:rPr>
          <w:lang w:val="en-US"/>
        </w:rPr>
        <w:t xml:space="preserve"> con </w:t>
      </w:r>
      <w:proofErr w:type="spellStart"/>
      <w:r w:rsidRPr="002C1CB7">
        <w:rPr>
          <w:lang w:val="en-US"/>
        </w:rPr>
        <w:t>ali</w:t>
      </w:r>
      <w:proofErr w:type="spellEnd"/>
      <w:r w:rsidRPr="002C1CB7">
        <w:rPr>
          <w:lang w:val="en-US"/>
        </w:rPr>
        <w:t xml:space="preserve"> </w:t>
      </w:r>
      <w:proofErr w:type="spellStart"/>
      <w:r w:rsidRPr="002C1CB7">
        <w:rPr>
          <w:lang w:val="en-US"/>
        </w:rPr>
        <w:t>dorate</w:t>
      </w:r>
      <w:proofErr w:type="spellEnd"/>
      <w:r w:rsidRPr="002C1CB7">
        <w:rPr>
          <w:lang w:val="en-US"/>
        </w:rPr>
        <w:t xml:space="preserve"> e </w:t>
      </w:r>
      <w:proofErr w:type="spellStart"/>
      <w:r w:rsidRPr="002C1CB7">
        <w:rPr>
          <w:lang w:val="en-US"/>
        </w:rPr>
        <w:t>capegli</w:t>
      </w:r>
      <w:proofErr w:type="spellEnd"/>
      <w:r w:rsidRPr="002C1CB7">
        <w:rPr>
          <w:lang w:val="en-US"/>
        </w:rPr>
        <w:t xml:space="preserve"> di </w:t>
      </w:r>
      <w:proofErr w:type="spellStart"/>
      <w:r w:rsidRPr="002C1CB7">
        <w:rPr>
          <w:lang w:val="en-US"/>
        </w:rPr>
        <w:t>matasse</w:t>
      </w:r>
      <w:proofErr w:type="spellEnd"/>
      <w:r w:rsidRPr="002C1CB7">
        <w:rPr>
          <w:lang w:val="en-US"/>
        </w:rPr>
        <w:t xml:space="preserve"> </w:t>
      </w:r>
      <w:proofErr w:type="spellStart"/>
      <w:r w:rsidRPr="002C1CB7">
        <w:rPr>
          <w:lang w:val="en-US"/>
        </w:rPr>
        <w:t>d’oro</w:t>
      </w:r>
      <w:proofErr w:type="spellEnd"/>
      <w:r w:rsidRPr="002C1CB7">
        <w:rPr>
          <w:lang w:val="en-US"/>
        </w:rPr>
        <w:t xml:space="preserve">, </w:t>
      </w:r>
      <w:proofErr w:type="spellStart"/>
      <w:r w:rsidRPr="002C1CB7">
        <w:rPr>
          <w:lang w:val="en-US"/>
        </w:rPr>
        <w:t>si</w:t>
      </w:r>
      <w:proofErr w:type="spellEnd"/>
      <w:r w:rsidRPr="002C1CB7">
        <w:rPr>
          <w:lang w:val="en-US"/>
        </w:rPr>
        <w:t xml:space="preserve"> </w:t>
      </w:r>
      <w:proofErr w:type="spellStart"/>
      <w:r w:rsidRPr="002C1CB7">
        <w:rPr>
          <w:lang w:val="en-US"/>
        </w:rPr>
        <w:t>pigliavano</w:t>
      </w:r>
      <w:proofErr w:type="spellEnd"/>
      <w:r w:rsidRPr="002C1CB7">
        <w:rPr>
          <w:lang w:val="en-US"/>
        </w:rPr>
        <w:t xml:space="preserve">, </w:t>
      </w:r>
      <w:proofErr w:type="spellStart"/>
      <w:r w:rsidRPr="002C1CB7">
        <w:rPr>
          <w:lang w:val="en-US"/>
        </w:rPr>
        <w:t>quando</w:t>
      </w:r>
      <w:proofErr w:type="spellEnd"/>
      <w:r w:rsidRPr="002C1CB7">
        <w:rPr>
          <w:lang w:val="en-US"/>
        </w:rPr>
        <w:t xml:space="preserve"> era tempo, per mano </w:t>
      </w:r>
      <w:proofErr w:type="spellStart"/>
      <w:r w:rsidRPr="002C1CB7">
        <w:rPr>
          <w:lang w:val="en-US"/>
        </w:rPr>
        <w:t>l’un</w:t>
      </w:r>
      <w:proofErr w:type="spellEnd"/>
      <w:r w:rsidRPr="002C1CB7">
        <w:rPr>
          <w:lang w:val="en-US"/>
        </w:rPr>
        <w:t xml:space="preserve"> </w:t>
      </w:r>
      <w:proofErr w:type="spellStart"/>
      <w:r w:rsidRPr="002C1CB7">
        <w:rPr>
          <w:lang w:val="en-US"/>
        </w:rPr>
        <w:t>l’altro</w:t>
      </w:r>
      <w:proofErr w:type="spellEnd"/>
      <w:r w:rsidRPr="002C1CB7">
        <w:rPr>
          <w:lang w:val="en-US"/>
        </w:rPr>
        <w:t xml:space="preserve">; e </w:t>
      </w:r>
      <w:proofErr w:type="spellStart"/>
      <w:r w:rsidRPr="002C1CB7">
        <w:rPr>
          <w:lang w:val="en-US"/>
        </w:rPr>
        <w:t>dimenando</w:t>
      </w:r>
      <w:proofErr w:type="spellEnd"/>
      <w:r w:rsidRPr="002C1CB7">
        <w:rPr>
          <w:lang w:val="en-US"/>
        </w:rPr>
        <w:t xml:space="preserve"> le </w:t>
      </w:r>
      <w:proofErr w:type="spellStart"/>
      <w:r w:rsidRPr="002C1CB7">
        <w:rPr>
          <w:lang w:val="en-US"/>
        </w:rPr>
        <w:t>braccia</w:t>
      </w:r>
      <w:proofErr w:type="spellEnd"/>
      <w:r w:rsidRPr="002C1CB7">
        <w:rPr>
          <w:lang w:val="en-US"/>
        </w:rPr>
        <w:t xml:space="preserve"> </w:t>
      </w:r>
      <w:proofErr w:type="spellStart"/>
      <w:r w:rsidRPr="002C1CB7">
        <w:rPr>
          <w:lang w:val="en-US"/>
        </w:rPr>
        <w:t>pareva</w:t>
      </w:r>
      <w:proofErr w:type="spellEnd"/>
      <w:r w:rsidRPr="002C1CB7">
        <w:rPr>
          <w:lang w:val="en-US"/>
        </w:rPr>
        <w:t xml:space="preserve"> </w:t>
      </w:r>
      <w:proofErr w:type="spellStart"/>
      <w:r w:rsidRPr="002C1CB7">
        <w:rPr>
          <w:lang w:val="en-US"/>
        </w:rPr>
        <w:t>che</w:t>
      </w:r>
      <w:proofErr w:type="spellEnd"/>
      <w:r w:rsidRPr="002C1CB7">
        <w:rPr>
          <w:lang w:val="en-US"/>
        </w:rPr>
        <w:t xml:space="preserve"> </w:t>
      </w:r>
      <w:proofErr w:type="spellStart"/>
      <w:r w:rsidRPr="002C1CB7">
        <w:rPr>
          <w:lang w:val="en-US"/>
        </w:rPr>
        <w:t>ballassino</w:t>
      </w:r>
      <w:proofErr w:type="spellEnd"/>
      <w:r w:rsidRPr="002C1CB7">
        <w:rPr>
          <w:lang w:val="en-US"/>
        </w:rPr>
        <w:t xml:space="preserve">, e </w:t>
      </w:r>
      <w:proofErr w:type="spellStart"/>
      <w:r w:rsidRPr="002C1CB7">
        <w:rPr>
          <w:lang w:val="en-US"/>
        </w:rPr>
        <w:t>massimamente</w:t>
      </w:r>
      <w:proofErr w:type="spellEnd"/>
      <w:r w:rsidRPr="002C1CB7">
        <w:rPr>
          <w:lang w:val="en-US"/>
        </w:rPr>
        <w:t xml:space="preserve"> </w:t>
      </w:r>
      <w:proofErr w:type="spellStart"/>
      <w:r w:rsidRPr="002C1CB7">
        <w:rPr>
          <w:lang w:val="en-US"/>
        </w:rPr>
        <w:t>girando</w:t>
      </w:r>
      <w:proofErr w:type="spellEnd"/>
      <w:r w:rsidRPr="002C1CB7">
        <w:rPr>
          <w:lang w:val="en-US"/>
        </w:rPr>
        <w:t xml:space="preserve"> </w:t>
      </w:r>
      <w:proofErr w:type="spellStart"/>
      <w:r w:rsidRPr="002C1CB7">
        <w:rPr>
          <w:lang w:val="en-US"/>
        </w:rPr>
        <w:t>sempre</w:t>
      </w:r>
      <w:proofErr w:type="spellEnd"/>
      <w:r w:rsidRPr="002C1CB7">
        <w:rPr>
          <w:lang w:val="en-US"/>
        </w:rPr>
        <w:t xml:space="preserve"> e </w:t>
      </w:r>
      <w:proofErr w:type="spellStart"/>
      <w:r w:rsidRPr="002C1CB7">
        <w:rPr>
          <w:lang w:val="en-US"/>
        </w:rPr>
        <w:t>movendosi</w:t>
      </w:r>
      <w:proofErr w:type="spellEnd"/>
      <w:r w:rsidRPr="002C1CB7">
        <w:rPr>
          <w:lang w:val="en-US"/>
        </w:rPr>
        <w:t xml:space="preserve"> la mezza </w:t>
      </w:r>
      <w:proofErr w:type="spellStart"/>
      <w:r w:rsidRPr="002C1CB7">
        <w:rPr>
          <w:lang w:val="en-US"/>
        </w:rPr>
        <w:t>palla</w:t>
      </w:r>
      <w:proofErr w:type="spellEnd"/>
      <w:r w:rsidRPr="002C1CB7">
        <w:rPr>
          <w:lang w:val="en-US"/>
        </w:rPr>
        <w:t xml:space="preserve">.” Vasari, </w:t>
      </w:r>
      <w:r w:rsidRPr="002C1CB7">
        <w:rPr>
          <w:i/>
          <w:iCs/>
          <w:lang w:val="en-US"/>
        </w:rPr>
        <w:t xml:space="preserve">Le </w:t>
      </w:r>
      <w:proofErr w:type="spellStart"/>
      <w:r w:rsidRPr="002C1CB7">
        <w:rPr>
          <w:i/>
          <w:iCs/>
          <w:lang w:val="en-US"/>
        </w:rPr>
        <w:t>vite</w:t>
      </w:r>
      <w:proofErr w:type="spellEnd"/>
      <w:r w:rsidRPr="002C1CB7">
        <w:rPr>
          <w:i/>
          <w:iCs/>
          <w:lang w:val="en-US"/>
        </w:rPr>
        <w:t xml:space="preserve"> </w:t>
      </w:r>
      <w:proofErr w:type="spellStart"/>
      <w:r w:rsidRPr="002C1CB7">
        <w:rPr>
          <w:i/>
          <w:iCs/>
          <w:lang w:val="en-US"/>
        </w:rPr>
        <w:t>dei</w:t>
      </w:r>
      <w:proofErr w:type="spellEnd"/>
      <w:r w:rsidRPr="002C1CB7">
        <w:rPr>
          <w:i/>
          <w:iCs/>
          <w:lang w:val="en-US"/>
        </w:rPr>
        <w:t xml:space="preserve"> </w:t>
      </w:r>
      <w:proofErr w:type="spellStart"/>
      <w:r w:rsidRPr="002C1CB7">
        <w:rPr>
          <w:i/>
          <w:iCs/>
          <w:lang w:val="en-US"/>
        </w:rPr>
        <w:t>più</w:t>
      </w:r>
      <w:proofErr w:type="spellEnd"/>
      <w:r w:rsidRPr="002C1CB7">
        <w:rPr>
          <w:i/>
          <w:iCs/>
          <w:lang w:val="en-US"/>
        </w:rPr>
        <w:t xml:space="preserve"> </w:t>
      </w:r>
      <w:proofErr w:type="spellStart"/>
      <w:r w:rsidRPr="002C1CB7">
        <w:rPr>
          <w:i/>
          <w:iCs/>
          <w:lang w:val="en-US"/>
        </w:rPr>
        <w:t>eccellenti</w:t>
      </w:r>
      <w:proofErr w:type="spellEnd"/>
      <w:r w:rsidRPr="002C1CB7">
        <w:rPr>
          <w:i/>
          <w:iCs/>
          <w:lang w:val="en-US"/>
        </w:rPr>
        <w:t xml:space="preserve"> </w:t>
      </w:r>
      <w:proofErr w:type="spellStart"/>
      <w:r w:rsidRPr="002C1CB7">
        <w:rPr>
          <w:i/>
          <w:iCs/>
          <w:lang w:val="en-US"/>
        </w:rPr>
        <w:t>pittori</w:t>
      </w:r>
      <w:proofErr w:type="spellEnd"/>
      <w:r w:rsidRPr="002C1CB7">
        <w:rPr>
          <w:i/>
          <w:iCs/>
          <w:lang w:val="en-US"/>
        </w:rPr>
        <w:t xml:space="preserve">, </w:t>
      </w:r>
      <w:proofErr w:type="spellStart"/>
      <w:r w:rsidRPr="002C1CB7">
        <w:rPr>
          <w:i/>
          <w:iCs/>
          <w:lang w:val="en-US"/>
        </w:rPr>
        <w:t>scultori</w:t>
      </w:r>
      <w:proofErr w:type="spellEnd"/>
      <w:r w:rsidRPr="002C1CB7">
        <w:rPr>
          <w:i/>
          <w:iCs/>
          <w:lang w:val="en-US"/>
        </w:rPr>
        <w:t xml:space="preserve"> e </w:t>
      </w:r>
      <w:proofErr w:type="spellStart"/>
      <w:r w:rsidRPr="002C1CB7">
        <w:rPr>
          <w:i/>
          <w:iCs/>
          <w:lang w:val="en-US"/>
        </w:rPr>
        <w:t>architetti</w:t>
      </w:r>
      <w:proofErr w:type="spellEnd"/>
      <w:r w:rsidRPr="002C1CB7">
        <w:rPr>
          <w:lang w:val="en-US"/>
        </w:rPr>
        <w:t>, 346 (</w:t>
      </w:r>
      <w:r w:rsidRPr="002C1CB7">
        <w:rPr>
          <w:i/>
          <w:iCs/>
          <w:lang w:val="en-US"/>
        </w:rPr>
        <w:t>Vita di Filippo Brunelleschi</w:t>
      </w:r>
      <w:r w:rsidRPr="002C1CB7">
        <w:rPr>
          <w:lang w:val="en-US"/>
        </w:rPr>
        <w:t>).</w:t>
      </w:r>
    </w:p>
  </w:footnote>
  <w:footnote w:id="452">
    <w:p w14:paraId="3F15E8B1" w14:textId="77777777" w:rsidR="00182EED" w:rsidRDefault="00182EED" w:rsidP="008A116C">
      <w:pPr>
        <w:pStyle w:val="FootnoteText"/>
      </w:pPr>
      <w:r w:rsidRPr="00073E38">
        <w:rPr>
          <w:rStyle w:val="FootnoteReference"/>
        </w:rPr>
        <w:footnoteRef/>
      </w:r>
      <w:r>
        <w:t xml:space="preserve"> </w:t>
      </w:r>
      <w:r w:rsidRPr="00824139">
        <w:rPr>
          <w:lang w:val="en-US"/>
        </w:rPr>
        <w:t>“</w:t>
      </w:r>
      <w:proofErr w:type="spellStart"/>
      <w:r w:rsidRPr="00824139">
        <w:rPr>
          <w:lang w:val="en-US"/>
        </w:rPr>
        <w:t>Sempre</w:t>
      </w:r>
      <w:proofErr w:type="spellEnd"/>
      <w:r w:rsidRPr="00824139">
        <w:rPr>
          <w:lang w:val="en-US"/>
        </w:rPr>
        <w:t xml:space="preserve"> in casa </w:t>
      </w:r>
      <w:proofErr w:type="spellStart"/>
      <w:r w:rsidRPr="00824139">
        <w:rPr>
          <w:lang w:val="en-US"/>
        </w:rPr>
        <w:t>si</w:t>
      </w:r>
      <w:proofErr w:type="spellEnd"/>
      <w:r w:rsidRPr="00824139">
        <w:rPr>
          <w:lang w:val="en-US"/>
        </w:rPr>
        <w:t xml:space="preserve"> </w:t>
      </w:r>
      <w:proofErr w:type="spellStart"/>
      <w:r w:rsidRPr="00824139">
        <w:rPr>
          <w:lang w:val="en-US"/>
        </w:rPr>
        <w:t>ragioni</w:t>
      </w:r>
      <w:proofErr w:type="spellEnd"/>
      <w:r w:rsidRPr="00824139">
        <w:rPr>
          <w:lang w:val="en-US"/>
        </w:rPr>
        <w:t xml:space="preserve"> di </w:t>
      </w:r>
      <w:proofErr w:type="spellStart"/>
      <w:r w:rsidRPr="00824139">
        <w:rPr>
          <w:lang w:val="en-US"/>
        </w:rPr>
        <w:t>cose</w:t>
      </w:r>
      <w:proofErr w:type="spellEnd"/>
      <w:r w:rsidRPr="00824139">
        <w:rPr>
          <w:lang w:val="en-US"/>
        </w:rPr>
        <w:t xml:space="preserve"> </w:t>
      </w:r>
      <w:proofErr w:type="spellStart"/>
      <w:r w:rsidRPr="00824139">
        <w:rPr>
          <w:lang w:val="en-US"/>
        </w:rPr>
        <w:t>buone</w:t>
      </w:r>
      <w:proofErr w:type="spellEnd"/>
      <w:r w:rsidRPr="00824139">
        <w:rPr>
          <w:lang w:val="en-US"/>
        </w:rPr>
        <w:t xml:space="preserve"> et </w:t>
      </w:r>
      <w:proofErr w:type="spellStart"/>
      <w:r w:rsidRPr="00824139">
        <w:rPr>
          <w:lang w:val="en-US"/>
        </w:rPr>
        <w:t>honeste</w:t>
      </w:r>
      <w:proofErr w:type="spellEnd"/>
      <w:r w:rsidRPr="00824139">
        <w:rPr>
          <w:lang w:val="en-US"/>
        </w:rPr>
        <w:t xml:space="preserve">, et </w:t>
      </w:r>
      <w:proofErr w:type="spellStart"/>
      <w:r w:rsidRPr="00824139">
        <w:rPr>
          <w:lang w:val="en-US"/>
        </w:rPr>
        <w:t>infino</w:t>
      </w:r>
      <w:proofErr w:type="spellEnd"/>
      <w:r w:rsidRPr="00824139">
        <w:rPr>
          <w:lang w:val="en-US"/>
        </w:rPr>
        <w:t xml:space="preserve"> </w:t>
      </w:r>
      <w:proofErr w:type="spellStart"/>
      <w:r w:rsidRPr="00824139">
        <w:rPr>
          <w:lang w:val="en-US"/>
        </w:rPr>
        <w:t>alle</w:t>
      </w:r>
      <w:proofErr w:type="spellEnd"/>
      <w:r w:rsidRPr="00824139">
        <w:rPr>
          <w:lang w:val="en-US"/>
        </w:rPr>
        <w:t xml:space="preserve"> </w:t>
      </w:r>
      <w:proofErr w:type="spellStart"/>
      <w:r w:rsidRPr="00824139">
        <w:rPr>
          <w:lang w:val="en-US"/>
        </w:rPr>
        <w:t>favole</w:t>
      </w:r>
      <w:proofErr w:type="spellEnd"/>
      <w:r w:rsidRPr="00824139">
        <w:rPr>
          <w:lang w:val="en-US"/>
        </w:rPr>
        <w:t xml:space="preserve"> </w:t>
      </w:r>
      <w:proofErr w:type="spellStart"/>
      <w:r w:rsidRPr="00824139">
        <w:rPr>
          <w:lang w:val="en-US"/>
        </w:rPr>
        <w:t>delle</w:t>
      </w:r>
      <w:proofErr w:type="spellEnd"/>
      <w:r w:rsidRPr="00824139">
        <w:rPr>
          <w:lang w:val="en-US"/>
        </w:rPr>
        <w:t xml:space="preserve"> </w:t>
      </w:r>
      <w:proofErr w:type="spellStart"/>
      <w:r w:rsidRPr="00824139">
        <w:rPr>
          <w:lang w:val="en-US"/>
        </w:rPr>
        <w:t>donne</w:t>
      </w:r>
      <w:proofErr w:type="spellEnd"/>
      <w:r w:rsidRPr="00824139">
        <w:rPr>
          <w:lang w:val="en-US"/>
        </w:rPr>
        <w:t xml:space="preserve"> </w:t>
      </w:r>
      <w:proofErr w:type="spellStart"/>
      <w:r w:rsidRPr="00824139">
        <w:rPr>
          <w:lang w:val="en-US"/>
        </w:rPr>
        <w:t>sieno</w:t>
      </w:r>
      <w:proofErr w:type="spellEnd"/>
      <w:r w:rsidRPr="00824139">
        <w:rPr>
          <w:lang w:val="en-US"/>
        </w:rPr>
        <w:t xml:space="preserve"> </w:t>
      </w:r>
      <w:proofErr w:type="spellStart"/>
      <w:r w:rsidRPr="00824139">
        <w:rPr>
          <w:lang w:val="en-US"/>
        </w:rPr>
        <w:t>ammonimenti</w:t>
      </w:r>
      <w:proofErr w:type="spellEnd"/>
      <w:r w:rsidRPr="00824139">
        <w:rPr>
          <w:lang w:val="en-US"/>
        </w:rPr>
        <w:t xml:space="preserve"> </w:t>
      </w:r>
      <w:proofErr w:type="spellStart"/>
      <w:r w:rsidRPr="00824139">
        <w:rPr>
          <w:lang w:val="en-US"/>
        </w:rPr>
        <w:t>d’onesto</w:t>
      </w:r>
      <w:proofErr w:type="spellEnd"/>
      <w:r w:rsidRPr="00824139">
        <w:rPr>
          <w:lang w:val="en-US"/>
        </w:rPr>
        <w:t xml:space="preserve"> vivere: con quelle </w:t>
      </w:r>
      <w:proofErr w:type="spellStart"/>
      <w:r w:rsidRPr="00824139">
        <w:rPr>
          <w:lang w:val="en-US"/>
        </w:rPr>
        <w:t>s’impaurischino</w:t>
      </w:r>
      <w:proofErr w:type="spellEnd"/>
      <w:r w:rsidRPr="00824139">
        <w:rPr>
          <w:lang w:val="en-US"/>
        </w:rPr>
        <w:t xml:space="preserve"> dal male et </w:t>
      </w:r>
      <w:proofErr w:type="spellStart"/>
      <w:r w:rsidRPr="00824139">
        <w:rPr>
          <w:lang w:val="en-US"/>
        </w:rPr>
        <w:t>dispongansi</w:t>
      </w:r>
      <w:proofErr w:type="spellEnd"/>
      <w:r w:rsidRPr="00824139">
        <w:rPr>
          <w:lang w:val="en-US"/>
        </w:rPr>
        <w:t xml:space="preserve"> </w:t>
      </w:r>
      <w:r w:rsidRPr="00824139">
        <w:rPr>
          <w:lang w:val="en-US"/>
        </w:rPr>
        <w:t xml:space="preserve">a </w:t>
      </w:r>
      <w:proofErr w:type="spellStart"/>
      <w:r w:rsidRPr="00824139">
        <w:rPr>
          <w:lang w:val="en-US"/>
        </w:rPr>
        <w:t>amare</w:t>
      </w:r>
      <w:proofErr w:type="spellEnd"/>
      <w:r w:rsidRPr="00824139">
        <w:rPr>
          <w:lang w:val="en-US"/>
        </w:rPr>
        <w:t xml:space="preserve"> le </w:t>
      </w:r>
      <w:proofErr w:type="spellStart"/>
      <w:r w:rsidRPr="00824139">
        <w:rPr>
          <w:lang w:val="en-US"/>
        </w:rPr>
        <w:t>cose</w:t>
      </w:r>
      <w:proofErr w:type="spellEnd"/>
      <w:r w:rsidRPr="00824139">
        <w:rPr>
          <w:lang w:val="en-US"/>
        </w:rPr>
        <w:t xml:space="preserve"> </w:t>
      </w:r>
      <w:proofErr w:type="spellStart"/>
      <w:r w:rsidRPr="00824139">
        <w:rPr>
          <w:lang w:val="en-US"/>
        </w:rPr>
        <w:t>buone</w:t>
      </w:r>
      <w:proofErr w:type="spellEnd"/>
      <w:r w:rsidRPr="00824139">
        <w:rPr>
          <w:lang w:val="en-US"/>
        </w:rPr>
        <w:t xml:space="preserve">, come dire </w:t>
      </w:r>
      <w:proofErr w:type="spellStart"/>
      <w:r w:rsidRPr="00824139">
        <w:rPr>
          <w:lang w:val="en-US"/>
        </w:rPr>
        <w:t>l’orco</w:t>
      </w:r>
      <w:proofErr w:type="spellEnd"/>
      <w:r w:rsidRPr="00824139">
        <w:rPr>
          <w:lang w:val="en-US"/>
        </w:rPr>
        <w:t xml:space="preserve"> </w:t>
      </w:r>
      <w:proofErr w:type="spellStart"/>
      <w:r w:rsidRPr="00824139">
        <w:rPr>
          <w:lang w:val="en-US"/>
        </w:rPr>
        <w:t>essere</w:t>
      </w:r>
      <w:proofErr w:type="spellEnd"/>
      <w:r w:rsidRPr="00824139">
        <w:rPr>
          <w:lang w:val="en-US"/>
        </w:rPr>
        <w:t xml:space="preserve"> in inferno </w:t>
      </w:r>
      <w:proofErr w:type="spellStart"/>
      <w:r w:rsidRPr="00824139">
        <w:rPr>
          <w:lang w:val="en-US"/>
        </w:rPr>
        <w:t>piloso</w:t>
      </w:r>
      <w:proofErr w:type="spellEnd"/>
      <w:r w:rsidRPr="00824139">
        <w:rPr>
          <w:lang w:val="en-US"/>
        </w:rPr>
        <w:t xml:space="preserve"> et </w:t>
      </w:r>
      <w:proofErr w:type="spellStart"/>
      <w:r w:rsidRPr="00824139">
        <w:rPr>
          <w:lang w:val="en-US"/>
        </w:rPr>
        <w:t>cornuto</w:t>
      </w:r>
      <w:proofErr w:type="spellEnd"/>
      <w:r w:rsidRPr="00824139">
        <w:rPr>
          <w:lang w:val="en-US"/>
        </w:rPr>
        <w:t xml:space="preserve"> per </w:t>
      </w:r>
      <w:proofErr w:type="spellStart"/>
      <w:r w:rsidRPr="00824139">
        <w:rPr>
          <w:lang w:val="en-US"/>
        </w:rPr>
        <w:t>pigliare</w:t>
      </w:r>
      <w:proofErr w:type="spellEnd"/>
      <w:r w:rsidRPr="00824139">
        <w:rPr>
          <w:lang w:val="en-US"/>
        </w:rPr>
        <w:t xml:space="preserve"> </w:t>
      </w:r>
      <w:proofErr w:type="spellStart"/>
      <w:r w:rsidRPr="00824139">
        <w:rPr>
          <w:lang w:val="en-US"/>
        </w:rPr>
        <w:t>i</w:t>
      </w:r>
      <w:proofErr w:type="spellEnd"/>
      <w:r w:rsidRPr="00824139">
        <w:rPr>
          <w:lang w:val="en-US"/>
        </w:rPr>
        <w:t xml:space="preserve"> </w:t>
      </w:r>
      <w:proofErr w:type="spellStart"/>
      <w:r w:rsidRPr="00824139">
        <w:rPr>
          <w:lang w:val="en-US"/>
        </w:rPr>
        <w:t>tristi</w:t>
      </w:r>
      <w:proofErr w:type="spellEnd"/>
      <w:r w:rsidRPr="00824139">
        <w:rPr>
          <w:lang w:val="en-US"/>
        </w:rPr>
        <w:t xml:space="preserve">, et </w:t>
      </w:r>
      <w:proofErr w:type="spellStart"/>
      <w:r w:rsidRPr="00824139">
        <w:rPr>
          <w:lang w:val="en-US"/>
        </w:rPr>
        <w:t>i</w:t>
      </w:r>
      <w:proofErr w:type="spellEnd"/>
      <w:r w:rsidRPr="00824139">
        <w:rPr>
          <w:lang w:val="en-US"/>
        </w:rPr>
        <w:t xml:space="preserve"> </w:t>
      </w:r>
      <w:proofErr w:type="spellStart"/>
      <w:r w:rsidRPr="00824139">
        <w:rPr>
          <w:lang w:val="en-US"/>
        </w:rPr>
        <w:t>buoni</w:t>
      </w:r>
      <w:proofErr w:type="spellEnd"/>
      <w:r w:rsidRPr="00824139">
        <w:rPr>
          <w:lang w:val="en-US"/>
        </w:rPr>
        <w:t xml:space="preserve"> </w:t>
      </w:r>
      <w:proofErr w:type="spellStart"/>
      <w:r w:rsidRPr="00824139">
        <w:rPr>
          <w:lang w:val="en-US"/>
        </w:rPr>
        <w:t>fanciulli</w:t>
      </w:r>
      <w:proofErr w:type="spellEnd"/>
      <w:r w:rsidRPr="00824139">
        <w:rPr>
          <w:lang w:val="en-US"/>
        </w:rPr>
        <w:t xml:space="preserve"> </w:t>
      </w:r>
      <w:proofErr w:type="spellStart"/>
      <w:r w:rsidRPr="00824139">
        <w:rPr>
          <w:lang w:val="en-US"/>
        </w:rPr>
        <w:t>andare</w:t>
      </w:r>
      <w:proofErr w:type="spellEnd"/>
      <w:r w:rsidRPr="00824139">
        <w:rPr>
          <w:lang w:val="en-US"/>
        </w:rPr>
        <w:t xml:space="preserve"> in </w:t>
      </w:r>
      <w:proofErr w:type="spellStart"/>
      <w:r w:rsidRPr="00824139">
        <w:rPr>
          <w:lang w:val="en-US"/>
        </w:rPr>
        <w:t>paradiso</w:t>
      </w:r>
      <w:proofErr w:type="spellEnd"/>
      <w:r w:rsidRPr="00824139">
        <w:rPr>
          <w:lang w:val="en-US"/>
        </w:rPr>
        <w:t xml:space="preserve"> </w:t>
      </w:r>
      <w:proofErr w:type="spellStart"/>
      <w:r w:rsidRPr="00824139">
        <w:rPr>
          <w:lang w:val="en-US"/>
        </w:rPr>
        <w:t>ballando</w:t>
      </w:r>
      <w:proofErr w:type="spellEnd"/>
      <w:r w:rsidRPr="00824139">
        <w:rPr>
          <w:lang w:val="en-US"/>
        </w:rPr>
        <w:t xml:space="preserve"> con </w:t>
      </w:r>
      <w:proofErr w:type="spellStart"/>
      <w:r w:rsidRPr="00824139">
        <w:rPr>
          <w:lang w:val="en-US"/>
        </w:rPr>
        <w:t>gli</w:t>
      </w:r>
      <w:proofErr w:type="spellEnd"/>
      <w:r w:rsidRPr="00824139">
        <w:rPr>
          <w:lang w:val="en-US"/>
        </w:rPr>
        <w:t xml:space="preserve"> </w:t>
      </w:r>
      <w:proofErr w:type="spellStart"/>
      <w:r w:rsidRPr="00824139">
        <w:rPr>
          <w:lang w:val="en-US"/>
        </w:rPr>
        <w:t>agnoli</w:t>
      </w:r>
      <w:proofErr w:type="spellEnd"/>
      <w:r w:rsidRPr="00824139">
        <w:rPr>
          <w:lang w:val="en-US"/>
        </w:rPr>
        <w:t xml:space="preserve">.” Matteo Palmieri, </w:t>
      </w:r>
      <w:r w:rsidRPr="00824139">
        <w:rPr>
          <w:i/>
          <w:iCs/>
          <w:lang w:val="en-US"/>
        </w:rPr>
        <w:t xml:space="preserve">Vita </w:t>
      </w:r>
      <w:proofErr w:type="spellStart"/>
      <w:r w:rsidRPr="00824139">
        <w:rPr>
          <w:i/>
          <w:iCs/>
          <w:lang w:val="en-US"/>
        </w:rPr>
        <w:t>Civile</w:t>
      </w:r>
      <w:proofErr w:type="spellEnd"/>
      <w:r w:rsidRPr="00824139">
        <w:rPr>
          <w:lang w:val="en-US"/>
        </w:rPr>
        <w:t xml:space="preserve">, ed. Gino </w:t>
      </w:r>
      <w:proofErr w:type="spellStart"/>
      <w:r w:rsidRPr="00824139">
        <w:rPr>
          <w:lang w:val="en-US"/>
        </w:rPr>
        <w:t>Belloni</w:t>
      </w:r>
      <w:proofErr w:type="spellEnd"/>
      <w:r w:rsidRPr="00824139">
        <w:rPr>
          <w:lang w:val="en-US"/>
        </w:rPr>
        <w:t xml:space="preserve"> (Florence: </w:t>
      </w:r>
      <w:proofErr w:type="spellStart"/>
      <w:r w:rsidRPr="00824139">
        <w:rPr>
          <w:lang w:val="en-US"/>
        </w:rPr>
        <w:t>Sansoni</w:t>
      </w:r>
      <w:proofErr w:type="spellEnd"/>
      <w:r w:rsidRPr="00824139">
        <w:rPr>
          <w:lang w:val="en-US"/>
        </w:rPr>
        <w:t>, 1982), 23–24.</w:t>
      </w:r>
    </w:p>
  </w:footnote>
  <w:footnote w:id="453">
    <w:p w14:paraId="468C9A81" w14:textId="77777777" w:rsidR="00182EED" w:rsidRDefault="00182EED" w:rsidP="008A116C">
      <w:pPr>
        <w:pStyle w:val="FootnoteText"/>
      </w:pPr>
      <w:r w:rsidRPr="00073E38">
        <w:rPr>
          <w:rStyle w:val="FootnoteReference"/>
        </w:rPr>
        <w:footnoteRef/>
      </w:r>
      <w:r>
        <w:t xml:space="preserve"> </w:t>
      </w:r>
      <w:r w:rsidRPr="00824139">
        <w:rPr>
          <w:lang w:val="en-US"/>
        </w:rPr>
        <w:t>“</w:t>
      </w:r>
      <w:proofErr w:type="spellStart"/>
      <w:r w:rsidRPr="00824139">
        <w:rPr>
          <w:lang w:val="en-US"/>
        </w:rPr>
        <w:t>Così</w:t>
      </w:r>
      <w:proofErr w:type="spellEnd"/>
      <w:r w:rsidRPr="00824139">
        <w:rPr>
          <w:lang w:val="en-US"/>
        </w:rPr>
        <w:t xml:space="preserve"> </w:t>
      </w:r>
      <w:proofErr w:type="spellStart"/>
      <w:r w:rsidRPr="00824139">
        <w:rPr>
          <w:lang w:val="en-US"/>
        </w:rPr>
        <w:t>ti</w:t>
      </w:r>
      <w:proofErr w:type="spellEnd"/>
      <w:r w:rsidRPr="00824139">
        <w:rPr>
          <w:lang w:val="en-US"/>
        </w:rPr>
        <w:t xml:space="preserve"> </w:t>
      </w:r>
      <w:proofErr w:type="spellStart"/>
      <w:r w:rsidRPr="00824139">
        <w:rPr>
          <w:lang w:val="en-US"/>
        </w:rPr>
        <w:t>parrà</w:t>
      </w:r>
      <w:proofErr w:type="spellEnd"/>
      <w:r w:rsidRPr="00824139">
        <w:rPr>
          <w:lang w:val="en-US"/>
        </w:rPr>
        <w:t xml:space="preserve"> </w:t>
      </w:r>
      <w:proofErr w:type="spellStart"/>
      <w:r w:rsidRPr="00824139">
        <w:rPr>
          <w:lang w:val="en-US"/>
        </w:rPr>
        <w:t>avere</w:t>
      </w:r>
      <w:proofErr w:type="spellEnd"/>
      <w:r w:rsidRPr="00824139">
        <w:rPr>
          <w:lang w:val="en-US"/>
        </w:rPr>
        <w:t xml:space="preserve"> in casa </w:t>
      </w:r>
      <w:proofErr w:type="spellStart"/>
      <w:r w:rsidRPr="00824139">
        <w:rPr>
          <w:lang w:val="en-US"/>
        </w:rPr>
        <w:t>gli</w:t>
      </w:r>
      <w:proofErr w:type="spellEnd"/>
      <w:r w:rsidRPr="00824139">
        <w:rPr>
          <w:lang w:val="en-US"/>
        </w:rPr>
        <w:t xml:space="preserve"> </w:t>
      </w:r>
      <w:proofErr w:type="spellStart"/>
      <w:r w:rsidRPr="00824139">
        <w:rPr>
          <w:lang w:val="en-US"/>
        </w:rPr>
        <w:t>angeli</w:t>
      </w:r>
      <w:proofErr w:type="spellEnd"/>
      <w:r w:rsidRPr="00824139">
        <w:rPr>
          <w:lang w:val="en-US"/>
        </w:rPr>
        <w:t xml:space="preserve">, non </w:t>
      </w:r>
      <w:proofErr w:type="spellStart"/>
      <w:r w:rsidRPr="00824139">
        <w:rPr>
          <w:lang w:val="en-US"/>
        </w:rPr>
        <w:t>cessanti</w:t>
      </w:r>
      <w:proofErr w:type="spellEnd"/>
      <w:r w:rsidRPr="00824139">
        <w:rPr>
          <w:lang w:val="en-US"/>
        </w:rPr>
        <w:t xml:space="preserve"> di </w:t>
      </w:r>
      <w:proofErr w:type="spellStart"/>
      <w:r w:rsidRPr="00824139">
        <w:rPr>
          <w:lang w:val="en-US"/>
        </w:rPr>
        <w:t>cantare</w:t>
      </w:r>
      <w:proofErr w:type="spellEnd"/>
      <w:r w:rsidRPr="00824139">
        <w:rPr>
          <w:lang w:val="en-US"/>
        </w:rPr>
        <w:t xml:space="preserve"> al Salvatore </w:t>
      </w:r>
      <w:proofErr w:type="spellStart"/>
      <w:r w:rsidRPr="00824139">
        <w:rPr>
          <w:lang w:val="en-US"/>
        </w:rPr>
        <w:t>sanctus</w:t>
      </w:r>
      <w:proofErr w:type="spellEnd"/>
      <w:r w:rsidRPr="00824139">
        <w:rPr>
          <w:lang w:val="en-US"/>
        </w:rPr>
        <w:t xml:space="preserve">, </w:t>
      </w:r>
      <w:proofErr w:type="spellStart"/>
      <w:r w:rsidRPr="00824139">
        <w:rPr>
          <w:lang w:val="en-US"/>
        </w:rPr>
        <w:t>sanctus</w:t>
      </w:r>
      <w:proofErr w:type="spellEnd"/>
      <w:r w:rsidRPr="00824139">
        <w:rPr>
          <w:lang w:val="en-US"/>
        </w:rPr>
        <w:t xml:space="preserve">, </w:t>
      </w:r>
      <w:proofErr w:type="spellStart"/>
      <w:r w:rsidRPr="00824139">
        <w:rPr>
          <w:lang w:val="en-US"/>
        </w:rPr>
        <w:t>sanctus</w:t>
      </w:r>
      <w:proofErr w:type="spellEnd"/>
      <w:r w:rsidRPr="00824139">
        <w:rPr>
          <w:lang w:val="en-US"/>
        </w:rPr>
        <w:t xml:space="preserve"> Dominus Deus </w:t>
      </w:r>
      <w:proofErr w:type="spellStart"/>
      <w:r w:rsidRPr="00824139">
        <w:rPr>
          <w:lang w:val="en-US"/>
        </w:rPr>
        <w:t>sabaoth</w:t>
      </w:r>
      <w:proofErr w:type="spellEnd"/>
      <w:r w:rsidRPr="00824139">
        <w:rPr>
          <w:lang w:val="en-US"/>
        </w:rPr>
        <w:t xml:space="preserve">.” Giovanni </w:t>
      </w:r>
      <w:proofErr w:type="spellStart"/>
      <w:r w:rsidRPr="00824139">
        <w:rPr>
          <w:lang w:val="en-US"/>
        </w:rPr>
        <w:t>Dominici</w:t>
      </w:r>
      <w:proofErr w:type="spellEnd"/>
      <w:r w:rsidRPr="00824139">
        <w:rPr>
          <w:lang w:val="en-US"/>
        </w:rPr>
        <w:t xml:space="preserve">, </w:t>
      </w:r>
      <w:proofErr w:type="spellStart"/>
      <w:r w:rsidRPr="00824139">
        <w:rPr>
          <w:i/>
          <w:iCs/>
          <w:lang w:val="en-US"/>
        </w:rPr>
        <w:t>Regola</w:t>
      </w:r>
      <w:proofErr w:type="spellEnd"/>
      <w:r w:rsidRPr="00824139">
        <w:rPr>
          <w:i/>
          <w:iCs/>
          <w:lang w:val="en-US"/>
        </w:rPr>
        <w:t xml:space="preserve"> Del </w:t>
      </w:r>
      <w:proofErr w:type="spellStart"/>
      <w:r w:rsidRPr="00824139">
        <w:rPr>
          <w:i/>
          <w:iCs/>
          <w:lang w:val="en-US"/>
        </w:rPr>
        <w:t>Governo</w:t>
      </w:r>
      <w:proofErr w:type="spellEnd"/>
      <w:r w:rsidRPr="00824139">
        <w:rPr>
          <w:i/>
          <w:iCs/>
          <w:lang w:val="en-US"/>
        </w:rPr>
        <w:t xml:space="preserve"> Di </w:t>
      </w:r>
      <w:proofErr w:type="spellStart"/>
      <w:r w:rsidRPr="00824139">
        <w:rPr>
          <w:i/>
          <w:iCs/>
          <w:lang w:val="en-US"/>
        </w:rPr>
        <w:t>Cura</w:t>
      </w:r>
      <w:proofErr w:type="spellEnd"/>
      <w:r w:rsidRPr="00824139">
        <w:rPr>
          <w:i/>
          <w:iCs/>
          <w:lang w:val="en-US"/>
        </w:rPr>
        <w:t xml:space="preserve"> </w:t>
      </w:r>
      <w:proofErr w:type="spellStart"/>
      <w:r w:rsidRPr="00824139">
        <w:rPr>
          <w:i/>
          <w:iCs/>
          <w:lang w:val="en-US"/>
        </w:rPr>
        <w:t>Familiare</w:t>
      </w:r>
      <w:proofErr w:type="spellEnd"/>
      <w:r w:rsidRPr="00824139">
        <w:rPr>
          <w:lang w:val="en-US"/>
        </w:rPr>
        <w:t xml:space="preserve">, ed. Donato Salvi (Florence: </w:t>
      </w:r>
      <w:proofErr w:type="spellStart"/>
      <w:r w:rsidRPr="00824139">
        <w:rPr>
          <w:lang w:val="en-US"/>
        </w:rPr>
        <w:t>Angiolo</w:t>
      </w:r>
      <w:proofErr w:type="spellEnd"/>
      <w:r w:rsidRPr="00824139">
        <w:rPr>
          <w:lang w:val="en-US"/>
        </w:rPr>
        <w:t xml:space="preserve"> </w:t>
      </w:r>
      <w:proofErr w:type="spellStart"/>
      <w:r w:rsidRPr="00824139">
        <w:rPr>
          <w:lang w:val="en-US"/>
        </w:rPr>
        <w:t>Garinei</w:t>
      </w:r>
      <w:proofErr w:type="spellEnd"/>
      <w:r w:rsidRPr="00824139">
        <w:rPr>
          <w:lang w:val="en-US"/>
        </w:rPr>
        <w:t xml:space="preserve"> </w:t>
      </w:r>
      <w:proofErr w:type="spellStart"/>
      <w:r w:rsidRPr="00824139">
        <w:rPr>
          <w:lang w:val="en-US"/>
        </w:rPr>
        <w:t>Libraio</w:t>
      </w:r>
      <w:proofErr w:type="spellEnd"/>
      <w:r w:rsidRPr="00824139">
        <w:rPr>
          <w:lang w:val="en-US"/>
        </w:rPr>
        <w:t>, 1860), 153–54 In this passage the author compares children also to orators, prophets and apostles, martyrs and confessors.</w:t>
      </w:r>
    </w:p>
  </w:footnote>
  <w:footnote w:id="454">
    <w:p w14:paraId="1B102D4B" w14:textId="77777777" w:rsidR="00182EED" w:rsidRDefault="00182EED" w:rsidP="008A116C">
      <w:pPr>
        <w:pStyle w:val="FootnoteText"/>
      </w:pPr>
      <w:r w:rsidRPr="00073E38">
        <w:rPr>
          <w:rStyle w:val="FootnoteReference"/>
        </w:rPr>
        <w:footnoteRef/>
      </w:r>
      <w:r>
        <w:t xml:space="preserve"> </w:t>
      </w:r>
      <w:r w:rsidRPr="00F90986">
        <w:rPr>
          <w:lang w:val="en-US"/>
        </w:rPr>
        <w:t xml:space="preserve">William F. </w:t>
      </w:r>
      <w:proofErr w:type="spellStart"/>
      <w:r w:rsidRPr="00F90986">
        <w:rPr>
          <w:lang w:val="en-US"/>
        </w:rPr>
        <w:t>Prizer</w:t>
      </w:r>
      <w:proofErr w:type="spellEnd"/>
      <w:r w:rsidRPr="00F90986">
        <w:rPr>
          <w:lang w:val="en-US"/>
        </w:rPr>
        <w:t xml:space="preserve">, “Games of Venus: Secular Vocal Music in the Late Quattrocento and Early Cinquecento,” </w:t>
      </w:r>
      <w:r w:rsidRPr="00F90986">
        <w:rPr>
          <w:i/>
          <w:iCs/>
          <w:lang w:val="en-US"/>
        </w:rPr>
        <w:t>The Journal of Musicology</w:t>
      </w:r>
      <w:r w:rsidRPr="00F90986">
        <w:rPr>
          <w:lang w:val="en-US"/>
        </w:rPr>
        <w:t xml:space="preserve"> 9, no. 1 (1991): 53–54; Tim Shephard, “Noblewomen and Music in Italy, c. 1430-1520: Looking Past Isabella,” in </w:t>
      </w:r>
      <w:r w:rsidRPr="00F90986">
        <w:rPr>
          <w:i/>
          <w:iCs/>
          <w:lang w:val="en-US"/>
        </w:rPr>
        <w:t>Gender, Age and Musical Creativity</w:t>
      </w:r>
      <w:r w:rsidRPr="00F90986">
        <w:rPr>
          <w:lang w:val="en-US"/>
        </w:rPr>
        <w:t>, ed. Catherine Haworth and Lisa Colton (Dorchester: Ashgate, 2016), 31</w:t>
      </w:r>
      <w:r>
        <w:rPr>
          <w:lang w:val="en-US"/>
        </w:rPr>
        <w:t>.</w:t>
      </w:r>
      <w:r w:rsidRPr="00F90986">
        <w:rPr>
          <w:lang w:val="en-US"/>
        </w:rPr>
        <w:t xml:space="preserve"> The custom of having children play the part of musical angels is not limited to the Italian states, see Richard Freedman, </w:t>
      </w:r>
      <w:r w:rsidRPr="00F90986">
        <w:rPr>
          <w:i/>
          <w:iCs/>
          <w:lang w:val="en-US"/>
        </w:rPr>
        <w:t>Music in the Renaissance: Western Music in Context</w:t>
      </w:r>
      <w:r w:rsidRPr="00F90986">
        <w:rPr>
          <w:lang w:val="en-US"/>
        </w:rPr>
        <w:t xml:space="preserve"> (New York and London: W. W. Norton &amp; Company, 2013), 73–74.</w:t>
      </w:r>
    </w:p>
  </w:footnote>
  <w:footnote w:id="455">
    <w:p w14:paraId="56A65556" w14:textId="77777777" w:rsidR="00182EED" w:rsidRDefault="00182EED" w:rsidP="008A116C">
      <w:pPr>
        <w:pStyle w:val="FootnoteText"/>
      </w:pPr>
      <w:r w:rsidRPr="00073E38">
        <w:rPr>
          <w:rStyle w:val="FootnoteReference"/>
        </w:rPr>
        <w:footnoteRef/>
      </w:r>
      <w:r>
        <w:t xml:space="preserve"> </w:t>
      </w:r>
      <w:r w:rsidRPr="00F90986">
        <w:rPr>
          <w:lang w:val="en-US"/>
        </w:rPr>
        <w:t xml:space="preserve">“La </w:t>
      </w:r>
      <w:proofErr w:type="spellStart"/>
      <w:r w:rsidRPr="00F90986">
        <w:rPr>
          <w:lang w:val="en-US"/>
        </w:rPr>
        <w:t>mia</w:t>
      </w:r>
      <w:proofErr w:type="spellEnd"/>
      <w:r w:rsidRPr="00F90986">
        <w:rPr>
          <w:lang w:val="en-US"/>
        </w:rPr>
        <w:t xml:space="preserve"> </w:t>
      </w:r>
      <w:proofErr w:type="spellStart"/>
      <w:r w:rsidRPr="00F90986">
        <w:rPr>
          <w:lang w:val="en-US"/>
        </w:rPr>
        <w:t>leggiadra</w:t>
      </w:r>
      <w:proofErr w:type="spellEnd"/>
      <w:r w:rsidRPr="00F90986">
        <w:rPr>
          <w:lang w:val="en-US"/>
        </w:rPr>
        <w:t xml:space="preserve"> e candida </w:t>
      </w:r>
      <w:proofErr w:type="spellStart"/>
      <w:r w:rsidRPr="00F90986">
        <w:rPr>
          <w:lang w:val="en-US"/>
        </w:rPr>
        <w:t>angioletta</w:t>
      </w:r>
      <w:proofErr w:type="spellEnd"/>
      <w:r w:rsidRPr="00F90986">
        <w:rPr>
          <w:lang w:val="en-US"/>
        </w:rPr>
        <w:t>”. Quoted in Shephard, “Noblewomen and Music in Italy,” 33.</w:t>
      </w:r>
    </w:p>
  </w:footnote>
  <w:footnote w:id="456">
    <w:p w14:paraId="46249BD5" w14:textId="77777777" w:rsidR="00182EED" w:rsidRDefault="00182EED" w:rsidP="008A116C">
      <w:pPr>
        <w:pStyle w:val="FootnoteText"/>
      </w:pPr>
      <w:r w:rsidRPr="00073E38">
        <w:rPr>
          <w:rStyle w:val="FootnoteReference"/>
        </w:rPr>
        <w:footnoteRef/>
      </w:r>
      <w:r>
        <w:t xml:space="preserve"> </w:t>
      </w:r>
      <w:r w:rsidRPr="00851643">
        <w:rPr>
          <w:lang w:val="en-US"/>
        </w:rPr>
        <w:t xml:space="preserve">“E nota, </w:t>
      </w:r>
      <w:proofErr w:type="spellStart"/>
      <w:r w:rsidRPr="00851643">
        <w:rPr>
          <w:lang w:val="en-US"/>
        </w:rPr>
        <w:t>che</w:t>
      </w:r>
      <w:proofErr w:type="spellEnd"/>
      <w:r w:rsidRPr="00851643">
        <w:rPr>
          <w:lang w:val="en-US"/>
        </w:rPr>
        <w:t xml:space="preserve"> in </w:t>
      </w:r>
      <w:proofErr w:type="spellStart"/>
      <w:r w:rsidRPr="00851643">
        <w:rPr>
          <w:lang w:val="en-US"/>
        </w:rPr>
        <w:t>quel</w:t>
      </w:r>
      <w:proofErr w:type="spellEnd"/>
      <w:r w:rsidRPr="00851643">
        <w:rPr>
          <w:lang w:val="en-US"/>
        </w:rPr>
        <w:t xml:space="preserve"> </w:t>
      </w:r>
      <w:proofErr w:type="spellStart"/>
      <w:r w:rsidRPr="00851643">
        <w:rPr>
          <w:lang w:val="en-US"/>
        </w:rPr>
        <w:t>tenpo</w:t>
      </w:r>
      <w:proofErr w:type="spellEnd"/>
      <w:r w:rsidRPr="00851643">
        <w:rPr>
          <w:lang w:val="en-US"/>
        </w:rPr>
        <w:t xml:space="preserve"> era tanto </w:t>
      </w:r>
      <w:proofErr w:type="spellStart"/>
      <w:r w:rsidRPr="00851643">
        <w:rPr>
          <w:lang w:val="en-US"/>
        </w:rPr>
        <w:t>spirito</w:t>
      </w:r>
      <w:proofErr w:type="spellEnd"/>
      <w:r w:rsidRPr="00851643">
        <w:rPr>
          <w:lang w:val="en-US"/>
        </w:rPr>
        <w:t xml:space="preserve"> in </w:t>
      </w:r>
      <w:proofErr w:type="spellStart"/>
      <w:r w:rsidRPr="00851643">
        <w:rPr>
          <w:lang w:val="en-US"/>
        </w:rPr>
        <w:t>quella</w:t>
      </w:r>
      <w:proofErr w:type="spellEnd"/>
      <w:r w:rsidRPr="00851643">
        <w:rPr>
          <w:lang w:val="en-US"/>
        </w:rPr>
        <w:t xml:space="preserve"> chiesa, e </w:t>
      </w:r>
      <w:proofErr w:type="spellStart"/>
      <w:r w:rsidRPr="00851643">
        <w:rPr>
          <w:lang w:val="en-US"/>
        </w:rPr>
        <w:t>tanta</w:t>
      </w:r>
      <w:proofErr w:type="spellEnd"/>
      <w:r w:rsidRPr="00851643">
        <w:rPr>
          <w:lang w:val="en-US"/>
        </w:rPr>
        <w:t xml:space="preserve"> </w:t>
      </w:r>
      <w:proofErr w:type="spellStart"/>
      <w:r w:rsidRPr="00851643">
        <w:rPr>
          <w:lang w:val="en-US"/>
        </w:rPr>
        <w:t>dolceza</w:t>
      </w:r>
      <w:proofErr w:type="spellEnd"/>
      <w:r w:rsidRPr="00851643">
        <w:rPr>
          <w:lang w:val="en-US"/>
        </w:rPr>
        <w:t xml:space="preserve"> a </w:t>
      </w:r>
      <w:proofErr w:type="spellStart"/>
      <w:r w:rsidRPr="00851643">
        <w:rPr>
          <w:lang w:val="en-US"/>
        </w:rPr>
        <w:t>udire</w:t>
      </w:r>
      <w:proofErr w:type="spellEnd"/>
      <w:r w:rsidRPr="00851643">
        <w:rPr>
          <w:lang w:val="en-US"/>
        </w:rPr>
        <w:t xml:space="preserve"> que’ </w:t>
      </w:r>
      <w:proofErr w:type="spellStart"/>
      <w:r w:rsidRPr="00851643">
        <w:rPr>
          <w:lang w:val="en-US"/>
        </w:rPr>
        <w:t>figliuoli</w:t>
      </w:r>
      <w:proofErr w:type="spellEnd"/>
      <w:r w:rsidRPr="00851643">
        <w:rPr>
          <w:lang w:val="en-US"/>
        </w:rPr>
        <w:t xml:space="preserve"> </w:t>
      </w:r>
      <w:proofErr w:type="spellStart"/>
      <w:r w:rsidRPr="00851643">
        <w:rPr>
          <w:lang w:val="en-US"/>
        </w:rPr>
        <w:t>cantare</w:t>
      </w:r>
      <w:proofErr w:type="spellEnd"/>
      <w:r w:rsidRPr="00851643">
        <w:rPr>
          <w:lang w:val="en-US"/>
        </w:rPr>
        <w:t xml:space="preserve">, </w:t>
      </w:r>
      <w:proofErr w:type="spellStart"/>
      <w:r w:rsidRPr="00851643">
        <w:rPr>
          <w:lang w:val="en-US"/>
        </w:rPr>
        <w:t>quando</w:t>
      </w:r>
      <w:proofErr w:type="spellEnd"/>
      <w:r w:rsidRPr="00851643">
        <w:rPr>
          <w:lang w:val="en-US"/>
        </w:rPr>
        <w:t xml:space="preserve"> di sopra, </w:t>
      </w:r>
      <w:proofErr w:type="spellStart"/>
      <w:r w:rsidRPr="00851643">
        <w:rPr>
          <w:lang w:val="en-US"/>
        </w:rPr>
        <w:t>quando</w:t>
      </w:r>
      <w:proofErr w:type="spellEnd"/>
      <w:r w:rsidRPr="00851643">
        <w:rPr>
          <w:lang w:val="en-US"/>
        </w:rPr>
        <w:t xml:space="preserve"> di sotto e </w:t>
      </w:r>
      <w:proofErr w:type="spellStart"/>
      <w:r w:rsidRPr="00851643">
        <w:rPr>
          <w:lang w:val="en-US"/>
        </w:rPr>
        <w:t>quando</w:t>
      </w:r>
      <w:proofErr w:type="spellEnd"/>
      <w:r w:rsidRPr="00851643">
        <w:rPr>
          <w:lang w:val="en-US"/>
        </w:rPr>
        <w:t xml:space="preserve"> da </w:t>
      </w:r>
      <w:proofErr w:type="spellStart"/>
      <w:r w:rsidRPr="00851643">
        <w:rPr>
          <w:lang w:val="en-US"/>
        </w:rPr>
        <w:t>lato</w:t>
      </w:r>
      <w:proofErr w:type="spellEnd"/>
      <w:r w:rsidRPr="00851643">
        <w:rPr>
          <w:lang w:val="en-US"/>
        </w:rPr>
        <w:t xml:space="preserve">, cantando a </w:t>
      </w:r>
      <w:proofErr w:type="spellStart"/>
      <w:r w:rsidRPr="00851643">
        <w:rPr>
          <w:lang w:val="en-US"/>
        </w:rPr>
        <w:t>parte</w:t>
      </w:r>
      <w:proofErr w:type="spellEnd"/>
      <w:r w:rsidRPr="00851643">
        <w:rPr>
          <w:lang w:val="en-US"/>
        </w:rPr>
        <w:t xml:space="preserve"> con </w:t>
      </w:r>
      <w:proofErr w:type="spellStart"/>
      <w:r w:rsidRPr="00851643">
        <w:rPr>
          <w:lang w:val="en-US"/>
        </w:rPr>
        <w:t>ogni</w:t>
      </w:r>
      <w:proofErr w:type="spellEnd"/>
      <w:r w:rsidRPr="00851643">
        <w:rPr>
          <w:lang w:val="en-US"/>
        </w:rPr>
        <w:t xml:space="preserve"> </w:t>
      </w:r>
      <w:proofErr w:type="spellStart"/>
      <w:r w:rsidRPr="00851643">
        <w:rPr>
          <w:lang w:val="en-US"/>
        </w:rPr>
        <w:t>modestia</w:t>
      </w:r>
      <w:proofErr w:type="spellEnd"/>
      <w:r w:rsidRPr="00851643">
        <w:rPr>
          <w:lang w:val="en-US"/>
        </w:rPr>
        <w:t xml:space="preserve"> e </w:t>
      </w:r>
      <w:proofErr w:type="spellStart"/>
      <w:r w:rsidRPr="00851643">
        <w:rPr>
          <w:lang w:val="en-US"/>
        </w:rPr>
        <w:t>silenzio</w:t>
      </w:r>
      <w:proofErr w:type="spellEnd"/>
      <w:r w:rsidRPr="00851643">
        <w:rPr>
          <w:lang w:val="en-US"/>
        </w:rPr>
        <w:t xml:space="preserve">, </w:t>
      </w:r>
      <w:proofErr w:type="spellStart"/>
      <w:r w:rsidRPr="00851643">
        <w:rPr>
          <w:lang w:val="en-US"/>
        </w:rPr>
        <w:t>che</w:t>
      </w:r>
      <w:proofErr w:type="spellEnd"/>
      <w:r w:rsidRPr="00851643">
        <w:rPr>
          <w:lang w:val="en-US"/>
        </w:rPr>
        <w:t xml:space="preserve"> non </w:t>
      </w:r>
      <w:proofErr w:type="spellStart"/>
      <w:r w:rsidRPr="00851643">
        <w:rPr>
          <w:lang w:val="en-US"/>
        </w:rPr>
        <w:t>pareva</w:t>
      </w:r>
      <w:proofErr w:type="spellEnd"/>
      <w:r w:rsidRPr="00851643">
        <w:rPr>
          <w:lang w:val="en-US"/>
        </w:rPr>
        <w:t xml:space="preserve"> </w:t>
      </w:r>
      <w:proofErr w:type="spellStart"/>
      <w:r w:rsidRPr="00851643">
        <w:rPr>
          <w:lang w:val="en-US"/>
        </w:rPr>
        <w:t>cosa</w:t>
      </w:r>
      <w:proofErr w:type="spellEnd"/>
      <w:r w:rsidRPr="00851643">
        <w:rPr>
          <w:lang w:val="en-US"/>
        </w:rPr>
        <w:t xml:space="preserve"> da </w:t>
      </w:r>
      <w:proofErr w:type="spellStart"/>
      <w:r w:rsidRPr="00851643">
        <w:rPr>
          <w:lang w:val="en-US"/>
        </w:rPr>
        <w:t>fanciugli</w:t>
      </w:r>
      <w:proofErr w:type="spellEnd"/>
      <w:r w:rsidRPr="00851643">
        <w:rPr>
          <w:lang w:val="en-US"/>
        </w:rPr>
        <w:t xml:space="preserve">. Io lo </w:t>
      </w:r>
      <w:proofErr w:type="spellStart"/>
      <w:r w:rsidRPr="00851643">
        <w:rPr>
          <w:lang w:val="en-US"/>
        </w:rPr>
        <w:t>scrivo</w:t>
      </w:r>
      <w:proofErr w:type="spellEnd"/>
      <w:r w:rsidRPr="00851643">
        <w:rPr>
          <w:lang w:val="en-US"/>
        </w:rPr>
        <w:t xml:space="preserve"> </w:t>
      </w:r>
      <w:proofErr w:type="spellStart"/>
      <w:r w:rsidRPr="00851643">
        <w:rPr>
          <w:lang w:val="en-US"/>
        </w:rPr>
        <w:t>perchè</w:t>
      </w:r>
      <w:proofErr w:type="spellEnd"/>
      <w:r w:rsidRPr="00851643">
        <w:rPr>
          <w:lang w:val="en-US"/>
        </w:rPr>
        <w:t xml:space="preserve"> mi </w:t>
      </w:r>
      <w:proofErr w:type="spellStart"/>
      <w:r w:rsidRPr="00851643">
        <w:rPr>
          <w:lang w:val="en-US"/>
        </w:rPr>
        <w:t>trovai</w:t>
      </w:r>
      <w:proofErr w:type="spellEnd"/>
      <w:r w:rsidRPr="00851643">
        <w:rPr>
          <w:lang w:val="en-US"/>
        </w:rPr>
        <w:t xml:space="preserve"> </w:t>
      </w:r>
      <w:proofErr w:type="spellStart"/>
      <w:r w:rsidRPr="00851643">
        <w:rPr>
          <w:lang w:val="en-US"/>
        </w:rPr>
        <w:t>presente</w:t>
      </w:r>
      <w:proofErr w:type="spellEnd"/>
      <w:r w:rsidRPr="00851643">
        <w:rPr>
          <w:lang w:val="en-US"/>
        </w:rPr>
        <w:t xml:space="preserve"> e </w:t>
      </w:r>
      <w:proofErr w:type="spellStart"/>
      <w:r w:rsidRPr="00851643">
        <w:rPr>
          <w:lang w:val="en-US"/>
        </w:rPr>
        <w:t>vidi</w:t>
      </w:r>
      <w:proofErr w:type="spellEnd"/>
      <w:r w:rsidRPr="00851643">
        <w:rPr>
          <w:lang w:val="en-US"/>
        </w:rPr>
        <w:t xml:space="preserve"> </w:t>
      </w:r>
      <w:proofErr w:type="spellStart"/>
      <w:r w:rsidRPr="00851643">
        <w:rPr>
          <w:lang w:val="en-US"/>
        </w:rPr>
        <w:t>molte</w:t>
      </w:r>
      <w:proofErr w:type="spellEnd"/>
      <w:r w:rsidRPr="00851643">
        <w:rPr>
          <w:lang w:val="en-US"/>
        </w:rPr>
        <w:t xml:space="preserve"> volte, e </w:t>
      </w:r>
      <w:proofErr w:type="spellStart"/>
      <w:r w:rsidRPr="00851643">
        <w:rPr>
          <w:lang w:val="en-US"/>
        </w:rPr>
        <w:t>sentii</w:t>
      </w:r>
      <w:proofErr w:type="spellEnd"/>
      <w:r w:rsidRPr="00851643">
        <w:rPr>
          <w:lang w:val="en-US"/>
        </w:rPr>
        <w:t xml:space="preserve"> tale </w:t>
      </w:r>
      <w:proofErr w:type="spellStart"/>
      <w:r w:rsidRPr="00851643">
        <w:rPr>
          <w:lang w:val="en-US"/>
        </w:rPr>
        <w:t>dolceza</w:t>
      </w:r>
      <w:proofErr w:type="spellEnd"/>
      <w:r w:rsidRPr="00851643">
        <w:rPr>
          <w:lang w:val="en-US"/>
        </w:rPr>
        <w:t xml:space="preserve"> </w:t>
      </w:r>
      <w:proofErr w:type="spellStart"/>
      <w:r w:rsidRPr="00851643">
        <w:rPr>
          <w:lang w:val="en-US"/>
        </w:rPr>
        <w:t>spirituale</w:t>
      </w:r>
      <w:proofErr w:type="spellEnd"/>
      <w:r w:rsidRPr="00851643">
        <w:rPr>
          <w:lang w:val="en-US"/>
        </w:rPr>
        <w:t xml:space="preserve">. </w:t>
      </w:r>
      <w:proofErr w:type="spellStart"/>
      <w:r w:rsidRPr="00851643">
        <w:rPr>
          <w:lang w:val="en-US"/>
        </w:rPr>
        <w:t>Veramente</w:t>
      </w:r>
      <w:proofErr w:type="spellEnd"/>
      <w:r w:rsidRPr="00851643">
        <w:rPr>
          <w:lang w:val="en-US"/>
        </w:rPr>
        <w:t xml:space="preserve"> era </w:t>
      </w:r>
      <w:proofErr w:type="spellStart"/>
      <w:r w:rsidRPr="00851643">
        <w:rPr>
          <w:lang w:val="en-US"/>
        </w:rPr>
        <w:t>piena</w:t>
      </w:r>
      <w:proofErr w:type="spellEnd"/>
      <w:r w:rsidRPr="00851643">
        <w:rPr>
          <w:lang w:val="en-US"/>
        </w:rPr>
        <w:t xml:space="preserve"> la chiesa </w:t>
      </w:r>
      <w:proofErr w:type="spellStart"/>
      <w:r w:rsidRPr="00851643">
        <w:rPr>
          <w:lang w:val="en-US"/>
        </w:rPr>
        <w:t>d’angioli</w:t>
      </w:r>
      <w:proofErr w:type="spellEnd"/>
      <w:r w:rsidRPr="00851643">
        <w:rPr>
          <w:lang w:val="en-US"/>
        </w:rPr>
        <w:t xml:space="preserve">.” Luca </w:t>
      </w:r>
      <w:proofErr w:type="spellStart"/>
      <w:r w:rsidRPr="00851643">
        <w:rPr>
          <w:lang w:val="en-US"/>
        </w:rPr>
        <w:t>Landucci</w:t>
      </w:r>
      <w:proofErr w:type="spellEnd"/>
      <w:r w:rsidRPr="00851643">
        <w:rPr>
          <w:lang w:val="en-US"/>
        </w:rPr>
        <w:t xml:space="preserve">, </w:t>
      </w:r>
      <w:proofErr w:type="spellStart"/>
      <w:r w:rsidRPr="00851643">
        <w:rPr>
          <w:i/>
          <w:iCs/>
          <w:lang w:val="en-US"/>
        </w:rPr>
        <w:t>Diario</w:t>
      </w:r>
      <w:proofErr w:type="spellEnd"/>
      <w:r w:rsidRPr="00851643">
        <w:rPr>
          <w:i/>
          <w:iCs/>
          <w:lang w:val="en-US"/>
        </w:rPr>
        <w:t xml:space="preserve"> </w:t>
      </w:r>
      <w:proofErr w:type="spellStart"/>
      <w:r w:rsidRPr="00851643">
        <w:rPr>
          <w:i/>
          <w:iCs/>
          <w:lang w:val="en-US"/>
        </w:rPr>
        <w:t>Fiorentino</w:t>
      </w:r>
      <w:proofErr w:type="spellEnd"/>
      <w:r w:rsidRPr="00851643">
        <w:rPr>
          <w:i/>
          <w:iCs/>
          <w:lang w:val="en-US"/>
        </w:rPr>
        <w:t xml:space="preserve"> Dal 1450 Al 1516 Di Luca </w:t>
      </w:r>
      <w:proofErr w:type="spellStart"/>
      <w:r w:rsidRPr="00851643">
        <w:rPr>
          <w:i/>
          <w:iCs/>
          <w:lang w:val="en-US"/>
        </w:rPr>
        <w:t>Landucci</w:t>
      </w:r>
      <w:proofErr w:type="spellEnd"/>
      <w:r w:rsidRPr="00851643">
        <w:rPr>
          <w:i/>
          <w:iCs/>
          <w:lang w:val="en-US"/>
        </w:rPr>
        <w:t xml:space="preserve"> </w:t>
      </w:r>
      <w:proofErr w:type="spellStart"/>
      <w:r w:rsidRPr="00851643">
        <w:rPr>
          <w:i/>
          <w:iCs/>
          <w:lang w:val="en-US"/>
        </w:rPr>
        <w:t>Continuato</w:t>
      </w:r>
      <w:proofErr w:type="spellEnd"/>
      <w:r w:rsidRPr="00851643">
        <w:rPr>
          <w:i/>
          <w:iCs/>
          <w:lang w:val="en-US"/>
        </w:rPr>
        <w:t xml:space="preserve"> Da Un </w:t>
      </w:r>
      <w:proofErr w:type="spellStart"/>
      <w:r w:rsidRPr="00851643">
        <w:rPr>
          <w:i/>
          <w:iCs/>
          <w:lang w:val="en-US"/>
        </w:rPr>
        <w:t>Anonimo</w:t>
      </w:r>
      <w:proofErr w:type="spellEnd"/>
      <w:r w:rsidRPr="00851643">
        <w:rPr>
          <w:i/>
          <w:iCs/>
          <w:lang w:val="en-US"/>
        </w:rPr>
        <w:t xml:space="preserve"> </w:t>
      </w:r>
      <w:proofErr w:type="spellStart"/>
      <w:r w:rsidRPr="00851643">
        <w:rPr>
          <w:i/>
          <w:iCs/>
          <w:lang w:val="en-US"/>
        </w:rPr>
        <w:t>Fino</w:t>
      </w:r>
      <w:proofErr w:type="spellEnd"/>
      <w:r w:rsidRPr="00851643">
        <w:rPr>
          <w:i/>
          <w:iCs/>
          <w:lang w:val="en-US"/>
        </w:rPr>
        <w:t xml:space="preserve"> Al 1542</w:t>
      </w:r>
      <w:r w:rsidRPr="00851643">
        <w:rPr>
          <w:lang w:val="en-US"/>
        </w:rPr>
        <w:t xml:space="preserve">, ed. </w:t>
      </w:r>
      <w:proofErr w:type="spellStart"/>
      <w:r w:rsidRPr="00851643">
        <w:rPr>
          <w:lang w:val="en-US"/>
        </w:rPr>
        <w:t>Iodoco</w:t>
      </w:r>
      <w:proofErr w:type="spellEnd"/>
      <w:r w:rsidRPr="00851643">
        <w:rPr>
          <w:lang w:val="en-US"/>
        </w:rPr>
        <w:t xml:space="preserve"> del </w:t>
      </w:r>
      <w:proofErr w:type="spellStart"/>
      <w:r w:rsidRPr="00851643">
        <w:rPr>
          <w:lang w:val="en-US"/>
        </w:rPr>
        <w:t>Badia</w:t>
      </w:r>
      <w:proofErr w:type="spellEnd"/>
      <w:r w:rsidRPr="00851643">
        <w:rPr>
          <w:lang w:val="en-US"/>
        </w:rPr>
        <w:t xml:space="preserve"> (Florence: </w:t>
      </w:r>
      <w:proofErr w:type="spellStart"/>
      <w:r w:rsidRPr="00851643">
        <w:rPr>
          <w:lang w:val="en-US"/>
        </w:rPr>
        <w:t>Sansoni</w:t>
      </w:r>
      <w:proofErr w:type="spellEnd"/>
      <w:r w:rsidRPr="00851643">
        <w:rPr>
          <w:lang w:val="en-US"/>
        </w:rPr>
        <w:t xml:space="preserve">, 1883), 136–37; English translation from Luca </w:t>
      </w:r>
      <w:proofErr w:type="spellStart"/>
      <w:r w:rsidRPr="00851643">
        <w:rPr>
          <w:lang w:val="en-US"/>
        </w:rPr>
        <w:t>Landucci</w:t>
      </w:r>
      <w:proofErr w:type="spellEnd"/>
      <w:r w:rsidRPr="00851643">
        <w:rPr>
          <w:lang w:val="en-US"/>
        </w:rPr>
        <w:t xml:space="preserve">, </w:t>
      </w:r>
      <w:r w:rsidRPr="00851643">
        <w:rPr>
          <w:i/>
          <w:iCs/>
          <w:lang w:val="en-US"/>
        </w:rPr>
        <w:t xml:space="preserve">A Florentine Diary from 1450 to 1516 by Luca </w:t>
      </w:r>
      <w:proofErr w:type="spellStart"/>
      <w:r w:rsidRPr="00851643">
        <w:rPr>
          <w:i/>
          <w:iCs/>
          <w:lang w:val="en-US"/>
        </w:rPr>
        <w:t>Landucci</w:t>
      </w:r>
      <w:proofErr w:type="spellEnd"/>
      <w:r w:rsidRPr="00851643">
        <w:rPr>
          <w:i/>
          <w:iCs/>
          <w:lang w:val="en-US"/>
        </w:rPr>
        <w:t xml:space="preserve"> Continued by an Anonymous Writer till 1542 with Notes by </w:t>
      </w:r>
      <w:proofErr w:type="spellStart"/>
      <w:r w:rsidRPr="00851643">
        <w:rPr>
          <w:i/>
          <w:iCs/>
          <w:lang w:val="en-US"/>
        </w:rPr>
        <w:t>Iodoco</w:t>
      </w:r>
      <w:proofErr w:type="spellEnd"/>
      <w:r w:rsidRPr="00851643">
        <w:rPr>
          <w:i/>
          <w:iCs/>
          <w:lang w:val="en-US"/>
        </w:rPr>
        <w:t xml:space="preserve"> Dal </w:t>
      </w:r>
      <w:proofErr w:type="spellStart"/>
      <w:r w:rsidRPr="00851643">
        <w:rPr>
          <w:i/>
          <w:iCs/>
          <w:lang w:val="en-US"/>
        </w:rPr>
        <w:t>Badia</w:t>
      </w:r>
      <w:proofErr w:type="spellEnd"/>
      <w:r w:rsidRPr="00851643">
        <w:rPr>
          <w:lang w:val="en-US"/>
        </w:rPr>
        <w:t xml:space="preserve">, ed. </w:t>
      </w:r>
      <w:proofErr w:type="spellStart"/>
      <w:r w:rsidRPr="00851643">
        <w:rPr>
          <w:lang w:val="en-US"/>
        </w:rPr>
        <w:t>Iodoco</w:t>
      </w:r>
      <w:proofErr w:type="spellEnd"/>
      <w:r w:rsidRPr="00851643">
        <w:rPr>
          <w:lang w:val="en-US"/>
        </w:rPr>
        <w:t xml:space="preserve"> Del </w:t>
      </w:r>
      <w:proofErr w:type="spellStart"/>
      <w:r w:rsidRPr="00851643">
        <w:rPr>
          <w:lang w:val="en-US"/>
        </w:rPr>
        <w:t>Badia</w:t>
      </w:r>
      <w:proofErr w:type="spellEnd"/>
      <w:r w:rsidRPr="00851643">
        <w:rPr>
          <w:lang w:val="en-US"/>
        </w:rPr>
        <w:t>, trans. Alice de Rosen Jervis (London; New York: Dent Dutton, 1927), 111.</w:t>
      </w:r>
    </w:p>
  </w:footnote>
  <w:footnote w:id="457">
    <w:p w14:paraId="057B212F" w14:textId="77777777" w:rsidR="00182EED" w:rsidRDefault="00182EED" w:rsidP="008A116C">
      <w:pPr>
        <w:pStyle w:val="FootnoteText"/>
      </w:pPr>
      <w:r w:rsidRPr="00073E38">
        <w:rPr>
          <w:rStyle w:val="FootnoteReference"/>
        </w:rPr>
        <w:footnoteRef/>
      </w:r>
      <w:r>
        <w:t xml:space="preserve"> </w:t>
      </w:r>
      <w:r w:rsidRPr="00851643">
        <w:rPr>
          <w:lang w:val="en-US"/>
        </w:rPr>
        <w:t xml:space="preserve">“Due </w:t>
      </w:r>
      <w:proofErr w:type="spellStart"/>
      <w:r w:rsidRPr="00851643">
        <w:rPr>
          <w:lang w:val="en-US"/>
        </w:rPr>
        <w:t>fanciulli</w:t>
      </w:r>
      <w:proofErr w:type="spellEnd"/>
      <w:r w:rsidRPr="00851643">
        <w:rPr>
          <w:lang w:val="en-US"/>
        </w:rPr>
        <w:t xml:space="preserve"> </w:t>
      </w:r>
      <w:proofErr w:type="spellStart"/>
      <w:r w:rsidRPr="00851643">
        <w:rPr>
          <w:lang w:val="en-US"/>
        </w:rPr>
        <w:t>che</w:t>
      </w:r>
      <w:proofErr w:type="spellEnd"/>
      <w:r w:rsidRPr="00851643">
        <w:rPr>
          <w:lang w:val="en-US"/>
        </w:rPr>
        <w:t xml:space="preserve"> </w:t>
      </w:r>
      <w:proofErr w:type="spellStart"/>
      <w:r w:rsidRPr="00851643">
        <w:rPr>
          <w:lang w:val="en-US"/>
        </w:rPr>
        <w:t>suonano</w:t>
      </w:r>
      <w:proofErr w:type="spellEnd"/>
      <w:r w:rsidRPr="00851643">
        <w:rPr>
          <w:lang w:val="en-US"/>
        </w:rPr>
        <w:t xml:space="preserve"> </w:t>
      </w:r>
      <w:proofErr w:type="spellStart"/>
      <w:r w:rsidRPr="00851643">
        <w:rPr>
          <w:lang w:val="en-US"/>
        </w:rPr>
        <w:t>uno</w:t>
      </w:r>
      <w:proofErr w:type="spellEnd"/>
      <w:r w:rsidRPr="00851643">
        <w:rPr>
          <w:lang w:val="en-US"/>
        </w:rPr>
        <w:t xml:space="preserve"> </w:t>
      </w:r>
      <w:proofErr w:type="spellStart"/>
      <w:r w:rsidRPr="00851643">
        <w:rPr>
          <w:lang w:val="en-US"/>
        </w:rPr>
        <w:t>il</w:t>
      </w:r>
      <w:proofErr w:type="spellEnd"/>
      <w:r w:rsidRPr="00851643">
        <w:rPr>
          <w:lang w:val="en-US"/>
        </w:rPr>
        <w:t xml:space="preserve"> </w:t>
      </w:r>
      <w:proofErr w:type="spellStart"/>
      <w:r w:rsidRPr="00851643">
        <w:rPr>
          <w:lang w:val="en-US"/>
        </w:rPr>
        <w:t>liuto</w:t>
      </w:r>
      <w:proofErr w:type="spellEnd"/>
      <w:r w:rsidRPr="00851643">
        <w:rPr>
          <w:lang w:val="en-US"/>
        </w:rPr>
        <w:t xml:space="preserve"> e </w:t>
      </w:r>
      <w:proofErr w:type="spellStart"/>
      <w:r w:rsidRPr="00851643">
        <w:rPr>
          <w:lang w:val="en-US"/>
        </w:rPr>
        <w:t>l’altro</w:t>
      </w:r>
      <w:proofErr w:type="spellEnd"/>
      <w:r w:rsidRPr="00851643">
        <w:rPr>
          <w:lang w:val="en-US"/>
        </w:rPr>
        <w:t xml:space="preserve"> la lira.” Vasari, </w:t>
      </w:r>
      <w:r w:rsidRPr="00851643">
        <w:rPr>
          <w:i/>
          <w:iCs/>
          <w:lang w:val="en-US"/>
        </w:rPr>
        <w:t xml:space="preserve">Le </w:t>
      </w:r>
      <w:proofErr w:type="spellStart"/>
      <w:r w:rsidRPr="00851643">
        <w:rPr>
          <w:i/>
          <w:iCs/>
          <w:lang w:val="en-US"/>
        </w:rPr>
        <w:t>vite</w:t>
      </w:r>
      <w:proofErr w:type="spellEnd"/>
      <w:r w:rsidRPr="00851643">
        <w:rPr>
          <w:i/>
          <w:iCs/>
          <w:lang w:val="en-US"/>
        </w:rPr>
        <w:t xml:space="preserve"> </w:t>
      </w:r>
      <w:proofErr w:type="spellStart"/>
      <w:r w:rsidRPr="00851643">
        <w:rPr>
          <w:i/>
          <w:iCs/>
          <w:lang w:val="en-US"/>
        </w:rPr>
        <w:t>dei</w:t>
      </w:r>
      <w:proofErr w:type="spellEnd"/>
      <w:r w:rsidRPr="00851643">
        <w:rPr>
          <w:i/>
          <w:iCs/>
          <w:lang w:val="en-US"/>
        </w:rPr>
        <w:t xml:space="preserve"> </w:t>
      </w:r>
      <w:proofErr w:type="spellStart"/>
      <w:r w:rsidRPr="00851643">
        <w:rPr>
          <w:i/>
          <w:iCs/>
          <w:lang w:val="en-US"/>
        </w:rPr>
        <w:t>più</w:t>
      </w:r>
      <w:proofErr w:type="spellEnd"/>
      <w:r w:rsidRPr="00851643">
        <w:rPr>
          <w:i/>
          <w:iCs/>
          <w:lang w:val="en-US"/>
        </w:rPr>
        <w:t xml:space="preserve"> </w:t>
      </w:r>
      <w:proofErr w:type="spellStart"/>
      <w:r w:rsidRPr="00851643">
        <w:rPr>
          <w:i/>
          <w:iCs/>
          <w:lang w:val="en-US"/>
        </w:rPr>
        <w:t>eccellenti</w:t>
      </w:r>
      <w:proofErr w:type="spellEnd"/>
      <w:r w:rsidRPr="00851643">
        <w:rPr>
          <w:i/>
          <w:iCs/>
          <w:lang w:val="en-US"/>
        </w:rPr>
        <w:t xml:space="preserve"> </w:t>
      </w:r>
      <w:proofErr w:type="spellStart"/>
      <w:r w:rsidRPr="00851643">
        <w:rPr>
          <w:i/>
          <w:iCs/>
          <w:lang w:val="en-US"/>
        </w:rPr>
        <w:t>pittori</w:t>
      </w:r>
      <w:proofErr w:type="spellEnd"/>
      <w:r w:rsidRPr="00851643">
        <w:rPr>
          <w:i/>
          <w:iCs/>
          <w:lang w:val="en-US"/>
        </w:rPr>
        <w:t xml:space="preserve">, </w:t>
      </w:r>
      <w:proofErr w:type="spellStart"/>
      <w:r w:rsidRPr="00851643">
        <w:rPr>
          <w:i/>
          <w:iCs/>
          <w:lang w:val="en-US"/>
        </w:rPr>
        <w:t>scultori</w:t>
      </w:r>
      <w:proofErr w:type="spellEnd"/>
      <w:r w:rsidRPr="00851643">
        <w:rPr>
          <w:i/>
          <w:iCs/>
          <w:lang w:val="en-US"/>
        </w:rPr>
        <w:t xml:space="preserve"> e </w:t>
      </w:r>
      <w:proofErr w:type="spellStart"/>
      <w:r w:rsidRPr="00851643">
        <w:rPr>
          <w:i/>
          <w:iCs/>
          <w:lang w:val="en-US"/>
        </w:rPr>
        <w:t>architetti</w:t>
      </w:r>
      <w:proofErr w:type="spellEnd"/>
      <w:r w:rsidRPr="00851643">
        <w:rPr>
          <w:lang w:val="en-US"/>
        </w:rPr>
        <w:t xml:space="preserve">, 592; Gill, </w:t>
      </w:r>
      <w:r w:rsidRPr="00851643">
        <w:rPr>
          <w:i/>
          <w:iCs/>
          <w:lang w:val="en-US"/>
        </w:rPr>
        <w:t>Angels and the Order of Heaven in Medieval and Renaissance Italy</w:t>
      </w:r>
      <w:r w:rsidRPr="00851643">
        <w:rPr>
          <w:lang w:val="en-US"/>
        </w:rPr>
        <w:t>, 123.</w:t>
      </w:r>
    </w:p>
  </w:footnote>
  <w:footnote w:id="458">
    <w:p w14:paraId="5FB4C3A4" w14:textId="77777777" w:rsidR="00182EED" w:rsidRDefault="00182EED" w:rsidP="008A116C">
      <w:pPr>
        <w:pStyle w:val="FootnoteText"/>
      </w:pPr>
      <w:r w:rsidRPr="00073E38">
        <w:rPr>
          <w:rStyle w:val="FootnoteReference"/>
        </w:rPr>
        <w:footnoteRef/>
      </w:r>
      <w:r>
        <w:t xml:space="preserve"> </w:t>
      </w:r>
      <w:r>
        <w:rPr>
          <w:lang w:val="en-US"/>
        </w:rPr>
        <w:t>“</w:t>
      </w:r>
      <w:proofErr w:type="spellStart"/>
      <w:r>
        <w:rPr>
          <w:lang w:val="en-US"/>
        </w:rPr>
        <w:t>G</w:t>
      </w:r>
      <w:r w:rsidRPr="00490C33">
        <w:rPr>
          <w:lang w:val="en-US"/>
        </w:rPr>
        <w:t>li</w:t>
      </w:r>
      <w:proofErr w:type="spellEnd"/>
      <w:r w:rsidRPr="00490C33">
        <w:rPr>
          <w:lang w:val="en-US"/>
        </w:rPr>
        <w:t xml:space="preserve"> </w:t>
      </w:r>
      <w:proofErr w:type="spellStart"/>
      <w:r w:rsidRPr="00490C33">
        <w:rPr>
          <w:lang w:val="en-US"/>
        </w:rPr>
        <w:t>suoi</w:t>
      </w:r>
      <w:proofErr w:type="spellEnd"/>
      <w:r w:rsidRPr="00490C33">
        <w:rPr>
          <w:lang w:val="en-US"/>
        </w:rPr>
        <w:t xml:space="preserve"> </w:t>
      </w:r>
      <w:proofErr w:type="spellStart"/>
      <w:r w:rsidRPr="00490C33">
        <w:rPr>
          <w:lang w:val="en-US"/>
        </w:rPr>
        <w:t>angelici</w:t>
      </w:r>
      <w:proofErr w:type="spellEnd"/>
      <w:r w:rsidRPr="00490C33">
        <w:rPr>
          <w:lang w:val="en-US"/>
        </w:rPr>
        <w:t xml:space="preserve"> et </w:t>
      </w:r>
      <w:proofErr w:type="spellStart"/>
      <w:r w:rsidRPr="00490C33">
        <w:rPr>
          <w:lang w:val="en-US"/>
        </w:rPr>
        <w:t>dolcissimi</w:t>
      </w:r>
      <w:proofErr w:type="spellEnd"/>
      <w:r w:rsidRPr="00490C33">
        <w:rPr>
          <w:lang w:val="en-US"/>
        </w:rPr>
        <w:t xml:space="preserve"> </w:t>
      </w:r>
      <w:proofErr w:type="spellStart"/>
      <w:r w:rsidRPr="00490C33">
        <w:rPr>
          <w:lang w:val="en-US"/>
        </w:rPr>
        <w:t>figl</w:t>
      </w:r>
      <w:proofErr w:type="spellEnd"/>
      <w:r w:rsidRPr="00490C33">
        <w:rPr>
          <w:lang w:val="en-US"/>
        </w:rPr>
        <w:t>[</w:t>
      </w:r>
      <w:proofErr w:type="spellStart"/>
      <w:r w:rsidRPr="00490C33">
        <w:rPr>
          <w:lang w:val="en-US"/>
        </w:rPr>
        <w:t>i</w:t>
      </w:r>
      <w:proofErr w:type="spellEnd"/>
      <w:r w:rsidRPr="00490C33">
        <w:rPr>
          <w:lang w:val="en-US"/>
        </w:rPr>
        <w:t>]</w:t>
      </w:r>
      <w:proofErr w:type="spellStart"/>
      <w:r w:rsidRPr="00490C33">
        <w:rPr>
          <w:lang w:val="en-US"/>
        </w:rPr>
        <w:t>uoli</w:t>
      </w:r>
      <w:proofErr w:type="spellEnd"/>
      <w:r w:rsidRPr="00490C33">
        <w:rPr>
          <w:lang w:val="en-US"/>
        </w:rPr>
        <w:t xml:space="preserve"> … </w:t>
      </w:r>
      <w:proofErr w:type="spellStart"/>
      <w:r w:rsidRPr="00490C33">
        <w:rPr>
          <w:lang w:val="en-US"/>
        </w:rPr>
        <w:t>certo</w:t>
      </w:r>
      <w:proofErr w:type="spellEnd"/>
      <w:r w:rsidRPr="00490C33">
        <w:rPr>
          <w:lang w:val="en-US"/>
        </w:rPr>
        <w:t xml:space="preserve"> mi pare, </w:t>
      </w:r>
      <w:proofErr w:type="spellStart"/>
      <w:r w:rsidRPr="00490C33">
        <w:rPr>
          <w:lang w:val="en-US"/>
        </w:rPr>
        <w:t>quando</w:t>
      </w:r>
      <w:proofErr w:type="spellEnd"/>
      <w:r w:rsidRPr="00490C33">
        <w:rPr>
          <w:lang w:val="en-US"/>
        </w:rPr>
        <w:t xml:space="preserve"> </w:t>
      </w:r>
      <w:proofErr w:type="spellStart"/>
      <w:r w:rsidRPr="00490C33">
        <w:rPr>
          <w:lang w:val="en-US"/>
        </w:rPr>
        <w:t>io</w:t>
      </w:r>
      <w:proofErr w:type="spellEnd"/>
      <w:r w:rsidRPr="00490C33">
        <w:rPr>
          <w:lang w:val="en-US"/>
        </w:rPr>
        <w:t xml:space="preserve"> </w:t>
      </w:r>
      <w:proofErr w:type="spellStart"/>
      <w:r w:rsidRPr="00490C33">
        <w:rPr>
          <w:lang w:val="en-US"/>
        </w:rPr>
        <w:t>gli</w:t>
      </w:r>
      <w:proofErr w:type="spellEnd"/>
      <w:r w:rsidRPr="00490C33">
        <w:rPr>
          <w:lang w:val="en-US"/>
        </w:rPr>
        <w:t xml:space="preserve"> </w:t>
      </w:r>
      <w:proofErr w:type="spellStart"/>
      <w:r w:rsidRPr="00490C33">
        <w:rPr>
          <w:lang w:val="en-US"/>
        </w:rPr>
        <w:t>veggo</w:t>
      </w:r>
      <w:proofErr w:type="spellEnd"/>
      <w:r w:rsidRPr="00490C33">
        <w:rPr>
          <w:lang w:val="en-US"/>
        </w:rPr>
        <w:t xml:space="preserve">, </w:t>
      </w:r>
      <w:proofErr w:type="spellStart"/>
      <w:r w:rsidRPr="00490C33">
        <w:rPr>
          <w:lang w:val="en-US"/>
        </w:rPr>
        <w:t>vedere</w:t>
      </w:r>
      <w:proofErr w:type="spellEnd"/>
      <w:r w:rsidRPr="00490C33">
        <w:rPr>
          <w:lang w:val="en-US"/>
        </w:rPr>
        <w:t xml:space="preserve"> </w:t>
      </w:r>
      <w:proofErr w:type="spellStart"/>
      <w:r w:rsidRPr="00490C33">
        <w:rPr>
          <w:lang w:val="en-US"/>
        </w:rPr>
        <w:t>tanti</w:t>
      </w:r>
      <w:proofErr w:type="spellEnd"/>
      <w:r w:rsidRPr="00490C33">
        <w:rPr>
          <w:lang w:val="en-US"/>
        </w:rPr>
        <w:t xml:space="preserve"> </w:t>
      </w:r>
      <w:proofErr w:type="spellStart"/>
      <w:r w:rsidRPr="00490C33">
        <w:rPr>
          <w:lang w:val="en-US"/>
        </w:rPr>
        <w:t>angeli</w:t>
      </w:r>
      <w:proofErr w:type="spellEnd"/>
      <w:r w:rsidRPr="00490C33">
        <w:rPr>
          <w:lang w:val="en-US"/>
        </w:rPr>
        <w:t xml:space="preserve"> et </w:t>
      </w:r>
      <w:proofErr w:type="spellStart"/>
      <w:r w:rsidRPr="00490C33">
        <w:rPr>
          <w:lang w:val="en-US"/>
        </w:rPr>
        <w:t>udendoli</w:t>
      </w:r>
      <w:proofErr w:type="spellEnd"/>
      <w:r w:rsidRPr="00490C33">
        <w:rPr>
          <w:lang w:val="en-US"/>
        </w:rPr>
        <w:t xml:space="preserve"> </w:t>
      </w:r>
      <w:proofErr w:type="spellStart"/>
      <w:r w:rsidRPr="00490C33">
        <w:rPr>
          <w:lang w:val="en-US"/>
        </w:rPr>
        <w:t>sentire</w:t>
      </w:r>
      <w:proofErr w:type="spellEnd"/>
      <w:r w:rsidRPr="00490C33">
        <w:rPr>
          <w:lang w:val="en-US"/>
        </w:rPr>
        <w:t xml:space="preserve"> </w:t>
      </w:r>
      <w:proofErr w:type="spellStart"/>
      <w:r w:rsidRPr="00490C33">
        <w:rPr>
          <w:lang w:val="en-US"/>
        </w:rPr>
        <w:t>tanti</w:t>
      </w:r>
      <w:proofErr w:type="spellEnd"/>
      <w:r w:rsidRPr="00490C33">
        <w:rPr>
          <w:lang w:val="en-US"/>
        </w:rPr>
        <w:t xml:space="preserve"> </w:t>
      </w:r>
      <w:proofErr w:type="spellStart"/>
      <w:r w:rsidRPr="00490C33">
        <w:rPr>
          <w:lang w:val="en-US"/>
        </w:rPr>
        <w:t>Spiriti</w:t>
      </w:r>
      <w:proofErr w:type="spellEnd"/>
      <w:r w:rsidRPr="00490C33">
        <w:rPr>
          <w:lang w:val="en-US"/>
        </w:rPr>
        <w:t xml:space="preserve"> del </w:t>
      </w:r>
      <w:proofErr w:type="spellStart"/>
      <w:r w:rsidRPr="00490C33">
        <w:rPr>
          <w:lang w:val="en-US"/>
        </w:rPr>
        <w:t>cielo</w:t>
      </w:r>
      <w:proofErr w:type="spellEnd"/>
      <w:r w:rsidRPr="00490C33">
        <w:rPr>
          <w:lang w:val="en-US"/>
        </w:rPr>
        <w:t>”.</w:t>
      </w:r>
      <w:r>
        <w:rPr>
          <w:lang w:val="en-US"/>
        </w:rPr>
        <w:t xml:space="preserve"> </w:t>
      </w:r>
      <w:proofErr w:type="spellStart"/>
      <w:r w:rsidRPr="00490C33">
        <w:rPr>
          <w:lang w:val="en-US"/>
        </w:rPr>
        <w:t>Agnolo</w:t>
      </w:r>
      <w:proofErr w:type="spellEnd"/>
      <w:r w:rsidRPr="00490C33">
        <w:rPr>
          <w:lang w:val="en-US"/>
        </w:rPr>
        <w:t xml:space="preserve"> </w:t>
      </w:r>
      <w:proofErr w:type="spellStart"/>
      <w:r w:rsidRPr="00490C33">
        <w:rPr>
          <w:lang w:val="en-US"/>
        </w:rPr>
        <w:t>Bronzino</w:t>
      </w:r>
      <w:proofErr w:type="spellEnd"/>
      <w:r w:rsidRPr="00490C33">
        <w:rPr>
          <w:lang w:val="en-US"/>
        </w:rPr>
        <w:t xml:space="preserve">, </w:t>
      </w:r>
      <w:r w:rsidRPr="00A548D8">
        <w:rPr>
          <w:i/>
          <w:iCs/>
          <w:lang w:val="en-US"/>
        </w:rPr>
        <w:t>Letter to Pier Francesco Riccio in Florence</w:t>
      </w:r>
      <w:r w:rsidRPr="00490C33">
        <w:rPr>
          <w:lang w:val="en-US"/>
        </w:rPr>
        <w:t>, written in Pisa on 27 January 1551</w:t>
      </w:r>
      <w:r>
        <w:rPr>
          <w:lang w:val="en-US"/>
        </w:rPr>
        <w:t xml:space="preserve">. </w:t>
      </w:r>
      <w:r w:rsidRPr="00490C33">
        <w:rPr>
          <w:lang w:val="en-US"/>
        </w:rPr>
        <w:t xml:space="preserve">This letter is transcribed in its entirety in Detlef </w:t>
      </w:r>
      <w:proofErr w:type="spellStart"/>
      <w:r w:rsidRPr="00490C33">
        <w:rPr>
          <w:lang w:val="en-US"/>
        </w:rPr>
        <w:t>Heikamp</w:t>
      </w:r>
      <w:proofErr w:type="spellEnd"/>
      <w:r w:rsidRPr="00490C33">
        <w:rPr>
          <w:lang w:val="en-US"/>
        </w:rPr>
        <w:t>, “</w:t>
      </w:r>
      <w:proofErr w:type="spellStart"/>
      <w:r w:rsidRPr="00490C33">
        <w:rPr>
          <w:lang w:val="en-US"/>
        </w:rPr>
        <w:t>Agnolo</w:t>
      </w:r>
      <w:proofErr w:type="spellEnd"/>
      <w:r w:rsidRPr="00490C33">
        <w:rPr>
          <w:lang w:val="en-US"/>
        </w:rPr>
        <w:t xml:space="preserve"> </w:t>
      </w:r>
      <w:proofErr w:type="spellStart"/>
      <w:r w:rsidRPr="00490C33">
        <w:rPr>
          <w:lang w:val="en-US"/>
        </w:rPr>
        <w:t>Bronzinos</w:t>
      </w:r>
      <w:proofErr w:type="spellEnd"/>
      <w:r w:rsidRPr="00490C33">
        <w:rPr>
          <w:lang w:val="en-US"/>
        </w:rPr>
        <w:t xml:space="preserve"> </w:t>
      </w:r>
      <w:proofErr w:type="spellStart"/>
      <w:r w:rsidRPr="00490C33">
        <w:rPr>
          <w:lang w:val="en-US"/>
        </w:rPr>
        <w:t>Kinderbiltnisse</w:t>
      </w:r>
      <w:proofErr w:type="spellEnd"/>
      <w:r w:rsidRPr="00490C33">
        <w:rPr>
          <w:lang w:val="en-US"/>
        </w:rPr>
        <w:t xml:space="preserve"> </w:t>
      </w:r>
      <w:proofErr w:type="spellStart"/>
      <w:r w:rsidRPr="00490C33">
        <w:rPr>
          <w:lang w:val="en-US"/>
        </w:rPr>
        <w:t>Aus</w:t>
      </w:r>
      <w:proofErr w:type="spellEnd"/>
      <w:r w:rsidRPr="00490C33">
        <w:rPr>
          <w:lang w:val="en-US"/>
        </w:rPr>
        <w:t xml:space="preserve"> Dem Jahre 1551,” </w:t>
      </w:r>
      <w:proofErr w:type="spellStart"/>
      <w:r w:rsidRPr="00490C33">
        <w:rPr>
          <w:i/>
          <w:iCs/>
          <w:lang w:val="en-US"/>
        </w:rPr>
        <w:t>Mittelungen</w:t>
      </w:r>
      <w:proofErr w:type="spellEnd"/>
      <w:r w:rsidRPr="00490C33">
        <w:rPr>
          <w:i/>
          <w:iCs/>
          <w:lang w:val="en-US"/>
        </w:rPr>
        <w:t xml:space="preserve"> Des </w:t>
      </w:r>
      <w:proofErr w:type="spellStart"/>
      <w:r w:rsidRPr="00490C33">
        <w:rPr>
          <w:i/>
          <w:iCs/>
          <w:lang w:val="en-US"/>
        </w:rPr>
        <w:t>Kunsthistorischen</w:t>
      </w:r>
      <w:proofErr w:type="spellEnd"/>
      <w:r w:rsidRPr="00490C33">
        <w:rPr>
          <w:i/>
          <w:iCs/>
          <w:lang w:val="en-US"/>
        </w:rPr>
        <w:t xml:space="preserve"> Institutes in </w:t>
      </w:r>
      <w:proofErr w:type="spellStart"/>
      <w:r w:rsidRPr="00490C33">
        <w:rPr>
          <w:i/>
          <w:iCs/>
          <w:lang w:val="en-US"/>
        </w:rPr>
        <w:t>Florenz</w:t>
      </w:r>
      <w:proofErr w:type="spellEnd"/>
      <w:r w:rsidRPr="00490C33">
        <w:rPr>
          <w:lang w:val="en-US"/>
        </w:rPr>
        <w:t xml:space="preserve"> 7, no. 2 (August 1955): 137–38; this passage is also quoted in a different translation in Nancy Edwards, “Entry 128,” in </w:t>
      </w:r>
      <w:r w:rsidRPr="00490C33">
        <w:rPr>
          <w:i/>
          <w:iCs/>
          <w:lang w:val="en-US"/>
        </w:rPr>
        <w:t>Art and Love in Renaissance Italy</w:t>
      </w:r>
      <w:r w:rsidRPr="00490C33">
        <w:rPr>
          <w:lang w:val="en-US"/>
        </w:rPr>
        <w:t>, ed. Andrea Bayer (New York, New Haven, Conn.; London: Metropolitan Museum of Art; Yale University Press, 2008), 277.</w:t>
      </w:r>
    </w:p>
  </w:footnote>
  <w:footnote w:id="459">
    <w:p w14:paraId="34C253EE" w14:textId="77777777" w:rsidR="00182EED" w:rsidRDefault="00182EED" w:rsidP="008A116C">
      <w:pPr>
        <w:pStyle w:val="FootnoteText"/>
      </w:pPr>
      <w:r w:rsidRPr="00073E38">
        <w:rPr>
          <w:rStyle w:val="FootnoteReference"/>
        </w:rPr>
        <w:footnoteRef/>
      </w:r>
      <w:r>
        <w:t xml:space="preserve"> </w:t>
      </w:r>
      <w:r w:rsidRPr="00851643">
        <w:rPr>
          <w:lang w:val="en-US"/>
        </w:rPr>
        <w:t xml:space="preserve">See “Figure of a boy playing the bagpipes” in John Pope-Hennessy and Ronald W Lightbown, </w:t>
      </w:r>
      <w:r w:rsidRPr="00851643">
        <w:rPr>
          <w:i/>
          <w:iCs/>
          <w:lang w:val="en-US"/>
        </w:rPr>
        <w:t>Catalogue of Italian Sculpture in the Victoria and Albert Museum</w:t>
      </w:r>
      <w:r w:rsidRPr="00851643">
        <w:rPr>
          <w:lang w:val="en-US"/>
        </w:rPr>
        <w:t>, vol. I: Text. Eighth to Fifteenth Century (London: Her Majesty’s Stationery Office, 1964), 215–16</w:t>
      </w:r>
      <w:r>
        <w:rPr>
          <w:lang w:val="en-US"/>
        </w:rPr>
        <w:t>.</w:t>
      </w:r>
      <w:r w:rsidRPr="00851643">
        <w:rPr>
          <w:lang w:val="en-US"/>
        </w:rPr>
        <w:t xml:space="preserve"> On the statuette of a boy playing the bagpipes see </w:t>
      </w:r>
      <w:proofErr w:type="spellStart"/>
      <w:r w:rsidRPr="00851643">
        <w:rPr>
          <w:lang w:val="en-US"/>
        </w:rPr>
        <w:t>Reino</w:t>
      </w:r>
      <w:proofErr w:type="spellEnd"/>
      <w:r w:rsidRPr="00851643">
        <w:rPr>
          <w:lang w:val="en-US"/>
        </w:rPr>
        <w:t xml:space="preserve"> </w:t>
      </w:r>
      <w:proofErr w:type="spellStart"/>
      <w:r w:rsidRPr="00851643">
        <w:rPr>
          <w:lang w:val="en-US"/>
        </w:rPr>
        <w:t>Liefkes</w:t>
      </w:r>
      <w:proofErr w:type="spellEnd"/>
      <w:r w:rsidRPr="00851643">
        <w:rPr>
          <w:lang w:val="en-US"/>
        </w:rPr>
        <w:t xml:space="preserve">, </w:t>
      </w:r>
      <w:r w:rsidRPr="00851643">
        <w:rPr>
          <w:i/>
          <w:iCs/>
          <w:lang w:val="en-US"/>
        </w:rPr>
        <w:t>Masterpieces of World Ceramics in the Victoria and Albert Museum</w:t>
      </w:r>
      <w:r w:rsidRPr="00851643">
        <w:rPr>
          <w:lang w:val="en-US"/>
        </w:rPr>
        <w:t xml:space="preserve">, ed. </w:t>
      </w:r>
      <w:proofErr w:type="spellStart"/>
      <w:r w:rsidRPr="00851643">
        <w:rPr>
          <w:lang w:val="en-US"/>
        </w:rPr>
        <w:t>Reino</w:t>
      </w:r>
      <w:proofErr w:type="spellEnd"/>
      <w:r w:rsidRPr="00851643">
        <w:rPr>
          <w:lang w:val="en-US"/>
        </w:rPr>
        <w:t xml:space="preserve"> </w:t>
      </w:r>
      <w:proofErr w:type="spellStart"/>
      <w:r w:rsidRPr="00851643">
        <w:rPr>
          <w:lang w:val="en-US"/>
        </w:rPr>
        <w:t>Liefkes</w:t>
      </w:r>
      <w:proofErr w:type="spellEnd"/>
      <w:r w:rsidRPr="00851643">
        <w:rPr>
          <w:lang w:val="en-US"/>
        </w:rPr>
        <w:t xml:space="preserve"> and Hilary Young (London: V &amp; A Publishing, 2008), 62–63.</w:t>
      </w:r>
    </w:p>
  </w:footnote>
  <w:footnote w:id="460">
    <w:p w14:paraId="1E1A93C6" w14:textId="77777777" w:rsidR="00182EED" w:rsidRDefault="00182EED" w:rsidP="008A116C">
      <w:pPr>
        <w:pStyle w:val="FootnoteText"/>
      </w:pPr>
      <w:r w:rsidRPr="00073E38">
        <w:rPr>
          <w:rStyle w:val="FootnoteReference"/>
        </w:rPr>
        <w:footnoteRef/>
      </w:r>
      <w:r>
        <w:t xml:space="preserve"> </w:t>
      </w:r>
      <w:r w:rsidRPr="00442923">
        <w:rPr>
          <w:lang w:val="en-US"/>
        </w:rPr>
        <w:t xml:space="preserve">Nicholas Orme, </w:t>
      </w:r>
      <w:r w:rsidRPr="00442923">
        <w:rPr>
          <w:i/>
          <w:iCs/>
          <w:lang w:val="en-US"/>
        </w:rPr>
        <w:t>Medieval Children</w:t>
      </w:r>
      <w:r w:rsidRPr="00442923">
        <w:rPr>
          <w:lang w:val="en-US"/>
        </w:rPr>
        <w:t xml:space="preserve"> (New Haven and</w:t>
      </w:r>
      <w:r>
        <w:rPr>
          <w:lang w:val="en-US"/>
        </w:rPr>
        <w:t xml:space="preserve"> </w:t>
      </w:r>
      <w:r w:rsidRPr="00442923">
        <w:rPr>
          <w:lang w:val="en-US"/>
        </w:rPr>
        <w:t>London: Yale University Press, 2003), 264.</w:t>
      </w:r>
    </w:p>
  </w:footnote>
  <w:footnote w:id="461">
    <w:p w14:paraId="7CA3E340" w14:textId="77777777" w:rsidR="00182EED" w:rsidRDefault="00182EED" w:rsidP="008A116C">
      <w:pPr>
        <w:pStyle w:val="FootnoteText"/>
      </w:pPr>
      <w:r w:rsidRPr="00073E38">
        <w:rPr>
          <w:rStyle w:val="FootnoteReference"/>
        </w:rPr>
        <w:footnoteRef/>
      </w:r>
      <w:r>
        <w:t xml:space="preserve"> </w:t>
      </w:r>
      <w:r w:rsidRPr="00442923">
        <w:rPr>
          <w:lang w:val="en-US"/>
        </w:rPr>
        <w:t xml:space="preserve">Beth Williamson, “Altarpieces, Liturgy, and Devotion,” </w:t>
      </w:r>
      <w:r w:rsidRPr="00442923">
        <w:rPr>
          <w:i/>
          <w:iCs/>
          <w:lang w:val="en-US"/>
        </w:rPr>
        <w:t>Speculum</w:t>
      </w:r>
      <w:r w:rsidRPr="00442923">
        <w:rPr>
          <w:lang w:val="en-US"/>
        </w:rPr>
        <w:t xml:space="preserve"> 79, no. 2 (2004): 380–81, n.156.</w:t>
      </w:r>
    </w:p>
  </w:footnote>
  <w:footnote w:id="462">
    <w:p w14:paraId="365203AA" w14:textId="77777777" w:rsidR="00182EED" w:rsidRDefault="00182EED" w:rsidP="008A116C">
      <w:pPr>
        <w:pStyle w:val="FootnoteText"/>
      </w:pPr>
      <w:r w:rsidRPr="00073E38">
        <w:rPr>
          <w:rStyle w:val="FootnoteReference"/>
        </w:rPr>
        <w:footnoteRef/>
      </w:r>
      <w:r>
        <w:t xml:space="preserve"> </w:t>
      </w:r>
      <w:r>
        <w:rPr>
          <w:noProof/>
        </w:rPr>
        <w:t>Ibid., 381.</w:t>
      </w:r>
    </w:p>
  </w:footnote>
  <w:footnote w:id="463">
    <w:p w14:paraId="6AE82AE9" w14:textId="7EFE602C" w:rsidR="00182EED" w:rsidRDefault="00182EED" w:rsidP="0015426C">
      <w:pPr>
        <w:pStyle w:val="FootnoteText"/>
      </w:pPr>
      <w:r>
        <w:rPr>
          <w:rStyle w:val="FootnoteReference"/>
        </w:rPr>
        <w:footnoteRef/>
      </w:r>
      <w:r>
        <w:t xml:space="preserve"> Devotion towards the Madonna of the Fire is studied in Lisa </w:t>
      </w:r>
      <w:proofErr w:type="spellStart"/>
      <w:r>
        <w:t>Pon</w:t>
      </w:r>
      <w:proofErr w:type="spellEnd"/>
      <w:r>
        <w:t xml:space="preserve">, </w:t>
      </w:r>
      <w:r w:rsidRPr="000F1F6D">
        <w:rPr>
          <w:i/>
          <w:iCs/>
        </w:rPr>
        <w:t xml:space="preserve">Printed icon in early modern Italy: </w:t>
      </w:r>
      <w:proofErr w:type="spellStart"/>
      <w:r w:rsidRPr="000F1F6D">
        <w:rPr>
          <w:i/>
          <w:iCs/>
        </w:rPr>
        <w:t>Forlì's</w:t>
      </w:r>
      <w:proofErr w:type="spellEnd"/>
      <w:r w:rsidRPr="000F1F6D">
        <w:rPr>
          <w:i/>
          <w:iCs/>
        </w:rPr>
        <w:t xml:space="preserve"> Madonna of the </w:t>
      </w:r>
      <w:r>
        <w:rPr>
          <w:i/>
          <w:iCs/>
        </w:rPr>
        <w:t>fire</w:t>
      </w:r>
      <w:r>
        <w:t xml:space="preserve"> (Cambridge: Cambridge University Press, 2015) and in Lisa </w:t>
      </w:r>
      <w:proofErr w:type="spellStart"/>
      <w:r>
        <w:t>Pon</w:t>
      </w:r>
      <w:proofErr w:type="spellEnd"/>
      <w:r>
        <w:t>, “</w:t>
      </w:r>
      <w:r w:rsidRPr="0015426C">
        <w:t>I</w:t>
      </w:r>
      <w:r>
        <w:t>l</w:t>
      </w:r>
      <w:r w:rsidRPr="0015426C">
        <w:t xml:space="preserve"> </w:t>
      </w:r>
      <w:proofErr w:type="spellStart"/>
      <w:r w:rsidRPr="0015426C">
        <w:t>T</w:t>
      </w:r>
      <w:r>
        <w:t>abernacolo</w:t>
      </w:r>
      <w:proofErr w:type="spellEnd"/>
      <w:r>
        <w:t xml:space="preserve"> e la </w:t>
      </w:r>
      <w:proofErr w:type="spellStart"/>
      <w:r>
        <w:t>Processione</w:t>
      </w:r>
      <w:proofErr w:type="spellEnd"/>
      <w:r>
        <w:t xml:space="preserve">: la Madonna del Fuoco di Forlì come </w:t>
      </w:r>
      <w:proofErr w:type="spellStart"/>
      <w:r>
        <w:t>Sito</w:t>
      </w:r>
      <w:proofErr w:type="spellEnd"/>
      <w:r>
        <w:t xml:space="preserve"> </w:t>
      </w:r>
      <w:proofErr w:type="spellStart"/>
      <w:r>
        <w:t>Funzionale</w:t>
      </w:r>
      <w:proofErr w:type="spellEnd"/>
      <w:r>
        <w:t xml:space="preserve">,” in </w:t>
      </w:r>
      <w:r w:rsidRPr="000F1F6D">
        <w:rPr>
          <w:i/>
          <w:iCs/>
        </w:rPr>
        <w:t xml:space="preserve">I </w:t>
      </w:r>
      <w:proofErr w:type="spellStart"/>
      <w:r w:rsidRPr="000F1F6D">
        <w:rPr>
          <w:i/>
          <w:iCs/>
        </w:rPr>
        <w:t>Territori</w:t>
      </w:r>
      <w:proofErr w:type="spellEnd"/>
      <w:r w:rsidRPr="000F1F6D">
        <w:rPr>
          <w:i/>
          <w:iCs/>
        </w:rPr>
        <w:t xml:space="preserve"> del </w:t>
      </w:r>
      <w:proofErr w:type="spellStart"/>
      <w:r w:rsidRPr="000F1F6D">
        <w:rPr>
          <w:i/>
          <w:iCs/>
        </w:rPr>
        <w:t>patrimonio</w:t>
      </w:r>
      <w:proofErr w:type="spellEnd"/>
      <w:r w:rsidRPr="000F1F6D">
        <w:rPr>
          <w:i/>
          <w:iCs/>
        </w:rPr>
        <w:t xml:space="preserve">: </w:t>
      </w:r>
      <w:proofErr w:type="spellStart"/>
      <w:r w:rsidRPr="000F1F6D">
        <w:rPr>
          <w:i/>
          <w:iCs/>
        </w:rPr>
        <w:t>Dinamiche</w:t>
      </w:r>
      <w:proofErr w:type="spellEnd"/>
      <w:r w:rsidRPr="000F1F6D">
        <w:rPr>
          <w:i/>
          <w:iCs/>
        </w:rPr>
        <w:t xml:space="preserve"> </w:t>
      </w:r>
      <w:proofErr w:type="spellStart"/>
      <w:r w:rsidRPr="000F1F6D">
        <w:rPr>
          <w:i/>
          <w:iCs/>
        </w:rPr>
        <w:t>della</w:t>
      </w:r>
      <w:proofErr w:type="spellEnd"/>
      <w:r w:rsidRPr="000F1F6D">
        <w:rPr>
          <w:i/>
          <w:iCs/>
        </w:rPr>
        <w:t xml:space="preserve"> </w:t>
      </w:r>
      <w:proofErr w:type="spellStart"/>
      <w:r w:rsidRPr="000F1F6D">
        <w:rPr>
          <w:i/>
          <w:iCs/>
        </w:rPr>
        <w:t>patrimonializzazione</w:t>
      </w:r>
      <w:proofErr w:type="spellEnd"/>
      <w:r w:rsidRPr="000F1F6D">
        <w:rPr>
          <w:i/>
          <w:iCs/>
        </w:rPr>
        <w:t xml:space="preserve"> e culture </w:t>
      </w:r>
      <w:proofErr w:type="spellStart"/>
      <w:r w:rsidRPr="000F1F6D">
        <w:rPr>
          <w:i/>
          <w:iCs/>
        </w:rPr>
        <w:t>locali</w:t>
      </w:r>
      <w:proofErr w:type="spellEnd"/>
      <w:r w:rsidRPr="000F1F6D">
        <w:rPr>
          <w:i/>
          <w:iCs/>
        </w:rPr>
        <w:t xml:space="preserve"> (</w:t>
      </w:r>
      <w:proofErr w:type="spellStart"/>
      <w:r w:rsidRPr="000F1F6D">
        <w:rPr>
          <w:i/>
          <w:iCs/>
        </w:rPr>
        <w:t>secc</w:t>
      </w:r>
      <w:proofErr w:type="spellEnd"/>
      <w:r w:rsidRPr="000F1F6D">
        <w:rPr>
          <w:i/>
          <w:iCs/>
        </w:rPr>
        <w:t>. XVII-XX)</w:t>
      </w:r>
      <w:r>
        <w:t xml:space="preserve">, ed. Roberto </w:t>
      </w:r>
      <w:proofErr w:type="spellStart"/>
      <w:r>
        <w:t>Balzani</w:t>
      </w:r>
      <w:proofErr w:type="spellEnd"/>
      <w:r>
        <w:t xml:space="preserve"> (</w:t>
      </w:r>
      <w:r w:rsidRPr="002310D3">
        <w:t>Bologna</w:t>
      </w:r>
      <w:r>
        <w:t>:</w:t>
      </w:r>
      <w:r w:rsidRPr="002310D3">
        <w:t xml:space="preserve"> </w:t>
      </w:r>
      <w:proofErr w:type="spellStart"/>
      <w:r w:rsidRPr="002310D3">
        <w:t>Societa</w:t>
      </w:r>
      <w:proofErr w:type="spellEnd"/>
      <w:r w:rsidRPr="002310D3">
        <w:t xml:space="preserve">̀ </w:t>
      </w:r>
      <w:proofErr w:type="spellStart"/>
      <w:r w:rsidRPr="002310D3">
        <w:t>editrice</w:t>
      </w:r>
      <w:proofErr w:type="spellEnd"/>
      <w:r w:rsidRPr="002310D3">
        <w:t xml:space="preserve"> </w:t>
      </w:r>
      <w:proofErr w:type="spellStart"/>
      <w:r w:rsidRPr="002310D3">
        <w:t>il</w:t>
      </w:r>
      <w:proofErr w:type="spellEnd"/>
      <w:r w:rsidRPr="002310D3">
        <w:t xml:space="preserve"> </w:t>
      </w:r>
      <w:proofErr w:type="spellStart"/>
      <w:r w:rsidRPr="002310D3">
        <w:t>Mulino</w:t>
      </w:r>
      <w:proofErr w:type="spellEnd"/>
      <w:r>
        <w:t>, 2015), 63-93.</w:t>
      </w:r>
    </w:p>
  </w:footnote>
  <w:footnote w:id="464">
    <w:p w14:paraId="73D8F7AD" w14:textId="22EDB5EF" w:rsidR="00182EED" w:rsidRPr="00025A61" w:rsidRDefault="00182EED">
      <w:pPr>
        <w:pStyle w:val="FootnoteText"/>
      </w:pPr>
      <w:r>
        <w:rPr>
          <w:rStyle w:val="FootnoteReference"/>
        </w:rPr>
        <w:footnoteRef/>
      </w:r>
      <w:r>
        <w:t xml:space="preserve"> </w:t>
      </w:r>
      <w:proofErr w:type="spellStart"/>
      <w:r>
        <w:t>Pon</w:t>
      </w:r>
      <w:proofErr w:type="spellEnd"/>
      <w:r>
        <w:t xml:space="preserve">, </w:t>
      </w:r>
      <w:r w:rsidRPr="000F1F6D">
        <w:rPr>
          <w:i/>
          <w:iCs/>
        </w:rPr>
        <w:t>Printed icon in early modern Italy</w:t>
      </w:r>
      <w:r>
        <w:t>, 102-03.</w:t>
      </w:r>
    </w:p>
  </w:footnote>
  <w:footnote w:id="465">
    <w:p w14:paraId="03635C84" w14:textId="3AA189A5" w:rsidR="00182EED" w:rsidRDefault="00182EED" w:rsidP="008A116C">
      <w:pPr>
        <w:pStyle w:val="FootnoteText"/>
      </w:pPr>
      <w:r w:rsidRPr="00073E38">
        <w:rPr>
          <w:rStyle w:val="FootnoteReference"/>
        </w:rPr>
        <w:footnoteRef/>
      </w:r>
      <w:r>
        <w:t xml:space="preserve"> </w:t>
      </w:r>
      <w:r w:rsidR="00F1567F" w:rsidRPr="00442923">
        <w:rPr>
          <w:lang w:val="en-US"/>
        </w:rPr>
        <w:t>Williamson, “Altarpieces, Liturgy, and Devotion,”</w:t>
      </w:r>
      <w:r>
        <w:rPr>
          <w:noProof/>
        </w:rPr>
        <w:t xml:space="preserve"> 362.</w:t>
      </w:r>
    </w:p>
  </w:footnote>
  <w:footnote w:id="466">
    <w:p w14:paraId="15E0D992" w14:textId="77777777" w:rsidR="00182EED" w:rsidRDefault="00182EED" w:rsidP="008A116C">
      <w:pPr>
        <w:pStyle w:val="FootnoteText"/>
      </w:pPr>
      <w:r w:rsidRPr="00073E38">
        <w:rPr>
          <w:rStyle w:val="FootnoteReference"/>
        </w:rPr>
        <w:footnoteRef/>
      </w:r>
      <w:r>
        <w:t xml:space="preserve"> </w:t>
      </w:r>
      <w:r>
        <w:rPr>
          <w:noProof/>
        </w:rPr>
        <w:t>Ibid., 352.</w:t>
      </w:r>
    </w:p>
  </w:footnote>
  <w:footnote w:id="467">
    <w:p w14:paraId="0B8F5A82" w14:textId="02EE3C9F" w:rsidR="00182EED" w:rsidRPr="00D71982" w:rsidRDefault="00182EED">
      <w:pPr>
        <w:pStyle w:val="FootnoteText"/>
        <w:rPr>
          <w:i/>
          <w:iCs/>
        </w:rPr>
      </w:pPr>
      <w:r>
        <w:rPr>
          <w:rStyle w:val="FootnoteReference"/>
        </w:rPr>
        <w:footnoteRef/>
      </w:r>
      <w:r>
        <w:t xml:space="preserve"> Carlo Cavalli, “</w:t>
      </w:r>
      <w:proofErr w:type="spellStart"/>
      <w:r>
        <w:t>Tra</w:t>
      </w:r>
      <w:proofErr w:type="spellEnd"/>
      <w:r>
        <w:t xml:space="preserve"> </w:t>
      </w:r>
      <w:proofErr w:type="spellStart"/>
      <w:r>
        <w:t>devozione</w:t>
      </w:r>
      <w:proofErr w:type="spellEnd"/>
      <w:r>
        <w:t xml:space="preserve"> </w:t>
      </w:r>
      <w:proofErr w:type="spellStart"/>
      <w:r>
        <w:t>pubblica</w:t>
      </w:r>
      <w:proofErr w:type="spellEnd"/>
      <w:r>
        <w:t xml:space="preserve"> e private: un </w:t>
      </w:r>
      <w:proofErr w:type="spellStart"/>
      <w:r>
        <w:t>reliquiario</w:t>
      </w:r>
      <w:proofErr w:type="spellEnd"/>
      <w:r>
        <w:t xml:space="preserve"> </w:t>
      </w:r>
      <w:proofErr w:type="spellStart"/>
      <w:r>
        <w:t>trecentesco</w:t>
      </w:r>
      <w:proofErr w:type="spellEnd"/>
      <w:r>
        <w:t xml:space="preserve"> per la </w:t>
      </w:r>
      <w:proofErr w:type="spellStart"/>
      <w:r>
        <w:t>confraterinata</w:t>
      </w:r>
      <w:proofErr w:type="spellEnd"/>
      <w:r>
        <w:t xml:space="preserve"> di Santa Maria </w:t>
      </w:r>
      <w:proofErr w:type="spellStart"/>
      <w:r>
        <w:t>dei</w:t>
      </w:r>
      <w:proofErr w:type="spellEnd"/>
      <w:r>
        <w:t xml:space="preserve"> </w:t>
      </w:r>
      <w:proofErr w:type="spellStart"/>
      <w:r>
        <w:t>Battuti</w:t>
      </w:r>
      <w:proofErr w:type="spellEnd"/>
      <w:r>
        <w:t xml:space="preserve"> </w:t>
      </w:r>
      <w:proofErr w:type="spellStart"/>
      <w:r>
        <w:t>nella</w:t>
      </w:r>
      <w:proofErr w:type="spellEnd"/>
      <w:r>
        <w:t xml:space="preserve"> </w:t>
      </w:r>
      <w:proofErr w:type="spellStart"/>
      <w:r>
        <w:t>Cattedrale</w:t>
      </w:r>
      <w:proofErr w:type="spellEnd"/>
      <w:r>
        <w:t xml:space="preserve"> </w:t>
      </w:r>
      <w:proofErr w:type="spellStart"/>
      <w:r>
        <w:t>padovana</w:t>
      </w:r>
      <w:proofErr w:type="spellEnd"/>
      <w:r>
        <w:t xml:space="preserve">”, in </w:t>
      </w:r>
      <w:proofErr w:type="spellStart"/>
      <w:r w:rsidRPr="005B5BD9">
        <w:rPr>
          <w:i/>
          <w:iCs/>
          <w:lang w:val="en-US"/>
        </w:rPr>
        <w:t>Pregare</w:t>
      </w:r>
      <w:proofErr w:type="spellEnd"/>
      <w:r w:rsidRPr="005B5BD9">
        <w:rPr>
          <w:i/>
          <w:iCs/>
          <w:lang w:val="en-US"/>
        </w:rPr>
        <w:t xml:space="preserve"> in casa: </w:t>
      </w:r>
      <w:proofErr w:type="spellStart"/>
      <w:r w:rsidRPr="005B5BD9">
        <w:rPr>
          <w:i/>
          <w:iCs/>
          <w:lang w:val="en-US"/>
        </w:rPr>
        <w:t>oggetti</w:t>
      </w:r>
      <w:proofErr w:type="spellEnd"/>
      <w:r w:rsidRPr="005B5BD9">
        <w:rPr>
          <w:i/>
          <w:iCs/>
          <w:lang w:val="en-US"/>
        </w:rPr>
        <w:t xml:space="preserve"> e </w:t>
      </w:r>
      <w:proofErr w:type="spellStart"/>
      <w:r w:rsidRPr="005B5BD9">
        <w:rPr>
          <w:i/>
          <w:iCs/>
          <w:lang w:val="en-US"/>
        </w:rPr>
        <w:t>documenti</w:t>
      </w:r>
      <w:proofErr w:type="spellEnd"/>
      <w:r w:rsidRPr="005B5BD9">
        <w:rPr>
          <w:i/>
          <w:iCs/>
          <w:lang w:val="en-US"/>
        </w:rPr>
        <w:t xml:space="preserve"> </w:t>
      </w:r>
      <w:proofErr w:type="spellStart"/>
      <w:r w:rsidRPr="005B5BD9">
        <w:rPr>
          <w:i/>
          <w:iCs/>
          <w:lang w:val="en-US"/>
        </w:rPr>
        <w:t>della</w:t>
      </w:r>
      <w:proofErr w:type="spellEnd"/>
      <w:r w:rsidRPr="005B5BD9">
        <w:rPr>
          <w:i/>
          <w:iCs/>
          <w:lang w:val="en-US"/>
        </w:rPr>
        <w:t xml:space="preserve"> </w:t>
      </w:r>
      <w:proofErr w:type="spellStart"/>
      <w:r w:rsidRPr="005B5BD9">
        <w:rPr>
          <w:i/>
          <w:iCs/>
          <w:lang w:val="en-US"/>
        </w:rPr>
        <w:t>pratica</w:t>
      </w:r>
      <w:proofErr w:type="spellEnd"/>
      <w:r w:rsidRPr="005B5BD9">
        <w:rPr>
          <w:i/>
          <w:iCs/>
          <w:lang w:val="en-US"/>
        </w:rPr>
        <w:t xml:space="preserve"> religiosa </w:t>
      </w:r>
      <w:proofErr w:type="spellStart"/>
      <w:r w:rsidRPr="005B5BD9">
        <w:rPr>
          <w:i/>
          <w:iCs/>
          <w:lang w:val="en-US"/>
        </w:rPr>
        <w:t>tra</w:t>
      </w:r>
      <w:proofErr w:type="spellEnd"/>
      <w:r w:rsidRPr="005B5BD9">
        <w:rPr>
          <w:i/>
          <w:iCs/>
          <w:lang w:val="en-US"/>
        </w:rPr>
        <w:t xml:space="preserve"> </w:t>
      </w:r>
      <w:proofErr w:type="spellStart"/>
      <w:r w:rsidRPr="005B5BD9">
        <w:rPr>
          <w:i/>
          <w:iCs/>
          <w:lang w:val="en-US"/>
        </w:rPr>
        <w:t>Medioevo</w:t>
      </w:r>
      <w:proofErr w:type="spellEnd"/>
      <w:r w:rsidRPr="005B5BD9">
        <w:rPr>
          <w:i/>
          <w:iCs/>
          <w:lang w:val="en-US"/>
        </w:rPr>
        <w:t xml:space="preserve"> e </w:t>
      </w:r>
      <w:proofErr w:type="spellStart"/>
      <w:r w:rsidRPr="005B5BD9">
        <w:rPr>
          <w:i/>
          <w:iCs/>
          <w:lang w:val="en-US"/>
        </w:rPr>
        <w:t>Rinascimento</w:t>
      </w:r>
      <w:proofErr w:type="spellEnd"/>
      <w:r>
        <w:rPr>
          <w:lang w:val="en-US"/>
        </w:rPr>
        <w:t>, eds.</w:t>
      </w:r>
      <w:r w:rsidRPr="005B5BD9">
        <w:rPr>
          <w:lang w:val="en-US"/>
        </w:rPr>
        <w:t xml:space="preserve"> Giovanna </w:t>
      </w:r>
      <w:proofErr w:type="spellStart"/>
      <w:r w:rsidRPr="005B5BD9">
        <w:rPr>
          <w:lang w:val="en-US"/>
        </w:rPr>
        <w:t>Baldissin</w:t>
      </w:r>
      <w:proofErr w:type="spellEnd"/>
      <w:r w:rsidRPr="005B5BD9">
        <w:rPr>
          <w:lang w:val="en-US"/>
        </w:rPr>
        <w:t xml:space="preserve"> </w:t>
      </w:r>
      <w:proofErr w:type="spellStart"/>
      <w:r w:rsidRPr="005B5BD9">
        <w:rPr>
          <w:lang w:val="en-US"/>
        </w:rPr>
        <w:t>Molli</w:t>
      </w:r>
      <w:proofErr w:type="spellEnd"/>
      <w:r w:rsidRPr="005B5BD9">
        <w:rPr>
          <w:lang w:val="en-US"/>
        </w:rPr>
        <w:t xml:space="preserve">, Cristina </w:t>
      </w:r>
      <w:proofErr w:type="spellStart"/>
      <w:r w:rsidRPr="005B5BD9">
        <w:rPr>
          <w:lang w:val="en-US"/>
        </w:rPr>
        <w:t>Guarnieri</w:t>
      </w:r>
      <w:proofErr w:type="spellEnd"/>
      <w:r w:rsidRPr="005B5BD9">
        <w:rPr>
          <w:lang w:val="en-US"/>
        </w:rPr>
        <w:t>, and Zuleika Murat</w:t>
      </w:r>
      <w:r>
        <w:rPr>
          <w:lang w:val="en-US"/>
        </w:rPr>
        <w:t xml:space="preserve"> </w:t>
      </w:r>
      <w:r w:rsidRPr="005B5BD9">
        <w:rPr>
          <w:lang w:val="en-US"/>
        </w:rPr>
        <w:t xml:space="preserve">(Rome: </w:t>
      </w:r>
      <w:proofErr w:type="spellStart"/>
      <w:r w:rsidRPr="005B5BD9">
        <w:rPr>
          <w:lang w:val="en-US"/>
        </w:rPr>
        <w:t>Viella</w:t>
      </w:r>
      <w:proofErr w:type="spellEnd"/>
      <w:r w:rsidRPr="005B5BD9">
        <w:rPr>
          <w:lang w:val="en-US"/>
        </w:rPr>
        <w:t>, 2018)</w:t>
      </w:r>
      <w:r>
        <w:rPr>
          <w:lang w:val="en-US"/>
        </w:rPr>
        <w:t xml:space="preserve">, 132. See also </w:t>
      </w:r>
      <w:proofErr w:type="spellStart"/>
      <w:r>
        <w:t>Tiziana</w:t>
      </w:r>
      <w:proofErr w:type="spellEnd"/>
      <w:r>
        <w:t xml:space="preserve"> Franco, “</w:t>
      </w:r>
      <w:proofErr w:type="spellStart"/>
      <w:r>
        <w:t>Pregare</w:t>
      </w:r>
      <w:proofErr w:type="spellEnd"/>
      <w:r>
        <w:t xml:space="preserve"> in Casa. </w:t>
      </w:r>
      <w:proofErr w:type="spellStart"/>
      <w:r>
        <w:t>Conclusioni</w:t>
      </w:r>
      <w:proofErr w:type="spellEnd"/>
      <w:r>
        <w:t xml:space="preserve">,” in </w:t>
      </w:r>
      <w:r w:rsidRPr="00D71982">
        <w:rPr>
          <w:i/>
          <w:iCs/>
        </w:rPr>
        <w:t>Ibidem</w:t>
      </w:r>
      <w:r>
        <w:rPr>
          <w:lang w:val="en-US"/>
        </w:rPr>
        <w:t>, 299.</w:t>
      </w:r>
    </w:p>
  </w:footnote>
  <w:footnote w:id="468">
    <w:p w14:paraId="74DCF63C" w14:textId="77777777" w:rsidR="00182EED" w:rsidRDefault="00182EED" w:rsidP="00387119">
      <w:pPr>
        <w:pStyle w:val="FootnoteText"/>
      </w:pPr>
      <w:r>
        <w:rPr>
          <w:rStyle w:val="FootnoteReference"/>
        </w:rPr>
        <w:footnoteRef/>
      </w:r>
      <w:r>
        <w:t xml:space="preserve"> </w:t>
      </w:r>
      <w:proofErr w:type="spellStart"/>
      <w:r>
        <w:t>Pon</w:t>
      </w:r>
      <w:proofErr w:type="spellEnd"/>
      <w:r>
        <w:t xml:space="preserve">, </w:t>
      </w:r>
      <w:r w:rsidRPr="000F1F6D">
        <w:rPr>
          <w:i/>
          <w:iCs/>
        </w:rPr>
        <w:t>Printed icon in early modern Italy</w:t>
      </w:r>
      <w:r>
        <w:t>, 116.</w:t>
      </w:r>
    </w:p>
  </w:footnote>
  <w:footnote w:id="469">
    <w:p w14:paraId="6E07708E" w14:textId="5B3AB3B9" w:rsidR="00182EED" w:rsidRDefault="00182EED" w:rsidP="008A116C">
      <w:pPr>
        <w:pStyle w:val="FootnoteText"/>
      </w:pPr>
      <w:r w:rsidRPr="00073E38">
        <w:rPr>
          <w:rStyle w:val="FootnoteReference"/>
        </w:rPr>
        <w:footnoteRef/>
      </w:r>
      <w:r>
        <w:t xml:space="preserve"> </w:t>
      </w:r>
      <w:r w:rsidR="00F1567F" w:rsidRPr="00442923">
        <w:rPr>
          <w:lang w:val="en-US"/>
        </w:rPr>
        <w:t>Williamson, “Altarpieces, Liturgy, and Devotion</w:t>
      </w:r>
      <w:r>
        <w:rPr>
          <w:noProof/>
        </w:rPr>
        <w:t>,</w:t>
      </w:r>
      <w:r w:rsidR="00F1567F">
        <w:rPr>
          <w:noProof/>
        </w:rPr>
        <w:t>”</w:t>
      </w:r>
      <w:r>
        <w:rPr>
          <w:noProof/>
        </w:rPr>
        <w:t xml:space="preserve"> 380.</w:t>
      </w:r>
    </w:p>
  </w:footnote>
  <w:footnote w:id="470">
    <w:p w14:paraId="2E75F278" w14:textId="77777777" w:rsidR="00182EED" w:rsidRDefault="00182EED" w:rsidP="008A116C">
      <w:pPr>
        <w:pStyle w:val="FootnoteText"/>
      </w:pPr>
      <w:r w:rsidRPr="00073E38">
        <w:rPr>
          <w:rStyle w:val="FootnoteReference"/>
        </w:rPr>
        <w:footnoteRef/>
      </w:r>
      <w:r>
        <w:t xml:space="preserve"> </w:t>
      </w:r>
      <w:r w:rsidRPr="00442923">
        <w:rPr>
          <w:lang w:val="en-US"/>
        </w:rPr>
        <w:t xml:space="preserve">Abigail </w:t>
      </w:r>
      <w:proofErr w:type="spellStart"/>
      <w:r w:rsidRPr="00442923">
        <w:rPr>
          <w:lang w:val="en-US"/>
        </w:rPr>
        <w:t>Brundin</w:t>
      </w:r>
      <w:proofErr w:type="spellEnd"/>
      <w:r w:rsidRPr="00442923">
        <w:rPr>
          <w:lang w:val="en-US"/>
        </w:rPr>
        <w:t xml:space="preserve">, Deborah Howard, and Mary </w:t>
      </w:r>
      <w:proofErr w:type="spellStart"/>
      <w:r w:rsidRPr="00442923">
        <w:rPr>
          <w:lang w:val="en-US"/>
        </w:rPr>
        <w:t>Laven</w:t>
      </w:r>
      <w:proofErr w:type="spellEnd"/>
      <w:r w:rsidRPr="00442923">
        <w:rPr>
          <w:lang w:val="en-US"/>
        </w:rPr>
        <w:t xml:space="preserve">, </w:t>
      </w:r>
      <w:r w:rsidRPr="00442923">
        <w:rPr>
          <w:i/>
          <w:iCs/>
          <w:lang w:val="en-US"/>
        </w:rPr>
        <w:t>The Sacred Home in Renaissance Italy</w:t>
      </w:r>
      <w:r w:rsidRPr="00442923">
        <w:rPr>
          <w:lang w:val="en-US"/>
        </w:rPr>
        <w:t xml:space="preserve"> (Oxford: Oxford University Press, 2018), 175.</w:t>
      </w:r>
    </w:p>
  </w:footnote>
  <w:footnote w:id="471">
    <w:p w14:paraId="7DE3BB3C" w14:textId="77777777" w:rsidR="00182EED" w:rsidRDefault="00182EED" w:rsidP="008A116C">
      <w:pPr>
        <w:pStyle w:val="FootnoteText"/>
      </w:pPr>
      <w:r w:rsidRPr="00073E38">
        <w:rPr>
          <w:rStyle w:val="FootnoteReference"/>
        </w:rPr>
        <w:footnoteRef/>
      </w:r>
      <w:r>
        <w:t xml:space="preserve"> </w:t>
      </w:r>
      <w:r>
        <w:rPr>
          <w:noProof/>
        </w:rPr>
        <w:t>Ibid.</w:t>
      </w:r>
    </w:p>
  </w:footnote>
  <w:footnote w:id="472">
    <w:p w14:paraId="2492DE3E" w14:textId="77777777" w:rsidR="00182EED" w:rsidRDefault="00182EED" w:rsidP="008A116C">
      <w:pPr>
        <w:pStyle w:val="FootnoteText"/>
      </w:pPr>
      <w:r w:rsidRPr="00073E38">
        <w:rPr>
          <w:rStyle w:val="FootnoteReference"/>
        </w:rPr>
        <w:footnoteRef/>
      </w:r>
      <w:r>
        <w:t xml:space="preserve"> </w:t>
      </w:r>
      <w:r w:rsidRPr="00442923">
        <w:rPr>
          <w:lang w:val="en-US"/>
        </w:rPr>
        <w:t xml:space="preserve">Luke Syson, “Representing Domestic Interiors,” in </w:t>
      </w:r>
      <w:r w:rsidRPr="00442923">
        <w:rPr>
          <w:i/>
          <w:iCs/>
          <w:lang w:val="en-US"/>
        </w:rPr>
        <w:t>At Home in Renaissance Italy</w:t>
      </w:r>
      <w:r w:rsidRPr="00442923">
        <w:rPr>
          <w:lang w:val="en-US"/>
        </w:rPr>
        <w:t xml:space="preserve">, ed. Marta </w:t>
      </w:r>
      <w:proofErr w:type="spellStart"/>
      <w:r w:rsidRPr="00442923">
        <w:rPr>
          <w:lang w:val="en-US"/>
        </w:rPr>
        <w:t>Ajmar-Wollheim</w:t>
      </w:r>
      <w:proofErr w:type="spellEnd"/>
      <w:r w:rsidRPr="00442923">
        <w:rPr>
          <w:lang w:val="en-US"/>
        </w:rPr>
        <w:t xml:space="preserve"> and Flora Dennis (London: V&amp;A Publications, 2006), 86–88.</w:t>
      </w:r>
    </w:p>
  </w:footnote>
  <w:footnote w:id="473">
    <w:p w14:paraId="3164A44D" w14:textId="77777777" w:rsidR="00182EED" w:rsidRPr="00BB4932" w:rsidRDefault="00182EED" w:rsidP="008A116C">
      <w:pPr>
        <w:pStyle w:val="FootnoteText"/>
        <w:rPr>
          <w:szCs w:val="18"/>
        </w:rPr>
      </w:pPr>
      <w:r w:rsidRPr="00073E38">
        <w:rPr>
          <w:rStyle w:val="FootnoteReference"/>
        </w:rPr>
        <w:footnoteRef/>
      </w:r>
      <w:r w:rsidRPr="00BB4932">
        <w:rPr>
          <w:szCs w:val="18"/>
        </w:rPr>
        <w:t xml:space="preserve"> Decorated furniture will be analysed in chap</w:t>
      </w:r>
      <w:r>
        <w:rPr>
          <w:szCs w:val="18"/>
        </w:rPr>
        <w:t>t</w:t>
      </w:r>
      <w:r w:rsidRPr="00BB4932">
        <w:rPr>
          <w:szCs w:val="18"/>
        </w:rPr>
        <w:t>er 4.</w:t>
      </w:r>
    </w:p>
  </w:footnote>
  <w:footnote w:id="474">
    <w:p w14:paraId="7CFFE527" w14:textId="77777777" w:rsidR="00182EED" w:rsidRDefault="00182EED" w:rsidP="008A116C">
      <w:pPr>
        <w:pStyle w:val="FootnoteText"/>
      </w:pPr>
      <w:r w:rsidRPr="00073E38">
        <w:rPr>
          <w:rStyle w:val="FootnoteReference"/>
        </w:rPr>
        <w:footnoteRef/>
      </w:r>
      <w:r>
        <w:t xml:space="preserve"> </w:t>
      </w:r>
      <w:r w:rsidRPr="0086142E">
        <w:rPr>
          <w:lang w:val="en-US"/>
        </w:rPr>
        <w:t xml:space="preserve">Attilio Schiaparelli, </w:t>
      </w:r>
      <w:r w:rsidRPr="0086142E">
        <w:rPr>
          <w:i/>
          <w:iCs/>
          <w:lang w:val="en-US"/>
        </w:rPr>
        <w:t xml:space="preserve">La casa </w:t>
      </w:r>
      <w:proofErr w:type="spellStart"/>
      <w:r w:rsidRPr="0086142E">
        <w:rPr>
          <w:i/>
          <w:iCs/>
          <w:lang w:val="en-US"/>
        </w:rPr>
        <w:t>fiorentina</w:t>
      </w:r>
      <w:proofErr w:type="spellEnd"/>
      <w:r w:rsidRPr="0086142E">
        <w:rPr>
          <w:i/>
          <w:iCs/>
          <w:lang w:val="en-US"/>
        </w:rPr>
        <w:t xml:space="preserve"> e </w:t>
      </w:r>
      <w:proofErr w:type="spellStart"/>
      <w:r w:rsidRPr="0086142E">
        <w:rPr>
          <w:i/>
          <w:iCs/>
          <w:lang w:val="en-US"/>
        </w:rPr>
        <w:t>i</w:t>
      </w:r>
      <w:proofErr w:type="spellEnd"/>
      <w:r w:rsidRPr="0086142E">
        <w:rPr>
          <w:i/>
          <w:iCs/>
          <w:lang w:val="en-US"/>
        </w:rPr>
        <w:t xml:space="preserve"> </w:t>
      </w:r>
      <w:proofErr w:type="spellStart"/>
      <w:r w:rsidRPr="0086142E">
        <w:rPr>
          <w:i/>
          <w:iCs/>
          <w:lang w:val="en-US"/>
        </w:rPr>
        <w:t>suoi</w:t>
      </w:r>
      <w:proofErr w:type="spellEnd"/>
      <w:r w:rsidRPr="0086142E">
        <w:rPr>
          <w:i/>
          <w:iCs/>
          <w:lang w:val="en-US"/>
        </w:rPr>
        <w:t xml:space="preserve"> </w:t>
      </w:r>
      <w:proofErr w:type="spellStart"/>
      <w:r w:rsidRPr="0086142E">
        <w:rPr>
          <w:i/>
          <w:iCs/>
          <w:lang w:val="en-US"/>
        </w:rPr>
        <w:t>arredi</w:t>
      </w:r>
      <w:proofErr w:type="spellEnd"/>
      <w:r w:rsidRPr="0086142E">
        <w:rPr>
          <w:i/>
          <w:iCs/>
          <w:lang w:val="en-US"/>
        </w:rPr>
        <w:t xml:space="preserve"> </w:t>
      </w:r>
      <w:proofErr w:type="spellStart"/>
      <w:r w:rsidRPr="0086142E">
        <w:rPr>
          <w:i/>
          <w:iCs/>
          <w:lang w:val="en-US"/>
        </w:rPr>
        <w:t>nei</w:t>
      </w:r>
      <w:proofErr w:type="spellEnd"/>
      <w:r w:rsidRPr="0086142E">
        <w:rPr>
          <w:i/>
          <w:iCs/>
          <w:lang w:val="en-US"/>
        </w:rPr>
        <w:t xml:space="preserve"> </w:t>
      </w:r>
      <w:proofErr w:type="spellStart"/>
      <w:r w:rsidRPr="0086142E">
        <w:rPr>
          <w:i/>
          <w:iCs/>
          <w:lang w:val="en-US"/>
        </w:rPr>
        <w:t>secoli</w:t>
      </w:r>
      <w:proofErr w:type="spellEnd"/>
      <w:r w:rsidRPr="0086142E">
        <w:rPr>
          <w:i/>
          <w:iCs/>
          <w:lang w:val="en-US"/>
        </w:rPr>
        <w:t xml:space="preserve"> XIV e XV</w:t>
      </w:r>
      <w:r w:rsidRPr="0086142E">
        <w:rPr>
          <w:lang w:val="en-US"/>
        </w:rPr>
        <w:t xml:space="preserve">, vol. 1 (Florence: G.C. </w:t>
      </w:r>
      <w:proofErr w:type="spellStart"/>
      <w:r w:rsidRPr="0086142E">
        <w:rPr>
          <w:lang w:val="en-US"/>
        </w:rPr>
        <w:t>Sansoni</w:t>
      </w:r>
      <w:proofErr w:type="spellEnd"/>
      <w:r w:rsidRPr="0086142E">
        <w:rPr>
          <w:lang w:val="en-US"/>
        </w:rPr>
        <w:t xml:space="preserve">, 1908), 187–88; See also John Kent </w:t>
      </w:r>
      <w:proofErr w:type="spellStart"/>
      <w:r w:rsidRPr="0086142E">
        <w:rPr>
          <w:lang w:val="en-US"/>
        </w:rPr>
        <w:t>Lydecker</w:t>
      </w:r>
      <w:proofErr w:type="spellEnd"/>
      <w:r w:rsidRPr="0086142E">
        <w:rPr>
          <w:lang w:val="en-US"/>
        </w:rPr>
        <w:t>, “The Domestic Setting of the Arts in Renaissance Florence” (John Hopkins University, 1987), 176.</w:t>
      </w:r>
    </w:p>
  </w:footnote>
  <w:footnote w:id="475">
    <w:p w14:paraId="0006F871" w14:textId="77777777" w:rsidR="00182EED" w:rsidRDefault="00182EED" w:rsidP="008A116C">
      <w:pPr>
        <w:pStyle w:val="FootnoteText"/>
      </w:pPr>
      <w:r w:rsidRPr="00073E38">
        <w:rPr>
          <w:rStyle w:val="FootnoteReference"/>
        </w:rPr>
        <w:footnoteRef/>
      </w:r>
      <w:r>
        <w:t xml:space="preserve"> </w:t>
      </w:r>
      <w:r w:rsidRPr="0086142E">
        <w:rPr>
          <w:lang w:val="en-US"/>
        </w:rPr>
        <w:t xml:space="preserve">Caroline </w:t>
      </w:r>
      <w:proofErr w:type="spellStart"/>
      <w:r w:rsidRPr="0086142E">
        <w:rPr>
          <w:lang w:val="en-US"/>
        </w:rPr>
        <w:t>Corisande</w:t>
      </w:r>
      <w:proofErr w:type="spellEnd"/>
      <w:r w:rsidRPr="0086142E">
        <w:rPr>
          <w:lang w:val="en-US"/>
        </w:rPr>
        <w:t xml:space="preserve"> Anderson, “The Material Culture of Domestic Religion in Early Modern Florence, c.1480 - c.1650” (University of York, 2007), 82.</w:t>
      </w:r>
    </w:p>
  </w:footnote>
  <w:footnote w:id="476">
    <w:p w14:paraId="2675B07D" w14:textId="77777777" w:rsidR="00182EED" w:rsidRDefault="00182EED" w:rsidP="008A116C">
      <w:pPr>
        <w:pStyle w:val="FootnoteText"/>
      </w:pPr>
      <w:r w:rsidRPr="00073E38">
        <w:rPr>
          <w:rStyle w:val="FootnoteReference"/>
        </w:rPr>
        <w:footnoteRef/>
      </w:r>
      <w:r>
        <w:t xml:space="preserve"> </w:t>
      </w:r>
      <w:proofErr w:type="spellStart"/>
      <w:r w:rsidRPr="0086142E">
        <w:rPr>
          <w:lang w:val="en-US"/>
        </w:rPr>
        <w:t>Lydecker</w:t>
      </w:r>
      <w:proofErr w:type="spellEnd"/>
      <w:r w:rsidRPr="0086142E">
        <w:rPr>
          <w:lang w:val="en-US"/>
        </w:rPr>
        <w:t>, “The Domestic Setting of the Arts in Renaissance Florence,” 167, 168 n.35.</w:t>
      </w:r>
    </w:p>
  </w:footnote>
  <w:footnote w:id="477">
    <w:p w14:paraId="0C00700D" w14:textId="77777777" w:rsidR="00182EED" w:rsidRDefault="00182EED" w:rsidP="008A116C">
      <w:pPr>
        <w:pStyle w:val="FootnoteText"/>
      </w:pPr>
      <w:r w:rsidRPr="00073E38">
        <w:rPr>
          <w:rStyle w:val="FootnoteReference"/>
        </w:rPr>
        <w:footnoteRef/>
      </w:r>
      <w:r>
        <w:t xml:space="preserve"> </w:t>
      </w:r>
      <w:r>
        <w:rPr>
          <w:noProof/>
        </w:rPr>
        <w:t>Ibid., 65, n.85.</w:t>
      </w:r>
    </w:p>
  </w:footnote>
  <w:footnote w:id="478">
    <w:p w14:paraId="07D74C29" w14:textId="77777777" w:rsidR="00182EED" w:rsidRDefault="00182EED" w:rsidP="008A116C">
      <w:pPr>
        <w:pStyle w:val="FootnoteText"/>
      </w:pPr>
      <w:r w:rsidRPr="00073E38">
        <w:rPr>
          <w:rStyle w:val="FootnoteReference"/>
        </w:rPr>
        <w:footnoteRef/>
      </w:r>
      <w:r>
        <w:t xml:space="preserve"> </w:t>
      </w:r>
      <w:r>
        <w:rPr>
          <w:noProof/>
        </w:rPr>
        <w:t>Ibid., 143.</w:t>
      </w:r>
    </w:p>
  </w:footnote>
  <w:footnote w:id="479">
    <w:p w14:paraId="69918587" w14:textId="77777777" w:rsidR="00182EED" w:rsidRDefault="00182EED" w:rsidP="008A116C">
      <w:pPr>
        <w:pStyle w:val="FootnoteText"/>
      </w:pPr>
      <w:r w:rsidRPr="00073E38">
        <w:rPr>
          <w:rStyle w:val="FootnoteReference"/>
        </w:rPr>
        <w:footnoteRef/>
      </w:r>
      <w:r>
        <w:t xml:space="preserve"> </w:t>
      </w:r>
      <w:r>
        <w:rPr>
          <w:lang w:val="en-US"/>
        </w:rPr>
        <w:t>“</w:t>
      </w:r>
      <w:r w:rsidRPr="0086142E">
        <w:rPr>
          <w:lang w:val="en-US"/>
        </w:rPr>
        <w:t xml:space="preserve">Uno </w:t>
      </w:r>
      <w:proofErr w:type="spellStart"/>
      <w:r w:rsidRPr="0086142E">
        <w:rPr>
          <w:lang w:val="en-US"/>
        </w:rPr>
        <w:t>colmo</w:t>
      </w:r>
      <w:proofErr w:type="spellEnd"/>
      <w:r w:rsidRPr="0086142E">
        <w:rPr>
          <w:lang w:val="en-US"/>
        </w:rPr>
        <w:t xml:space="preserve"> di </w:t>
      </w:r>
      <w:proofErr w:type="spellStart"/>
      <w:r w:rsidRPr="0086142E">
        <w:rPr>
          <w:lang w:val="en-US"/>
        </w:rPr>
        <w:t>marmo</w:t>
      </w:r>
      <w:proofErr w:type="spellEnd"/>
      <w:r w:rsidRPr="0086142E">
        <w:rPr>
          <w:lang w:val="en-US"/>
        </w:rPr>
        <w:t xml:space="preserve"> sopra </w:t>
      </w:r>
      <w:proofErr w:type="spellStart"/>
      <w:r w:rsidRPr="0086142E">
        <w:rPr>
          <w:lang w:val="en-US"/>
        </w:rPr>
        <w:t>l’uscio</w:t>
      </w:r>
      <w:proofErr w:type="spellEnd"/>
      <w:r w:rsidRPr="0086142E">
        <w:rPr>
          <w:lang w:val="en-US"/>
        </w:rPr>
        <w:t xml:space="preserve"> dell </w:t>
      </w:r>
      <w:proofErr w:type="spellStart"/>
      <w:r w:rsidRPr="0086142E">
        <w:rPr>
          <w:lang w:val="en-US"/>
        </w:rPr>
        <w:t>anticameretta</w:t>
      </w:r>
      <w:proofErr w:type="spellEnd"/>
      <w:r w:rsidRPr="0086142E">
        <w:rPr>
          <w:lang w:val="en-US"/>
        </w:rPr>
        <w:t xml:space="preserve"> chon </w:t>
      </w:r>
      <w:proofErr w:type="spellStart"/>
      <w:r w:rsidRPr="0086142E">
        <w:rPr>
          <w:lang w:val="en-US"/>
        </w:rPr>
        <w:t>cholonne</w:t>
      </w:r>
      <w:proofErr w:type="spellEnd"/>
      <w:r w:rsidRPr="0086142E">
        <w:rPr>
          <w:lang w:val="en-US"/>
        </w:rPr>
        <w:t xml:space="preserve"> da </w:t>
      </w:r>
      <w:proofErr w:type="spellStart"/>
      <w:r w:rsidRPr="0086142E">
        <w:rPr>
          <w:lang w:val="en-US"/>
        </w:rPr>
        <w:t>lato</w:t>
      </w:r>
      <w:proofErr w:type="spellEnd"/>
      <w:r w:rsidRPr="0086142E">
        <w:rPr>
          <w:lang w:val="en-US"/>
        </w:rPr>
        <w:t xml:space="preserve"> di </w:t>
      </w:r>
      <w:proofErr w:type="spellStart"/>
      <w:r w:rsidRPr="0086142E">
        <w:rPr>
          <w:lang w:val="en-US"/>
        </w:rPr>
        <w:t>legname</w:t>
      </w:r>
      <w:proofErr w:type="spellEnd"/>
      <w:r w:rsidRPr="0086142E">
        <w:rPr>
          <w:lang w:val="en-US"/>
        </w:rPr>
        <w:t xml:space="preserve"> et </w:t>
      </w:r>
      <w:proofErr w:type="spellStart"/>
      <w:r w:rsidRPr="0086142E">
        <w:rPr>
          <w:lang w:val="en-US"/>
        </w:rPr>
        <w:t>chapitelli</w:t>
      </w:r>
      <w:proofErr w:type="spellEnd"/>
      <w:r w:rsidRPr="0086142E">
        <w:rPr>
          <w:lang w:val="en-US"/>
        </w:rPr>
        <w:t xml:space="preserve"> </w:t>
      </w:r>
      <w:proofErr w:type="spellStart"/>
      <w:r w:rsidRPr="0086142E">
        <w:rPr>
          <w:lang w:val="en-US"/>
        </w:rPr>
        <w:t>messi</w:t>
      </w:r>
      <w:proofErr w:type="spellEnd"/>
      <w:r w:rsidRPr="0086142E">
        <w:rPr>
          <w:lang w:val="en-US"/>
        </w:rPr>
        <w:t xml:space="preserve"> </w:t>
      </w:r>
      <w:proofErr w:type="spellStart"/>
      <w:r w:rsidRPr="0086142E">
        <w:rPr>
          <w:lang w:val="en-US"/>
        </w:rPr>
        <w:t>d’oro</w:t>
      </w:r>
      <w:proofErr w:type="spellEnd"/>
      <w:r w:rsidRPr="0086142E">
        <w:rPr>
          <w:lang w:val="en-US"/>
        </w:rPr>
        <w:t xml:space="preserve">, e in </w:t>
      </w:r>
      <w:proofErr w:type="spellStart"/>
      <w:r w:rsidRPr="0086142E">
        <w:rPr>
          <w:lang w:val="en-US"/>
        </w:rPr>
        <w:t>detto</w:t>
      </w:r>
      <w:proofErr w:type="spellEnd"/>
      <w:r w:rsidRPr="0086142E">
        <w:rPr>
          <w:lang w:val="en-US"/>
        </w:rPr>
        <w:t xml:space="preserve"> </w:t>
      </w:r>
      <w:proofErr w:type="spellStart"/>
      <w:r w:rsidRPr="0086142E">
        <w:rPr>
          <w:lang w:val="en-US"/>
        </w:rPr>
        <w:t>colmo</w:t>
      </w:r>
      <w:proofErr w:type="spellEnd"/>
      <w:r w:rsidRPr="0086142E">
        <w:rPr>
          <w:lang w:val="en-US"/>
        </w:rPr>
        <w:t xml:space="preserve"> una Nostra donna </w:t>
      </w:r>
      <w:proofErr w:type="spellStart"/>
      <w:r w:rsidRPr="0086142E">
        <w:rPr>
          <w:lang w:val="en-US"/>
        </w:rPr>
        <w:t>chol</w:t>
      </w:r>
      <w:proofErr w:type="spellEnd"/>
      <w:r w:rsidRPr="0086142E">
        <w:rPr>
          <w:lang w:val="en-US"/>
        </w:rPr>
        <w:t xml:space="preserve"> bambino in braccio di </w:t>
      </w:r>
      <w:proofErr w:type="spellStart"/>
      <w:r w:rsidRPr="0086142E">
        <w:rPr>
          <w:lang w:val="en-US"/>
        </w:rPr>
        <w:t>mezo</w:t>
      </w:r>
      <w:proofErr w:type="spellEnd"/>
      <w:r w:rsidRPr="0086142E">
        <w:rPr>
          <w:lang w:val="en-US"/>
        </w:rPr>
        <w:t xml:space="preserve"> </w:t>
      </w:r>
      <w:proofErr w:type="spellStart"/>
      <w:r w:rsidRPr="0086142E">
        <w:rPr>
          <w:lang w:val="en-US"/>
        </w:rPr>
        <w:t>rilievo</w:t>
      </w:r>
      <w:proofErr w:type="spellEnd"/>
      <w:r w:rsidRPr="0086142E">
        <w:rPr>
          <w:lang w:val="en-US"/>
        </w:rPr>
        <w:t xml:space="preserve">, con 4 </w:t>
      </w:r>
      <w:proofErr w:type="spellStart"/>
      <w:r w:rsidRPr="0086142E">
        <w:rPr>
          <w:lang w:val="en-US"/>
        </w:rPr>
        <w:t>agnoli</w:t>
      </w:r>
      <w:proofErr w:type="spellEnd"/>
      <w:r w:rsidRPr="0086142E">
        <w:rPr>
          <w:lang w:val="en-US"/>
        </w:rPr>
        <w:t>, c[</w:t>
      </w:r>
      <w:proofErr w:type="spellStart"/>
      <w:r w:rsidRPr="0086142E">
        <w:rPr>
          <w:lang w:val="en-US"/>
        </w:rPr>
        <w:t>i</w:t>
      </w:r>
      <w:proofErr w:type="spellEnd"/>
      <w:r w:rsidRPr="0086142E">
        <w:rPr>
          <w:lang w:val="en-US"/>
        </w:rPr>
        <w:t>]</w:t>
      </w:r>
      <w:proofErr w:type="spellStart"/>
      <w:r w:rsidRPr="0086142E">
        <w:rPr>
          <w:lang w:val="en-US"/>
        </w:rPr>
        <w:t>oe</w:t>
      </w:r>
      <w:proofErr w:type="spellEnd"/>
      <w:r w:rsidRPr="0086142E">
        <w:rPr>
          <w:lang w:val="en-US"/>
        </w:rPr>
        <w:t xml:space="preserve"> </w:t>
      </w:r>
      <w:proofErr w:type="spellStart"/>
      <w:r w:rsidRPr="0086142E">
        <w:rPr>
          <w:lang w:val="en-US"/>
        </w:rPr>
        <w:t>dua</w:t>
      </w:r>
      <w:proofErr w:type="spellEnd"/>
      <w:r w:rsidRPr="0086142E">
        <w:rPr>
          <w:lang w:val="en-US"/>
        </w:rPr>
        <w:t xml:space="preserve"> per </w:t>
      </w:r>
      <w:proofErr w:type="spellStart"/>
      <w:r w:rsidRPr="0086142E">
        <w:rPr>
          <w:lang w:val="en-US"/>
        </w:rPr>
        <w:t>lato</w:t>
      </w:r>
      <w:proofErr w:type="spellEnd"/>
      <w:r w:rsidRPr="0086142E">
        <w:rPr>
          <w:lang w:val="en-US"/>
        </w:rPr>
        <w:t xml:space="preserve">.” Quoted in Roberta J. M. Olson, “Lost and Partially Found: The Tondo, a Significant Florentine Art Form, in Documents of the Renaissance,” </w:t>
      </w:r>
      <w:proofErr w:type="spellStart"/>
      <w:r w:rsidRPr="0086142E">
        <w:rPr>
          <w:i/>
          <w:iCs/>
          <w:lang w:val="en-US"/>
        </w:rPr>
        <w:t>Artibus</w:t>
      </w:r>
      <w:proofErr w:type="spellEnd"/>
      <w:r w:rsidRPr="0086142E">
        <w:rPr>
          <w:i/>
          <w:iCs/>
          <w:lang w:val="en-US"/>
        </w:rPr>
        <w:t xml:space="preserve"> et </w:t>
      </w:r>
      <w:proofErr w:type="spellStart"/>
      <w:r w:rsidRPr="0086142E">
        <w:rPr>
          <w:i/>
          <w:iCs/>
          <w:lang w:val="en-US"/>
        </w:rPr>
        <w:t>Historiae</w:t>
      </w:r>
      <w:proofErr w:type="spellEnd"/>
      <w:r w:rsidRPr="0086142E">
        <w:rPr>
          <w:lang w:val="en-US"/>
        </w:rPr>
        <w:t xml:space="preserve"> 14, no. 27 (1993): 36 and 57 n.60.</w:t>
      </w:r>
    </w:p>
  </w:footnote>
  <w:footnote w:id="480">
    <w:p w14:paraId="0EBC7492" w14:textId="77777777" w:rsidR="00182EED" w:rsidRDefault="00182EED" w:rsidP="008A116C">
      <w:pPr>
        <w:pStyle w:val="FootnoteText"/>
      </w:pPr>
      <w:r w:rsidRPr="00073E38">
        <w:rPr>
          <w:rStyle w:val="FootnoteReference"/>
        </w:rPr>
        <w:footnoteRef/>
      </w:r>
      <w:r>
        <w:t xml:space="preserve"> </w:t>
      </w:r>
      <w:r w:rsidRPr="0086142E">
        <w:rPr>
          <w:lang w:val="en-US"/>
        </w:rPr>
        <w:t xml:space="preserve">“Uno </w:t>
      </w:r>
      <w:proofErr w:type="spellStart"/>
      <w:r w:rsidRPr="0086142E">
        <w:rPr>
          <w:lang w:val="en-US"/>
        </w:rPr>
        <w:t>colmetto</w:t>
      </w:r>
      <w:proofErr w:type="spellEnd"/>
      <w:r w:rsidRPr="0086142E">
        <w:rPr>
          <w:lang w:val="en-US"/>
        </w:rPr>
        <w:t xml:space="preserve"> </w:t>
      </w:r>
      <w:proofErr w:type="spellStart"/>
      <w:r w:rsidRPr="0086142E">
        <w:rPr>
          <w:lang w:val="en-US"/>
        </w:rPr>
        <w:t>picholo</w:t>
      </w:r>
      <w:proofErr w:type="spellEnd"/>
      <w:r w:rsidRPr="0086142E">
        <w:rPr>
          <w:lang w:val="en-US"/>
        </w:rPr>
        <w:t xml:space="preserve"> </w:t>
      </w:r>
      <w:proofErr w:type="spellStart"/>
      <w:r w:rsidRPr="0086142E">
        <w:rPr>
          <w:lang w:val="en-US"/>
        </w:rPr>
        <w:t>cornicie</w:t>
      </w:r>
      <w:proofErr w:type="spellEnd"/>
      <w:r w:rsidRPr="0086142E">
        <w:rPr>
          <w:lang w:val="en-US"/>
        </w:rPr>
        <w:t xml:space="preserve"> </w:t>
      </w:r>
      <w:proofErr w:type="spellStart"/>
      <w:r w:rsidRPr="0086142E">
        <w:rPr>
          <w:lang w:val="en-US"/>
        </w:rPr>
        <w:t>messe</w:t>
      </w:r>
      <w:proofErr w:type="spellEnd"/>
      <w:r w:rsidRPr="0086142E">
        <w:rPr>
          <w:lang w:val="en-US"/>
        </w:rPr>
        <w:t xml:space="preserve"> </w:t>
      </w:r>
      <w:proofErr w:type="spellStart"/>
      <w:r w:rsidRPr="0086142E">
        <w:rPr>
          <w:lang w:val="en-US"/>
        </w:rPr>
        <w:t>d’oro</w:t>
      </w:r>
      <w:proofErr w:type="spellEnd"/>
      <w:r w:rsidRPr="0086142E">
        <w:rPr>
          <w:lang w:val="en-US"/>
        </w:rPr>
        <w:t xml:space="preserve"> </w:t>
      </w:r>
      <w:proofErr w:type="spellStart"/>
      <w:r w:rsidRPr="0086142E">
        <w:rPr>
          <w:lang w:val="en-US"/>
        </w:rPr>
        <w:t>entrovi</w:t>
      </w:r>
      <w:proofErr w:type="spellEnd"/>
      <w:r w:rsidRPr="0086142E">
        <w:rPr>
          <w:lang w:val="en-US"/>
        </w:rPr>
        <w:t xml:space="preserve"> dipinto una Nostra Donna a </w:t>
      </w:r>
      <w:proofErr w:type="spellStart"/>
      <w:r w:rsidRPr="0086142E">
        <w:rPr>
          <w:lang w:val="en-US"/>
        </w:rPr>
        <w:t>sedere</w:t>
      </w:r>
      <w:proofErr w:type="spellEnd"/>
      <w:r w:rsidRPr="0086142E">
        <w:rPr>
          <w:lang w:val="en-US"/>
        </w:rPr>
        <w:t xml:space="preserve"> col bambino in braccio, con </w:t>
      </w:r>
      <w:proofErr w:type="spellStart"/>
      <w:r w:rsidRPr="0086142E">
        <w:rPr>
          <w:lang w:val="en-US"/>
        </w:rPr>
        <w:t>dua</w:t>
      </w:r>
      <w:proofErr w:type="spellEnd"/>
      <w:r w:rsidRPr="0086142E">
        <w:rPr>
          <w:lang w:val="en-US"/>
        </w:rPr>
        <w:t xml:space="preserve"> </w:t>
      </w:r>
      <w:proofErr w:type="spellStart"/>
      <w:r w:rsidRPr="0086142E">
        <w:rPr>
          <w:lang w:val="en-US"/>
        </w:rPr>
        <w:t>agnoletti</w:t>
      </w:r>
      <w:proofErr w:type="spellEnd"/>
      <w:r w:rsidRPr="0086142E">
        <w:rPr>
          <w:lang w:val="en-US"/>
        </w:rPr>
        <w:t xml:space="preserve"> a </w:t>
      </w:r>
      <w:proofErr w:type="spellStart"/>
      <w:r w:rsidRPr="0086142E">
        <w:rPr>
          <w:lang w:val="en-US"/>
        </w:rPr>
        <w:t>piedi</w:t>
      </w:r>
      <w:proofErr w:type="spellEnd"/>
      <w:r w:rsidRPr="0086142E">
        <w:rPr>
          <w:lang w:val="en-US"/>
        </w:rPr>
        <w:t xml:space="preserve">, di mano di Francesco di </w:t>
      </w:r>
      <w:proofErr w:type="spellStart"/>
      <w:r w:rsidRPr="0086142E">
        <w:rPr>
          <w:lang w:val="en-US"/>
        </w:rPr>
        <w:t>Pisello</w:t>
      </w:r>
      <w:proofErr w:type="spellEnd"/>
      <w:r w:rsidRPr="0086142E">
        <w:rPr>
          <w:lang w:val="en-US"/>
        </w:rPr>
        <w:t>.” Quoted in ibid., 58 n.69.</w:t>
      </w:r>
    </w:p>
  </w:footnote>
  <w:footnote w:id="481">
    <w:p w14:paraId="6ED0C76C" w14:textId="77777777" w:rsidR="00182EED" w:rsidRDefault="00182EED" w:rsidP="008A116C">
      <w:pPr>
        <w:pStyle w:val="FootnoteText"/>
      </w:pPr>
      <w:r w:rsidRPr="00073E38">
        <w:rPr>
          <w:rStyle w:val="FootnoteReference"/>
        </w:rPr>
        <w:footnoteRef/>
      </w:r>
      <w:r>
        <w:t xml:space="preserve"> </w:t>
      </w:r>
      <w:r w:rsidRPr="0086142E">
        <w:rPr>
          <w:lang w:val="en-US"/>
        </w:rPr>
        <w:t xml:space="preserve">“Apollonio di Giovanni </w:t>
      </w:r>
      <w:proofErr w:type="spellStart"/>
      <w:r w:rsidRPr="0086142E">
        <w:rPr>
          <w:lang w:val="en-US"/>
        </w:rPr>
        <w:t>dipintore</w:t>
      </w:r>
      <w:proofErr w:type="spellEnd"/>
      <w:r w:rsidRPr="0086142E">
        <w:rPr>
          <w:lang w:val="en-US"/>
        </w:rPr>
        <w:t xml:space="preserve"> per 4 </w:t>
      </w:r>
      <w:proofErr w:type="spellStart"/>
      <w:r w:rsidRPr="0086142E">
        <w:rPr>
          <w:lang w:val="en-US"/>
        </w:rPr>
        <w:t>spiritegli</w:t>
      </w:r>
      <w:proofErr w:type="spellEnd"/>
      <w:r w:rsidRPr="0086142E">
        <w:rPr>
          <w:lang w:val="en-US"/>
        </w:rPr>
        <w:t xml:space="preserve"> mi </w:t>
      </w:r>
      <w:proofErr w:type="spellStart"/>
      <w:r w:rsidRPr="0086142E">
        <w:rPr>
          <w:lang w:val="en-US"/>
        </w:rPr>
        <w:t>conperò</w:t>
      </w:r>
      <w:proofErr w:type="spellEnd"/>
      <w:r w:rsidRPr="0086142E">
        <w:rPr>
          <w:lang w:val="en-US"/>
        </w:rPr>
        <w:t xml:space="preserve"> da Francesco </w:t>
      </w:r>
      <w:proofErr w:type="spellStart"/>
      <w:r w:rsidRPr="0086142E">
        <w:rPr>
          <w:lang w:val="en-US"/>
        </w:rPr>
        <w:t>danzello</w:t>
      </w:r>
      <w:proofErr w:type="spellEnd"/>
      <w:r w:rsidRPr="0086142E">
        <w:rPr>
          <w:lang w:val="en-US"/>
        </w:rPr>
        <w:t xml:space="preserve"> de’ Signori</w:t>
      </w:r>
      <w:r>
        <w:rPr>
          <w:lang w:val="en-US"/>
        </w:rPr>
        <w:t>.</w:t>
      </w:r>
      <w:r w:rsidRPr="0086142E">
        <w:rPr>
          <w:lang w:val="en-US"/>
        </w:rPr>
        <w:t xml:space="preserve">” </w:t>
      </w:r>
      <w:r>
        <w:rPr>
          <w:lang w:val="en-US"/>
        </w:rPr>
        <w:t xml:space="preserve">Quoted in </w:t>
      </w:r>
      <w:proofErr w:type="spellStart"/>
      <w:r w:rsidRPr="0086142E">
        <w:rPr>
          <w:lang w:val="en-US"/>
        </w:rPr>
        <w:t>Lydecker</w:t>
      </w:r>
      <w:proofErr w:type="spellEnd"/>
      <w:r w:rsidRPr="0086142E">
        <w:rPr>
          <w:lang w:val="en-US"/>
        </w:rPr>
        <w:t xml:space="preserve">, “The Domestic Setting of the Arts in Renaissance Florence,” </w:t>
      </w:r>
      <w:r>
        <w:rPr>
          <w:lang w:val="en-US"/>
        </w:rPr>
        <w:t xml:space="preserve">265. See also </w:t>
      </w:r>
      <w:r w:rsidRPr="0086142E">
        <w:rPr>
          <w:lang w:val="en-US"/>
        </w:rPr>
        <w:t xml:space="preserve">ibid., </w:t>
      </w:r>
      <w:r>
        <w:rPr>
          <w:lang w:val="en-US"/>
        </w:rPr>
        <w:t>99</w:t>
      </w:r>
      <w:r w:rsidRPr="0086142E">
        <w:rPr>
          <w:lang w:val="en-US"/>
        </w:rPr>
        <w:t>.</w:t>
      </w:r>
    </w:p>
  </w:footnote>
  <w:footnote w:id="482">
    <w:p w14:paraId="5A7F77E3" w14:textId="77777777" w:rsidR="00182EED" w:rsidRDefault="00182EED" w:rsidP="008A116C">
      <w:pPr>
        <w:pStyle w:val="FootnoteText"/>
      </w:pPr>
      <w:r w:rsidRPr="00073E38">
        <w:rPr>
          <w:rStyle w:val="FootnoteReference"/>
        </w:rPr>
        <w:footnoteRef/>
      </w:r>
      <w:r>
        <w:t xml:space="preserve"> “</w:t>
      </w:r>
      <w:r w:rsidRPr="0086142E">
        <w:rPr>
          <w:lang w:val="en-US"/>
        </w:rPr>
        <w:t xml:space="preserve">III </w:t>
      </w:r>
      <w:proofErr w:type="spellStart"/>
      <w:r w:rsidRPr="0086142E">
        <w:rPr>
          <w:lang w:val="en-US"/>
        </w:rPr>
        <w:t>agnioletti</w:t>
      </w:r>
      <w:proofErr w:type="spellEnd"/>
      <w:r w:rsidRPr="0086142E">
        <w:rPr>
          <w:lang w:val="en-US"/>
        </w:rPr>
        <w:t xml:space="preserve"> di </w:t>
      </w:r>
      <w:proofErr w:type="spellStart"/>
      <w:r w:rsidRPr="0086142E">
        <w:rPr>
          <w:lang w:val="en-US"/>
        </w:rPr>
        <w:t>giesso</w:t>
      </w:r>
      <w:proofErr w:type="spellEnd"/>
      <w:r w:rsidRPr="0086142E">
        <w:rPr>
          <w:lang w:val="en-US"/>
        </w:rPr>
        <w:t xml:space="preserve"> </w:t>
      </w:r>
      <w:proofErr w:type="spellStart"/>
      <w:r w:rsidRPr="0086142E">
        <w:rPr>
          <w:lang w:val="en-US"/>
        </w:rPr>
        <w:t>auti</w:t>
      </w:r>
      <w:proofErr w:type="spellEnd"/>
      <w:r w:rsidRPr="0086142E">
        <w:rPr>
          <w:lang w:val="en-US"/>
        </w:rPr>
        <w:t xml:space="preserve"> da Francesco </w:t>
      </w:r>
      <w:proofErr w:type="spellStart"/>
      <w:r w:rsidRPr="0086142E">
        <w:rPr>
          <w:lang w:val="en-US"/>
        </w:rPr>
        <w:t>mercaio</w:t>
      </w:r>
      <w:proofErr w:type="spellEnd"/>
      <w:r w:rsidRPr="0086142E">
        <w:rPr>
          <w:lang w:val="en-US"/>
        </w:rPr>
        <w:t xml:space="preserve"> e per </w:t>
      </w:r>
      <w:proofErr w:type="spellStart"/>
      <w:r w:rsidRPr="0086142E">
        <w:rPr>
          <w:lang w:val="en-US"/>
        </w:rPr>
        <w:t>dipintura</w:t>
      </w:r>
      <w:proofErr w:type="spellEnd"/>
      <w:r w:rsidRPr="0086142E">
        <w:rPr>
          <w:lang w:val="en-US"/>
        </w:rPr>
        <w:t xml:space="preserve"> </w:t>
      </w:r>
      <w:proofErr w:type="spellStart"/>
      <w:r w:rsidRPr="0086142E">
        <w:rPr>
          <w:lang w:val="en-US"/>
        </w:rPr>
        <w:t>d’essi</w:t>
      </w:r>
      <w:proofErr w:type="spellEnd"/>
      <w:r w:rsidRPr="0086142E">
        <w:rPr>
          <w:lang w:val="en-US"/>
        </w:rPr>
        <w:t xml:space="preserve"> a </w:t>
      </w:r>
      <w:proofErr w:type="spellStart"/>
      <w:r w:rsidRPr="0086142E">
        <w:rPr>
          <w:lang w:val="en-US"/>
        </w:rPr>
        <w:t>Richardo</w:t>
      </w:r>
      <w:proofErr w:type="spellEnd"/>
      <w:r w:rsidRPr="0086142E">
        <w:rPr>
          <w:lang w:val="en-US"/>
        </w:rPr>
        <w:t xml:space="preserve"> </w:t>
      </w:r>
      <w:proofErr w:type="spellStart"/>
      <w:r w:rsidRPr="0086142E">
        <w:rPr>
          <w:lang w:val="en-US"/>
        </w:rPr>
        <w:t>dipintore</w:t>
      </w:r>
      <w:proofErr w:type="spellEnd"/>
      <w:r>
        <w:rPr>
          <w:lang w:val="en-US"/>
        </w:rPr>
        <w:t>.</w:t>
      </w:r>
      <w:r w:rsidRPr="0086142E">
        <w:rPr>
          <w:lang w:val="en-US"/>
        </w:rPr>
        <w:t>”</w:t>
      </w:r>
      <w:r>
        <w:rPr>
          <w:lang w:val="en-US"/>
        </w:rPr>
        <w:t xml:space="preserve"> Quoted in </w:t>
      </w:r>
      <w:proofErr w:type="spellStart"/>
      <w:r w:rsidRPr="0086142E">
        <w:rPr>
          <w:lang w:val="en-US"/>
        </w:rPr>
        <w:t>Lydecker</w:t>
      </w:r>
      <w:proofErr w:type="spellEnd"/>
      <w:r w:rsidRPr="0086142E">
        <w:rPr>
          <w:lang w:val="en-US"/>
        </w:rPr>
        <w:t xml:space="preserve">, “The Domestic Setting of the Arts in Renaissance Florence,” </w:t>
      </w:r>
      <w:r>
        <w:rPr>
          <w:lang w:val="en-US"/>
        </w:rPr>
        <w:t>284. See also</w:t>
      </w:r>
      <w:r w:rsidRPr="0086142E">
        <w:rPr>
          <w:lang w:val="en-US"/>
        </w:rPr>
        <w:t xml:space="preserve"> ibid., </w:t>
      </w:r>
      <w:r>
        <w:rPr>
          <w:lang w:val="en-US"/>
        </w:rPr>
        <w:t>99.</w:t>
      </w:r>
    </w:p>
  </w:footnote>
  <w:footnote w:id="483">
    <w:p w14:paraId="672730D4" w14:textId="77777777" w:rsidR="00182EED" w:rsidRDefault="00182EED" w:rsidP="008A116C">
      <w:pPr>
        <w:pStyle w:val="FootnoteText"/>
      </w:pPr>
      <w:r w:rsidRPr="00073E38">
        <w:rPr>
          <w:rStyle w:val="FootnoteReference"/>
        </w:rPr>
        <w:footnoteRef/>
      </w:r>
      <w:r>
        <w:t xml:space="preserve"> </w:t>
      </w:r>
      <w:r w:rsidRPr="0086142E">
        <w:rPr>
          <w:lang w:val="en-US"/>
        </w:rPr>
        <w:t xml:space="preserve">“2 </w:t>
      </w:r>
      <w:proofErr w:type="spellStart"/>
      <w:r w:rsidRPr="0086142E">
        <w:rPr>
          <w:lang w:val="en-US"/>
        </w:rPr>
        <w:t>fighure</w:t>
      </w:r>
      <w:proofErr w:type="spellEnd"/>
      <w:r w:rsidRPr="0086142E">
        <w:rPr>
          <w:lang w:val="en-US"/>
        </w:rPr>
        <w:t xml:space="preserve"> con 12 </w:t>
      </w:r>
      <w:proofErr w:type="spellStart"/>
      <w:r w:rsidRPr="0086142E">
        <w:rPr>
          <w:lang w:val="en-US"/>
        </w:rPr>
        <w:t>banbini</w:t>
      </w:r>
      <w:proofErr w:type="spellEnd"/>
      <w:r w:rsidRPr="0086142E">
        <w:rPr>
          <w:lang w:val="en-US"/>
        </w:rPr>
        <w:t xml:space="preserve"> sopra al </w:t>
      </w:r>
      <w:proofErr w:type="spellStart"/>
      <w:r w:rsidRPr="0086142E">
        <w:rPr>
          <w:lang w:val="en-US"/>
        </w:rPr>
        <w:t>uscio</w:t>
      </w:r>
      <w:proofErr w:type="spellEnd"/>
      <w:r w:rsidRPr="0086142E">
        <w:rPr>
          <w:lang w:val="en-US"/>
        </w:rPr>
        <w:t xml:space="preserve">,” quoted in </w:t>
      </w:r>
      <w:proofErr w:type="spellStart"/>
      <w:r w:rsidRPr="0086142E">
        <w:rPr>
          <w:lang w:val="en-US"/>
        </w:rPr>
        <w:t>Lydecker</w:t>
      </w:r>
      <w:proofErr w:type="spellEnd"/>
      <w:r w:rsidRPr="0086142E">
        <w:rPr>
          <w:lang w:val="en-US"/>
        </w:rPr>
        <w:t xml:space="preserve">, “The Domestic Setting of the Arts in Renaissance Florence,” 68, n.94; “2 figure di terra, 1 di </w:t>
      </w:r>
      <w:proofErr w:type="spellStart"/>
      <w:r w:rsidRPr="0086142E">
        <w:rPr>
          <w:lang w:val="en-US"/>
        </w:rPr>
        <w:t>Nostro</w:t>
      </w:r>
      <w:proofErr w:type="spellEnd"/>
      <w:r w:rsidRPr="0086142E">
        <w:rPr>
          <w:lang w:val="en-US"/>
        </w:rPr>
        <w:t xml:space="preserve"> Signore e 1 di bambino,” quoted in ibid., 69, n.94. These works are listed in the inventory of </w:t>
      </w:r>
      <w:proofErr w:type="spellStart"/>
      <w:r w:rsidRPr="0086142E">
        <w:rPr>
          <w:lang w:val="en-US"/>
        </w:rPr>
        <w:t>Inghirammi’s</w:t>
      </w:r>
      <w:proofErr w:type="spellEnd"/>
      <w:r w:rsidRPr="0086142E">
        <w:rPr>
          <w:lang w:val="en-US"/>
        </w:rPr>
        <w:t xml:space="preserve"> possessions carried out on 16 April 1513.</w:t>
      </w:r>
    </w:p>
  </w:footnote>
  <w:footnote w:id="484">
    <w:p w14:paraId="65892E66" w14:textId="77777777" w:rsidR="00182EED" w:rsidRDefault="00182EED" w:rsidP="008A116C">
      <w:pPr>
        <w:pStyle w:val="FootnoteText"/>
      </w:pPr>
      <w:r w:rsidRPr="00073E38">
        <w:rPr>
          <w:rStyle w:val="FootnoteReference"/>
        </w:rPr>
        <w:footnoteRef/>
      </w:r>
      <w:r>
        <w:t xml:space="preserve"> </w:t>
      </w:r>
      <w:proofErr w:type="spellStart"/>
      <w:r w:rsidRPr="0086142E">
        <w:rPr>
          <w:lang w:val="en-US"/>
        </w:rPr>
        <w:t>Lydecker</w:t>
      </w:r>
      <w:proofErr w:type="spellEnd"/>
      <w:r w:rsidRPr="0086142E">
        <w:rPr>
          <w:lang w:val="en-US"/>
        </w:rPr>
        <w:t xml:space="preserve">, “The Domestic Setting of the Arts in Renaissance Florence,” 177. </w:t>
      </w:r>
      <w:proofErr w:type="spellStart"/>
      <w:r w:rsidRPr="0086142E">
        <w:rPr>
          <w:lang w:val="en-US"/>
        </w:rPr>
        <w:t>Lydecker</w:t>
      </w:r>
      <w:proofErr w:type="spellEnd"/>
      <w:r w:rsidRPr="0086142E">
        <w:rPr>
          <w:lang w:val="en-US"/>
        </w:rPr>
        <w:t xml:space="preserve"> quotes a number of inventories from Florentine households throughout his dissertation, which include at least one depiction of the Virgin.</w:t>
      </w:r>
    </w:p>
  </w:footnote>
  <w:footnote w:id="485">
    <w:p w14:paraId="5AC5E2C8" w14:textId="77777777" w:rsidR="00182EED" w:rsidRDefault="00182EED" w:rsidP="008A116C">
      <w:pPr>
        <w:pStyle w:val="FootnoteText"/>
      </w:pPr>
      <w:r w:rsidRPr="00073E38">
        <w:rPr>
          <w:rStyle w:val="FootnoteReference"/>
        </w:rPr>
        <w:footnoteRef/>
      </w:r>
      <w:r>
        <w:t xml:space="preserve"> </w:t>
      </w:r>
      <w:r w:rsidRPr="005B5BD9">
        <w:rPr>
          <w:lang w:val="en-US"/>
        </w:rPr>
        <w:t>Cooper, “Devotion</w:t>
      </w:r>
      <w:r>
        <w:rPr>
          <w:lang w:val="en-US"/>
        </w:rPr>
        <w:t>,”</w:t>
      </w:r>
      <w:r w:rsidRPr="005B5BD9">
        <w:rPr>
          <w:lang w:val="en-US"/>
        </w:rPr>
        <w:t xml:space="preserve"> 192.</w:t>
      </w:r>
    </w:p>
  </w:footnote>
  <w:footnote w:id="486">
    <w:p w14:paraId="749A09CA" w14:textId="77777777" w:rsidR="00182EED" w:rsidRPr="005D2A5B" w:rsidRDefault="00182EED" w:rsidP="008A116C">
      <w:pPr>
        <w:pStyle w:val="Footnote"/>
      </w:pPr>
      <w:r w:rsidRPr="00073E38">
        <w:rPr>
          <w:rStyle w:val="FootnoteReference"/>
        </w:rPr>
        <w:footnoteRef/>
      </w:r>
      <w:r w:rsidRPr="005D2A5B">
        <w:t xml:space="preserve"> </w:t>
      </w:r>
      <w:r>
        <w:t xml:space="preserve">Depictions of musical angels will be discussed in Chapters 3 and 4. </w:t>
      </w:r>
      <w:r w:rsidRPr="005D2A5B">
        <w:t xml:space="preserve">More information on </w:t>
      </w:r>
      <w:r w:rsidRPr="00984B55">
        <w:rPr>
          <w:i/>
        </w:rPr>
        <w:t>tactus</w:t>
      </w:r>
      <w:r w:rsidRPr="005D2A5B">
        <w:t xml:space="preserve"> can be found in chapter 3.2.1.</w:t>
      </w:r>
    </w:p>
  </w:footnote>
  <w:footnote w:id="487">
    <w:p w14:paraId="5476833E" w14:textId="77777777" w:rsidR="00182EED" w:rsidRPr="00DD3A75" w:rsidRDefault="00182EED" w:rsidP="008A116C">
      <w:pPr>
        <w:pStyle w:val="Footnote"/>
        <w:rPr>
          <w:highlight w:val="yellow"/>
        </w:rPr>
      </w:pPr>
      <w:r w:rsidRPr="00073E38">
        <w:rPr>
          <w:rStyle w:val="FootnoteReference"/>
        </w:rPr>
        <w:footnoteRef/>
      </w:r>
      <w:r w:rsidRPr="005D2A5B">
        <w:t xml:space="preserve"> In fact, sometimes even the main characters, such as the infant Christ, are omitted in</w:t>
      </w:r>
      <w:r w:rsidRPr="003D67D1">
        <w:t xml:space="preserve"> these descriptions.</w:t>
      </w:r>
    </w:p>
  </w:footnote>
  <w:footnote w:id="488">
    <w:p w14:paraId="6195BAE9" w14:textId="77777777" w:rsidR="00182EED" w:rsidRDefault="00182EED" w:rsidP="008A116C">
      <w:pPr>
        <w:pStyle w:val="FootnoteText"/>
      </w:pPr>
      <w:r w:rsidRPr="00073E38">
        <w:rPr>
          <w:rStyle w:val="FootnoteReference"/>
        </w:rPr>
        <w:footnoteRef/>
      </w:r>
      <w:r>
        <w:t xml:space="preserve"> </w:t>
      </w:r>
      <w:r w:rsidRPr="005B5BD9">
        <w:rPr>
          <w:lang w:val="en-US"/>
        </w:rPr>
        <w:t xml:space="preserve">Quoted in Schiaparelli, </w:t>
      </w:r>
      <w:r w:rsidRPr="005B5BD9">
        <w:rPr>
          <w:i/>
          <w:iCs/>
          <w:lang w:val="en-US"/>
        </w:rPr>
        <w:t xml:space="preserve">La casa </w:t>
      </w:r>
      <w:proofErr w:type="spellStart"/>
      <w:r w:rsidRPr="005B5BD9">
        <w:rPr>
          <w:i/>
          <w:iCs/>
          <w:lang w:val="en-US"/>
        </w:rPr>
        <w:t>fiorentina</w:t>
      </w:r>
      <w:proofErr w:type="spellEnd"/>
      <w:r w:rsidRPr="005B5BD9">
        <w:rPr>
          <w:i/>
          <w:iCs/>
          <w:lang w:val="en-US"/>
        </w:rPr>
        <w:t xml:space="preserve"> e </w:t>
      </w:r>
      <w:proofErr w:type="spellStart"/>
      <w:r w:rsidRPr="005B5BD9">
        <w:rPr>
          <w:i/>
          <w:iCs/>
          <w:lang w:val="en-US"/>
        </w:rPr>
        <w:t>i</w:t>
      </w:r>
      <w:proofErr w:type="spellEnd"/>
      <w:r w:rsidRPr="005B5BD9">
        <w:rPr>
          <w:i/>
          <w:iCs/>
          <w:lang w:val="en-US"/>
        </w:rPr>
        <w:t xml:space="preserve"> </w:t>
      </w:r>
      <w:proofErr w:type="spellStart"/>
      <w:r w:rsidRPr="005B5BD9">
        <w:rPr>
          <w:i/>
          <w:iCs/>
          <w:lang w:val="en-US"/>
        </w:rPr>
        <w:t>suoi</w:t>
      </w:r>
      <w:proofErr w:type="spellEnd"/>
      <w:r w:rsidRPr="005B5BD9">
        <w:rPr>
          <w:i/>
          <w:iCs/>
          <w:lang w:val="en-US"/>
        </w:rPr>
        <w:t xml:space="preserve"> </w:t>
      </w:r>
      <w:proofErr w:type="spellStart"/>
      <w:r w:rsidRPr="005B5BD9">
        <w:rPr>
          <w:i/>
          <w:iCs/>
          <w:lang w:val="en-US"/>
        </w:rPr>
        <w:t>arredi</w:t>
      </w:r>
      <w:proofErr w:type="spellEnd"/>
      <w:r w:rsidRPr="005B5BD9">
        <w:rPr>
          <w:i/>
          <w:iCs/>
          <w:lang w:val="en-US"/>
        </w:rPr>
        <w:t xml:space="preserve"> </w:t>
      </w:r>
      <w:proofErr w:type="spellStart"/>
      <w:r w:rsidRPr="005B5BD9">
        <w:rPr>
          <w:i/>
          <w:iCs/>
          <w:lang w:val="en-US"/>
        </w:rPr>
        <w:t>nei</w:t>
      </w:r>
      <w:proofErr w:type="spellEnd"/>
      <w:r w:rsidRPr="005B5BD9">
        <w:rPr>
          <w:i/>
          <w:iCs/>
          <w:lang w:val="en-US"/>
        </w:rPr>
        <w:t xml:space="preserve"> </w:t>
      </w:r>
      <w:proofErr w:type="spellStart"/>
      <w:r w:rsidRPr="005B5BD9">
        <w:rPr>
          <w:i/>
          <w:iCs/>
          <w:lang w:val="en-US"/>
        </w:rPr>
        <w:t>secoli</w:t>
      </w:r>
      <w:proofErr w:type="spellEnd"/>
      <w:r w:rsidRPr="005B5BD9">
        <w:rPr>
          <w:i/>
          <w:iCs/>
          <w:lang w:val="en-US"/>
        </w:rPr>
        <w:t xml:space="preserve"> XIV e XV</w:t>
      </w:r>
      <w:r w:rsidRPr="005B5BD9">
        <w:rPr>
          <w:lang w:val="en-US"/>
        </w:rPr>
        <w:t>, 1:184, n.2.</w:t>
      </w:r>
    </w:p>
  </w:footnote>
  <w:footnote w:id="489">
    <w:p w14:paraId="4830713C" w14:textId="77777777" w:rsidR="00182EED" w:rsidRDefault="00182EED" w:rsidP="008A116C">
      <w:pPr>
        <w:pStyle w:val="FootnoteText"/>
      </w:pPr>
      <w:r w:rsidRPr="00073E38">
        <w:rPr>
          <w:rStyle w:val="FootnoteReference"/>
        </w:rPr>
        <w:footnoteRef/>
      </w:r>
      <w:r>
        <w:t xml:space="preserve"> </w:t>
      </w:r>
      <w:r w:rsidRPr="005B5BD9">
        <w:rPr>
          <w:lang w:val="en-US"/>
        </w:rPr>
        <w:t xml:space="preserve">Ibid., 1:186–87, n.1; More examples of </w:t>
      </w:r>
      <w:proofErr w:type="spellStart"/>
      <w:r w:rsidRPr="005B5BD9">
        <w:rPr>
          <w:lang w:val="en-US"/>
        </w:rPr>
        <w:t>tavole</w:t>
      </w:r>
      <w:proofErr w:type="spellEnd"/>
      <w:r w:rsidRPr="005B5BD9">
        <w:rPr>
          <w:lang w:val="en-US"/>
        </w:rPr>
        <w:t xml:space="preserve"> di Nostra Donna can be found in </w:t>
      </w:r>
      <w:proofErr w:type="spellStart"/>
      <w:r w:rsidRPr="005B5BD9">
        <w:rPr>
          <w:lang w:val="en-US"/>
        </w:rPr>
        <w:t>Lydecker</w:t>
      </w:r>
      <w:proofErr w:type="spellEnd"/>
      <w:r w:rsidRPr="005B5BD9">
        <w:rPr>
          <w:lang w:val="en-US"/>
        </w:rPr>
        <w:t>, “The Domestic Setting of the Arts in Renaissance Florence,” 61–64.</w:t>
      </w:r>
    </w:p>
  </w:footnote>
  <w:footnote w:id="490">
    <w:p w14:paraId="0574D68E" w14:textId="77777777" w:rsidR="00182EED" w:rsidRDefault="00182EED" w:rsidP="008A116C">
      <w:pPr>
        <w:pStyle w:val="FootnoteText"/>
      </w:pPr>
      <w:r w:rsidRPr="00073E38">
        <w:rPr>
          <w:rStyle w:val="FootnoteReference"/>
        </w:rPr>
        <w:footnoteRef/>
      </w:r>
      <w:r>
        <w:t xml:space="preserve"> </w:t>
      </w:r>
      <w:r w:rsidRPr="005B5BD9">
        <w:rPr>
          <w:lang w:val="en-US"/>
        </w:rPr>
        <w:t xml:space="preserve">On the frequent presence of material and sizes in the description of objects, see </w:t>
      </w:r>
      <w:proofErr w:type="spellStart"/>
      <w:r w:rsidRPr="005B5BD9">
        <w:rPr>
          <w:lang w:val="en-US"/>
        </w:rPr>
        <w:t>Lydecker</w:t>
      </w:r>
      <w:proofErr w:type="spellEnd"/>
      <w:r w:rsidRPr="005B5BD9">
        <w:rPr>
          <w:lang w:val="en-US"/>
        </w:rPr>
        <w:t>, “The Domestic Setting of the Arts in Renaissance Florence,” 14.</w:t>
      </w:r>
    </w:p>
  </w:footnote>
  <w:footnote w:id="491">
    <w:p w14:paraId="6E57AB33" w14:textId="77777777" w:rsidR="00182EED" w:rsidRDefault="00182EED" w:rsidP="008A116C">
      <w:pPr>
        <w:pStyle w:val="FootnoteText"/>
      </w:pPr>
      <w:r w:rsidRPr="00073E38">
        <w:rPr>
          <w:rStyle w:val="FootnoteReference"/>
        </w:rPr>
        <w:footnoteRef/>
      </w:r>
      <w:r>
        <w:t xml:space="preserve"> </w:t>
      </w:r>
      <w:r w:rsidRPr="005B5BD9">
        <w:rPr>
          <w:lang w:val="en-US"/>
        </w:rPr>
        <w:t xml:space="preserve">Ronald G. Kecks, </w:t>
      </w:r>
      <w:r w:rsidRPr="005B5BD9">
        <w:rPr>
          <w:i/>
          <w:iCs/>
          <w:lang w:val="en-US"/>
        </w:rPr>
        <w:t xml:space="preserve">Madonna Und </w:t>
      </w:r>
      <w:r w:rsidRPr="005B5BD9">
        <w:rPr>
          <w:i/>
          <w:iCs/>
          <w:lang w:val="en-US"/>
        </w:rPr>
        <w:t xml:space="preserve">Kind : Das </w:t>
      </w:r>
      <w:proofErr w:type="spellStart"/>
      <w:r w:rsidRPr="005B5BD9">
        <w:rPr>
          <w:i/>
          <w:iCs/>
          <w:lang w:val="en-US"/>
        </w:rPr>
        <w:t>Häusliche</w:t>
      </w:r>
      <w:proofErr w:type="spellEnd"/>
      <w:r w:rsidRPr="005B5BD9">
        <w:rPr>
          <w:i/>
          <w:iCs/>
          <w:lang w:val="en-US"/>
        </w:rPr>
        <w:t xml:space="preserve"> </w:t>
      </w:r>
      <w:proofErr w:type="spellStart"/>
      <w:r w:rsidRPr="005B5BD9">
        <w:rPr>
          <w:i/>
          <w:iCs/>
          <w:lang w:val="en-US"/>
        </w:rPr>
        <w:t>Andachtsbild</w:t>
      </w:r>
      <w:proofErr w:type="spellEnd"/>
      <w:r w:rsidRPr="005B5BD9">
        <w:rPr>
          <w:i/>
          <w:iCs/>
          <w:lang w:val="en-US"/>
        </w:rPr>
        <w:t xml:space="preserve"> </w:t>
      </w:r>
      <w:proofErr w:type="spellStart"/>
      <w:r w:rsidRPr="005B5BD9">
        <w:rPr>
          <w:i/>
          <w:iCs/>
          <w:lang w:val="en-US"/>
        </w:rPr>
        <w:t>Im</w:t>
      </w:r>
      <w:proofErr w:type="spellEnd"/>
      <w:r w:rsidRPr="005B5BD9">
        <w:rPr>
          <w:i/>
          <w:iCs/>
          <w:lang w:val="en-US"/>
        </w:rPr>
        <w:t xml:space="preserve"> </w:t>
      </w:r>
      <w:proofErr w:type="spellStart"/>
      <w:r w:rsidRPr="005B5BD9">
        <w:rPr>
          <w:i/>
          <w:iCs/>
          <w:lang w:val="en-US"/>
        </w:rPr>
        <w:t>Florenz</w:t>
      </w:r>
      <w:proofErr w:type="spellEnd"/>
      <w:r w:rsidRPr="005B5BD9">
        <w:rPr>
          <w:i/>
          <w:iCs/>
          <w:lang w:val="en-US"/>
        </w:rPr>
        <w:t xml:space="preserve"> Des 15. </w:t>
      </w:r>
      <w:proofErr w:type="spellStart"/>
      <w:r w:rsidRPr="005B5BD9">
        <w:rPr>
          <w:i/>
          <w:iCs/>
          <w:lang w:val="en-US"/>
        </w:rPr>
        <w:t>Jahrhunderts</w:t>
      </w:r>
      <w:proofErr w:type="spellEnd"/>
      <w:r w:rsidRPr="005B5BD9">
        <w:rPr>
          <w:lang w:val="en-US"/>
        </w:rPr>
        <w:t xml:space="preserve"> (Berlin: </w:t>
      </w:r>
      <w:proofErr w:type="spellStart"/>
      <w:r w:rsidRPr="005B5BD9">
        <w:rPr>
          <w:lang w:val="en-US"/>
        </w:rPr>
        <w:t>Gebr</w:t>
      </w:r>
      <w:proofErr w:type="spellEnd"/>
      <w:r w:rsidRPr="005B5BD9">
        <w:rPr>
          <w:lang w:val="en-US"/>
        </w:rPr>
        <w:t xml:space="preserve">. Mann, 1988), 65; on the likeness of sixteenth-century depictions of angels to humans, see also Gill, </w:t>
      </w:r>
      <w:r w:rsidRPr="005B5BD9">
        <w:rPr>
          <w:i/>
          <w:iCs/>
          <w:lang w:val="en-US"/>
        </w:rPr>
        <w:t>Angels and the Order of Heaven in Medieval and Renaissance Italy</w:t>
      </w:r>
      <w:r w:rsidRPr="005B5BD9">
        <w:rPr>
          <w:lang w:val="en-US"/>
        </w:rPr>
        <w:t xml:space="preserve">, 151; Gill, </w:t>
      </w:r>
      <w:r w:rsidRPr="005B5BD9">
        <w:rPr>
          <w:i/>
          <w:iCs/>
          <w:lang w:val="en-US"/>
        </w:rPr>
        <w:t>Angels and the Order of Heaven in Medieval and Renaissance Italy</w:t>
      </w:r>
      <w:r w:rsidRPr="005B5BD9">
        <w:rPr>
          <w:lang w:val="en-US"/>
        </w:rPr>
        <w:t>.</w:t>
      </w:r>
    </w:p>
  </w:footnote>
  <w:footnote w:id="492">
    <w:p w14:paraId="344FA469" w14:textId="77777777" w:rsidR="00182EED" w:rsidRPr="00386BF6" w:rsidRDefault="00182EED" w:rsidP="00386BF6">
      <w:pPr>
        <w:spacing w:line="240" w:lineRule="auto"/>
        <w:rPr>
          <w:sz w:val="18"/>
          <w:szCs w:val="18"/>
        </w:rPr>
      </w:pPr>
      <w:r w:rsidRPr="00386BF6">
        <w:rPr>
          <w:rStyle w:val="FootnoteReference"/>
          <w:sz w:val="18"/>
          <w:szCs w:val="18"/>
        </w:rPr>
        <w:footnoteRef/>
      </w:r>
      <w:r w:rsidRPr="00386BF6">
        <w:rPr>
          <w:sz w:val="18"/>
          <w:szCs w:val="18"/>
        </w:rPr>
        <w:t xml:space="preserve"> Piero </w:t>
      </w:r>
      <w:proofErr w:type="spellStart"/>
      <w:r w:rsidRPr="00386BF6">
        <w:rPr>
          <w:sz w:val="18"/>
          <w:szCs w:val="18"/>
        </w:rPr>
        <w:t>della</w:t>
      </w:r>
      <w:proofErr w:type="spellEnd"/>
      <w:r w:rsidRPr="00386BF6">
        <w:rPr>
          <w:sz w:val="18"/>
          <w:szCs w:val="18"/>
        </w:rPr>
        <w:t xml:space="preserve"> Francesca’s </w:t>
      </w:r>
      <w:r w:rsidRPr="00386BF6">
        <w:rPr>
          <w:i/>
          <w:sz w:val="18"/>
          <w:szCs w:val="18"/>
        </w:rPr>
        <w:t>Nativity</w:t>
      </w:r>
      <w:r w:rsidRPr="00386BF6">
        <w:rPr>
          <w:sz w:val="18"/>
          <w:szCs w:val="18"/>
        </w:rPr>
        <w:t xml:space="preserve"> will be discussed in further detail in Chapter 4.</w:t>
      </w:r>
    </w:p>
  </w:footnote>
  <w:footnote w:id="493">
    <w:p w14:paraId="6E6324BC" w14:textId="77777777" w:rsidR="00182EED" w:rsidRDefault="00182EED" w:rsidP="008A116C">
      <w:pPr>
        <w:pStyle w:val="FootnoteText"/>
      </w:pPr>
      <w:r w:rsidRPr="00073E38">
        <w:rPr>
          <w:rStyle w:val="FootnoteReference"/>
        </w:rPr>
        <w:footnoteRef/>
      </w:r>
      <w:r>
        <w:t xml:space="preserve"> </w:t>
      </w:r>
      <w:r w:rsidRPr="005B5BD9">
        <w:rPr>
          <w:lang w:val="en-US"/>
        </w:rPr>
        <w:t xml:space="preserve">See Marta </w:t>
      </w:r>
      <w:proofErr w:type="spellStart"/>
      <w:r w:rsidRPr="005B5BD9">
        <w:rPr>
          <w:lang w:val="en-US"/>
        </w:rPr>
        <w:t>Ajmar-Wollheim</w:t>
      </w:r>
      <w:proofErr w:type="spellEnd"/>
      <w:r w:rsidRPr="005B5BD9">
        <w:rPr>
          <w:lang w:val="en-US"/>
        </w:rPr>
        <w:t xml:space="preserve"> and Flora Dennis, eds., </w:t>
      </w:r>
      <w:r w:rsidRPr="005B5BD9">
        <w:rPr>
          <w:i/>
          <w:iCs/>
          <w:lang w:val="en-US"/>
        </w:rPr>
        <w:t>At Home in Renaissance Italy</w:t>
      </w:r>
      <w:r w:rsidRPr="005B5BD9">
        <w:rPr>
          <w:lang w:val="en-US"/>
        </w:rPr>
        <w:t xml:space="preserve"> (London: V&amp;A Publications, 2006); Elizabeth Carroll </w:t>
      </w:r>
      <w:proofErr w:type="spellStart"/>
      <w:r w:rsidRPr="005B5BD9">
        <w:rPr>
          <w:lang w:val="en-US"/>
        </w:rPr>
        <w:t>Consavari</w:t>
      </w:r>
      <w:proofErr w:type="spellEnd"/>
      <w:r w:rsidRPr="005B5BD9">
        <w:rPr>
          <w:lang w:val="en-US"/>
        </w:rPr>
        <w:t xml:space="preserve">, Stephanie R Miller, and Erin J Campbell, eds., </w:t>
      </w:r>
      <w:r w:rsidRPr="005B5BD9">
        <w:rPr>
          <w:i/>
          <w:iCs/>
          <w:lang w:val="en-US"/>
        </w:rPr>
        <w:t>The Early Modern Italian Domestic Interior, 1400-1700: Objects, Spaces, Domesticities</w:t>
      </w:r>
      <w:r w:rsidRPr="005B5BD9">
        <w:rPr>
          <w:lang w:val="en-US"/>
        </w:rPr>
        <w:t xml:space="preserve"> (</w:t>
      </w:r>
      <w:proofErr w:type="spellStart"/>
      <w:r w:rsidRPr="005B5BD9">
        <w:rPr>
          <w:lang w:val="en-US"/>
        </w:rPr>
        <w:t>Farnham</w:t>
      </w:r>
      <w:proofErr w:type="spellEnd"/>
      <w:r w:rsidRPr="005B5BD9">
        <w:rPr>
          <w:lang w:val="en-US"/>
        </w:rPr>
        <w:t xml:space="preserve">: Ashgate, 2014); Giovanna </w:t>
      </w:r>
      <w:proofErr w:type="spellStart"/>
      <w:r w:rsidRPr="005B5BD9">
        <w:rPr>
          <w:lang w:val="en-US"/>
        </w:rPr>
        <w:t>Baldissin</w:t>
      </w:r>
      <w:proofErr w:type="spellEnd"/>
      <w:r w:rsidRPr="005B5BD9">
        <w:rPr>
          <w:lang w:val="en-US"/>
        </w:rPr>
        <w:t xml:space="preserve"> </w:t>
      </w:r>
      <w:proofErr w:type="spellStart"/>
      <w:r w:rsidRPr="005B5BD9">
        <w:rPr>
          <w:lang w:val="en-US"/>
        </w:rPr>
        <w:t>Molli</w:t>
      </w:r>
      <w:proofErr w:type="spellEnd"/>
      <w:r w:rsidRPr="005B5BD9">
        <w:rPr>
          <w:lang w:val="en-US"/>
        </w:rPr>
        <w:t xml:space="preserve">, Cristina </w:t>
      </w:r>
      <w:proofErr w:type="spellStart"/>
      <w:r w:rsidRPr="005B5BD9">
        <w:rPr>
          <w:lang w:val="en-US"/>
        </w:rPr>
        <w:t>Guarnieri</w:t>
      </w:r>
      <w:proofErr w:type="spellEnd"/>
      <w:r w:rsidRPr="005B5BD9">
        <w:rPr>
          <w:lang w:val="en-US"/>
        </w:rPr>
        <w:t xml:space="preserve">, and Zuleika Murat, eds., </w:t>
      </w:r>
      <w:proofErr w:type="spellStart"/>
      <w:r w:rsidRPr="005B5BD9">
        <w:rPr>
          <w:i/>
          <w:iCs/>
          <w:lang w:val="en-US"/>
        </w:rPr>
        <w:t>Pregare</w:t>
      </w:r>
      <w:proofErr w:type="spellEnd"/>
      <w:r w:rsidRPr="005B5BD9">
        <w:rPr>
          <w:i/>
          <w:iCs/>
          <w:lang w:val="en-US"/>
        </w:rPr>
        <w:t xml:space="preserve"> in casa: </w:t>
      </w:r>
      <w:proofErr w:type="spellStart"/>
      <w:r w:rsidRPr="005B5BD9">
        <w:rPr>
          <w:i/>
          <w:iCs/>
          <w:lang w:val="en-US"/>
        </w:rPr>
        <w:t>oggetti</w:t>
      </w:r>
      <w:proofErr w:type="spellEnd"/>
      <w:r w:rsidRPr="005B5BD9">
        <w:rPr>
          <w:i/>
          <w:iCs/>
          <w:lang w:val="en-US"/>
        </w:rPr>
        <w:t xml:space="preserve"> e </w:t>
      </w:r>
      <w:proofErr w:type="spellStart"/>
      <w:r w:rsidRPr="005B5BD9">
        <w:rPr>
          <w:i/>
          <w:iCs/>
          <w:lang w:val="en-US"/>
        </w:rPr>
        <w:t>documenti</w:t>
      </w:r>
      <w:proofErr w:type="spellEnd"/>
      <w:r w:rsidRPr="005B5BD9">
        <w:rPr>
          <w:i/>
          <w:iCs/>
          <w:lang w:val="en-US"/>
        </w:rPr>
        <w:t xml:space="preserve"> </w:t>
      </w:r>
      <w:proofErr w:type="spellStart"/>
      <w:r w:rsidRPr="005B5BD9">
        <w:rPr>
          <w:i/>
          <w:iCs/>
          <w:lang w:val="en-US"/>
        </w:rPr>
        <w:t>della</w:t>
      </w:r>
      <w:proofErr w:type="spellEnd"/>
      <w:r w:rsidRPr="005B5BD9">
        <w:rPr>
          <w:i/>
          <w:iCs/>
          <w:lang w:val="en-US"/>
        </w:rPr>
        <w:t xml:space="preserve"> </w:t>
      </w:r>
      <w:proofErr w:type="spellStart"/>
      <w:r w:rsidRPr="005B5BD9">
        <w:rPr>
          <w:i/>
          <w:iCs/>
          <w:lang w:val="en-US"/>
        </w:rPr>
        <w:t>pratica</w:t>
      </w:r>
      <w:proofErr w:type="spellEnd"/>
      <w:r w:rsidRPr="005B5BD9">
        <w:rPr>
          <w:i/>
          <w:iCs/>
          <w:lang w:val="en-US"/>
        </w:rPr>
        <w:t xml:space="preserve"> religiosa </w:t>
      </w:r>
      <w:proofErr w:type="spellStart"/>
      <w:r w:rsidRPr="005B5BD9">
        <w:rPr>
          <w:i/>
          <w:iCs/>
          <w:lang w:val="en-US"/>
        </w:rPr>
        <w:t>tra</w:t>
      </w:r>
      <w:proofErr w:type="spellEnd"/>
      <w:r w:rsidRPr="005B5BD9">
        <w:rPr>
          <w:i/>
          <w:iCs/>
          <w:lang w:val="en-US"/>
        </w:rPr>
        <w:t xml:space="preserve"> </w:t>
      </w:r>
      <w:proofErr w:type="spellStart"/>
      <w:r w:rsidRPr="005B5BD9">
        <w:rPr>
          <w:i/>
          <w:iCs/>
          <w:lang w:val="en-US"/>
        </w:rPr>
        <w:t>Medioevo</w:t>
      </w:r>
      <w:proofErr w:type="spellEnd"/>
      <w:r w:rsidRPr="005B5BD9">
        <w:rPr>
          <w:i/>
          <w:iCs/>
          <w:lang w:val="en-US"/>
        </w:rPr>
        <w:t xml:space="preserve"> e </w:t>
      </w:r>
      <w:proofErr w:type="spellStart"/>
      <w:r w:rsidRPr="005B5BD9">
        <w:rPr>
          <w:i/>
          <w:iCs/>
          <w:lang w:val="en-US"/>
        </w:rPr>
        <w:t>Rinascimento</w:t>
      </w:r>
      <w:proofErr w:type="spellEnd"/>
      <w:r w:rsidRPr="005B5BD9">
        <w:rPr>
          <w:lang w:val="en-US"/>
        </w:rPr>
        <w:t xml:space="preserve"> (Rome: </w:t>
      </w:r>
      <w:proofErr w:type="spellStart"/>
      <w:r w:rsidRPr="005B5BD9">
        <w:rPr>
          <w:lang w:val="en-US"/>
        </w:rPr>
        <w:t>Viella</w:t>
      </w:r>
      <w:proofErr w:type="spellEnd"/>
      <w:r w:rsidRPr="005B5BD9">
        <w:rPr>
          <w:lang w:val="en-US"/>
        </w:rPr>
        <w:t xml:space="preserve">, 2018); </w:t>
      </w:r>
      <w:proofErr w:type="spellStart"/>
      <w:r w:rsidRPr="005B5BD9">
        <w:rPr>
          <w:lang w:val="en-US"/>
        </w:rPr>
        <w:t>Brundin</w:t>
      </w:r>
      <w:proofErr w:type="spellEnd"/>
      <w:r w:rsidRPr="005B5BD9">
        <w:rPr>
          <w:lang w:val="en-US"/>
        </w:rPr>
        <w:t xml:space="preserve">, Howard, and </w:t>
      </w:r>
      <w:proofErr w:type="spellStart"/>
      <w:r w:rsidRPr="005B5BD9">
        <w:rPr>
          <w:lang w:val="en-US"/>
        </w:rPr>
        <w:t>Laven</w:t>
      </w:r>
      <w:proofErr w:type="spellEnd"/>
      <w:r w:rsidRPr="005B5BD9">
        <w:rPr>
          <w:lang w:val="en-US"/>
        </w:rPr>
        <w:t xml:space="preserve">, </w:t>
      </w:r>
      <w:r w:rsidRPr="005B5BD9">
        <w:rPr>
          <w:i/>
          <w:iCs/>
          <w:lang w:val="en-US"/>
        </w:rPr>
        <w:t>The Sacred Home in Renaissance Italy</w:t>
      </w:r>
      <w:r w:rsidRPr="005B5BD9">
        <w:rPr>
          <w:lang w:val="en-US"/>
        </w:rPr>
        <w:t xml:space="preserve">; Maya Corry, Marco </w:t>
      </w:r>
      <w:proofErr w:type="spellStart"/>
      <w:r w:rsidRPr="005B5BD9">
        <w:rPr>
          <w:lang w:val="en-US"/>
        </w:rPr>
        <w:t>Faini</w:t>
      </w:r>
      <w:proofErr w:type="spellEnd"/>
      <w:r w:rsidRPr="005B5BD9">
        <w:rPr>
          <w:lang w:val="en-US"/>
        </w:rPr>
        <w:t xml:space="preserve">, and Alessia </w:t>
      </w:r>
      <w:proofErr w:type="spellStart"/>
      <w:r w:rsidRPr="005B5BD9">
        <w:rPr>
          <w:lang w:val="en-US"/>
        </w:rPr>
        <w:t>Meneghin</w:t>
      </w:r>
      <w:proofErr w:type="spellEnd"/>
      <w:r w:rsidRPr="005B5BD9">
        <w:rPr>
          <w:lang w:val="en-US"/>
        </w:rPr>
        <w:t xml:space="preserve">, eds., </w:t>
      </w:r>
      <w:r w:rsidRPr="005B5BD9">
        <w:rPr>
          <w:i/>
          <w:iCs/>
          <w:lang w:val="en-US"/>
        </w:rPr>
        <w:t>Domestic Devotions in Early Modern Italy</w:t>
      </w:r>
      <w:r w:rsidRPr="005B5BD9">
        <w:rPr>
          <w:lang w:val="en-US"/>
        </w:rPr>
        <w:t xml:space="preserve"> (Leiden and Boston: Brill, 2018).</w:t>
      </w:r>
      <w:r>
        <w:t xml:space="preserve"> </w:t>
      </w:r>
      <w:r w:rsidRPr="00CB1B2F">
        <w:rPr>
          <w:lang w:val="en-US"/>
        </w:rPr>
        <w:t xml:space="preserve">Earlier studies on domesticity include </w:t>
      </w:r>
      <w:proofErr w:type="spellStart"/>
      <w:r w:rsidRPr="00CB1B2F">
        <w:rPr>
          <w:lang w:val="en-US"/>
        </w:rPr>
        <w:t>Lydecker</w:t>
      </w:r>
      <w:proofErr w:type="spellEnd"/>
      <w:r w:rsidRPr="00CB1B2F">
        <w:rPr>
          <w:lang w:val="en-US"/>
        </w:rPr>
        <w:t xml:space="preserve">, “The Domestic Setting of the Arts in Renaissance Florence”; Peter Thornton, </w:t>
      </w:r>
      <w:r w:rsidRPr="00CB1B2F">
        <w:rPr>
          <w:i/>
          <w:iCs/>
          <w:lang w:val="en-US"/>
        </w:rPr>
        <w:t>The Italian Renaissance interior: 1400-1600</w:t>
      </w:r>
      <w:r w:rsidRPr="00CB1B2F">
        <w:rPr>
          <w:lang w:val="en-US"/>
        </w:rPr>
        <w:t xml:space="preserve"> (London: Weidenfeld and Nicolson, 1991); Margaret Ann Morse, “The Arts of Domestic Devotion in Renaissance Italy: The Case of Venice” 2006; Flora Dennis, “Sound and Domestic Space in Fifteenth- and Sixteenth-Century Italy,” </w:t>
      </w:r>
      <w:r w:rsidRPr="00CB1B2F">
        <w:rPr>
          <w:i/>
          <w:iCs/>
          <w:lang w:val="en-US"/>
        </w:rPr>
        <w:t>Studies in the Decorative Arts</w:t>
      </w:r>
      <w:r w:rsidRPr="00CB1B2F">
        <w:rPr>
          <w:lang w:val="en-US"/>
        </w:rPr>
        <w:t xml:space="preserve"> 16, no. 1 (2008): 7–19.</w:t>
      </w:r>
    </w:p>
  </w:footnote>
  <w:footnote w:id="494">
    <w:p w14:paraId="6C854345" w14:textId="77777777" w:rsidR="00182EED" w:rsidRDefault="00182EED" w:rsidP="008A116C">
      <w:pPr>
        <w:pStyle w:val="FootnoteText"/>
      </w:pPr>
      <w:r w:rsidRPr="00073E38">
        <w:rPr>
          <w:rStyle w:val="FootnoteReference"/>
        </w:rPr>
        <w:footnoteRef/>
      </w:r>
      <w:r>
        <w:t xml:space="preserve"> </w:t>
      </w:r>
      <w:r w:rsidRPr="00CB1B2F">
        <w:rPr>
          <w:lang w:val="en-US"/>
        </w:rPr>
        <w:t xml:space="preserve">Katherine </w:t>
      </w:r>
      <w:proofErr w:type="spellStart"/>
      <w:r w:rsidRPr="00CB1B2F">
        <w:rPr>
          <w:lang w:val="en-US"/>
        </w:rPr>
        <w:t>Tycz</w:t>
      </w:r>
      <w:proofErr w:type="spellEnd"/>
      <w:r w:rsidRPr="00CB1B2F">
        <w:rPr>
          <w:lang w:val="en-US"/>
        </w:rPr>
        <w:t xml:space="preserve">, “Daily Devotions,” in </w:t>
      </w:r>
      <w:proofErr w:type="spellStart"/>
      <w:r w:rsidRPr="00CB1B2F">
        <w:rPr>
          <w:i/>
          <w:iCs/>
          <w:lang w:val="en-US"/>
        </w:rPr>
        <w:t>Madonnas</w:t>
      </w:r>
      <w:proofErr w:type="spellEnd"/>
      <w:r w:rsidRPr="00CB1B2F">
        <w:rPr>
          <w:i/>
          <w:iCs/>
          <w:lang w:val="en-US"/>
        </w:rPr>
        <w:t xml:space="preserve"> &amp; Miracles: The Holy Home in Renaissance Italy</w:t>
      </w:r>
      <w:r w:rsidRPr="00CB1B2F">
        <w:rPr>
          <w:lang w:val="en-US"/>
        </w:rPr>
        <w:t xml:space="preserve">, </w:t>
      </w:r>
      <w:proofErr w:type="spellStart"/>
      <w:r w:rsidRPr="00CB1B2F">
        <w:rPr>
          <w:lang w:val="en-US"/>
        </w:rPr>
        <w:t>Exh.Cat</w:t>
      </w:r>
      <w:proofErr w:type="spellEnd"/>
      <w:r w:rsidRPr="00CB1B2F">
        <w:rPr>
          <w:lang w:val="en-US"/>
        </w:rPr>
        <w:t xml:space="preserve">., ed. Maya Corry, Deborah Howard, and Mary </w:t>
      </w:r>
      <w:proofErr w:type="spellStart"/>
      <w:r w:rsidRPr="00CB1B2F">
        <w:rPr>
          <w:lang w:val="en-US"/>
        </w:rPr>
        <w:t>Laven</w:t>
      </w:r>
      <w:proofErr w:type="spellEnd"/>
      <w:r w:rsidRPr="00CB1B2F">
        <w:rPr>
          <w:lang w:val="en-US"/>
        </w:rPr>
        <w:t xml:space="preserve"> (Cambridge: The Fitzwilliam Museum, 2017), 17.</w:t>
      </w:r>
    </w:p>
  </w:footnote>
  <w:footnote w:id="495">
    <w:p w14:paraId="4F729B63" w14:textId="77777777" w:rsidR="00182EED" w:rsidRDefault="00182EED" w:rsidP="008A116C">
      <w:pPr>
        <w:pStyle w:val="FootnoteText"/>
      </w:pPr>
      <w:r w:rsidRPr="00073E38">
        <w:rPr>
          <w:rStyle w:val="FootnoteReference"/>
        </w:rPr>
        <w:footnoteRef/>
      </w:r>
      <w:r>
        <w:t xml:space="preserve"> </w:t>
      </w:r>
      <w:r w:rsidRPr="00CB1B2F">
        <w:rPr>
          <w:lang w:val="en-US"/>
        </w:rPr>
        <w:t xml:space="preserve">Evelyn Welch, </w:t>
      </w:r>
      <w:r w:rsidRPr="00CB1B2F">
        <w:rPr>
          <w:i/>
          <w:iCs/>
          <w:lang w:val="en-US"/>
        </w:rPr>
        <w:t>Art in Renaissance Italy, 1350-1500</w:t>
      </w:r>
      <w:r w:rsidRPr="00CB1B2F">
        <w:rPr>
          <w:lang w:val="en-US"/>
        </w:rPr>
        <w:t xml:space="preserve"> (Oxford: Oxford University Press, 1997), 307; Peta </w:t>
      </w:r>
      <w:proofErr w:type="spellStart"/>
      <w:r w:rsidRPr="00CB1B2F">
        <w:rPr>
          <w:lang w:val="en-US"/>
        </w:rPr>
        <w:t>Motture</w:t>
      </w:r>
      <w:proofErr w:type="spellEnd"/>
      <w:r w:rsidRPr="00CB1B2F">
        <w:rPr>
          <w:lang w:val="en-US"/>
        </w:rPr>
        <w:t xml:space="preserve"> and Luke Syson, “Art in the Casa,” in </w:t>
      </w:r>
      <w:r w:rsidRPr="00CB1B2F">
        <w:rPr>
          <w:i/>
          <w:iCs/>
          <w:lang w:val="en-US"/>
        </w:rPr>
        <w:t>At Home in Renaissance Italy</w:t>
      </w:r>
      <w:r w:rsidRPr="00CB1B2F">
        <w:rPr>
          <w:lang w:val="en-US"/>
        </w:rPr>
        <w:t xml:space="preserve">, ed. Marta </w:t>
      </w:r>
      <w:proofErr w:type="spellStart"/>
      <w:r w:rsidRPr="00CB1B2F">
        <w:rPr>
          <w:lang w:val="en-US"/>
        </w:rPr>
        <w:t>Ajmar-Wollheim</w:t>
      </w:r>
      <w:proofErr w:type="spellEnd"/>
      <w:r w:rsidRPr="00CB1B2F">
        <w:rPr>
          <w:lang w:val="en-US"/>
        </w:rPr>
        <w:t xml:space="preserve"> and Flora Dennis (London: V&amp;A Publications, 2006), 281; On devotion to the Virgin see, for example, </w:t>
      </w:r>
      <w:proofErr w:type="spellStart"/>
      <w:r w:rsidRPr="00CB1B2F">
        <w:rPr>
          <w:lang w:val="en-US"/>
        </w:rPr>
        <w:t>Fredrika</w:t>
      </w:r>
      <w:proofErr w:type="spellEnd"/>
      <w:r w:rsidRPr="00CB1B2F">
        <w:rPr>
          <w:lang w:val="en-US"/>
        </w:rPr>
        <w:t xml:space="preserve"> H. Jacobs, </w:t>
      </w:r>
      <w:r w:rsidRPr="00CB1B2F">
        <w:rPr>
          <w:i/>
          <w:iCs/>
          <w:lang w:val="en-US"/>
        </w:rPr>
        <w:t>Votive Panels and Popular Piety in Early Modern Italy</w:t>
      </w:r>
      <w:r w:rsidRPr="00CB1B2F">
        <w:rPr>
          <w:lang w:val="en-US"/>
        </w:rPr>
        <w:t xml:space="preserve"> (Cambridge: Cambridge University Press, 2013), 115–25.</w:t>
      </w:r>
    </w:p>
  </w:footnote>
  <w:footnote w:id="496">
    <w:p w14:paraId="7ABFFF66" w14:textId="77777777" w:rsidR="00182EED" w:rsidRDefault="00182EED" w:rsidP="00094F64">
      <w:pPr>
        <w:pStyle w:val="FootnoteText"/>
      </w:pPr>
      <w:r w:rsidRPr="00591949">
        <w:rPr>
          <w:rStyle w:val="FootnoteReference"/>
        </w:rPr>
        <w:footnoteRef/>
      </w:r>
      <w:r>
        <w:t xml:space="preserve"> </w:t>
      </w:r>
      <w:r w:rsidRPr="00426952">
        <w:rPr>
          <w:color w:val="000000"/>
          <w:lang w:val="en-US"/>
        </w:rPr>
        <w:t xml:space="preserve">Roberta J. M. Olson, “Lost and Partially Found: The Tondo, a Significant Florentine Art Form, in Documents of the Renaissance,” </w:t>
      </w:r>
      <w:proofErr w:type="spellStart"/>
      <w:r w:rsidRPr="00426952">
        <w:rPr>
          <w:i/>
          <w:iCs/>
          <w:color w:val="000000"/>
          <w:lang w:val="en-US"/>
        </w:rPr>
        <w:t>Artibus</w:t>
      </w:r>
      <w:proofErr w:type="spellEnd"/>
      <w:r w:rsidRPr="00426952">
        <w:rPr>
          <w:i/>
          <w:iCs/>
          <w:color w:val="000000"/>
          <w:lang w:val="en-US"/>
        </w:rPr>
        <w:t xml:space="preserve"> et </w:t>
      </w:r>
      <w:proofErr w:type="spellStart"/>
      <w:r w:rsidRPr="00426952">
        <w:rPr>
          <w:i/>
          <w:iCs/>
          <w:color w:val="000000"/>
          <w:lang w:val="en-US"/>
        </w:rPr>
        <w:t>Historiae</w:t>
      </w:r>
      <w:proofErr w:type="spellEnd"/>
      <w:r w:rsidRPr="00426952">
        <w:rPr>
          <w:color w:val="000000"/>
          <w:lang w:val="en-US"/>
        </w:rPr>
        <w:t xml:space="preserve"> 14, no. 27 (1993): 33; Cooper, “Devotion,” 194.</w:t>
      </w:r>
    </w:p>
  </w:footnote>
  <w:footnote w:id="497">
    <w:p w14:paraId="32B5F579" w14:textId="77777777" w:rsidR="00182EED" w:rsidRDefault="00182EED" w:rsidP="00094F64">
      <w:pPr>
        <w:pStyle w:val="FootnoteText"/>
      </w:pPr>
      <w:r w:rsidRPr="00591949">
        <w:rPr>
          <w:rStyle w:val="FootnoteReference"/>
        </w:rPr>
        <w:footnoteRef/>
      </w:r>
      <w:r>
        <w:t xml:space="preserve"> </w:t>
      </w:r>
      <w:r w:rsidRPr="005A3F73">
        <w:rPr>
          <w:color w:val="000000"/>
          <w:lang w:val="en-US"/>
        </w:rPr>
        <w:t xml:space="preserve">Roberta J. M. Olson, </w:t>
      </w:r>
      <w:r w:rsidRPr="005A3F73">
        <w:rPr>
          <w:i/>
          <w:iCs/>
          <w:color w:val="000000"/>
          <w:lang w:val="en-US"/>
        </w:rPr>
        <w:t>The Florentine Tondo</w:t>
      </w:r>
      <w:r w:rsidRPr="005A3F73">
        <w:rPr>
          <w:color w:val="000000"/>
          <w:lang w:val="en-US"/>
        </w:rPr>
        <w:t xml:space="preserve"> (Oxford: Oxford University Press, 2000), 2, 14–17; on the historical genesis of the </w:t>
      </w:r>
      <w:r w:rsidRPr="00597221">
        <w:rPr>
          <w:i/>
          <w:iCs/>
          <w:color w:val="000000"/>
          <w:lang w:val="en-US"/>
        </w:rPr>
        <w:t>tondo</w:t>
      </w:r>
      <w:r w:rsidRPr="005A3F73">
        <w:rPr>
          <w:color w:val="000000"/>
          <w:lang w:val="en-US"/>
        </w:rPr>
        <w:t xml:space="preserve"> see ibid., 7–21.</w:t>
      </w:r>
    </w:p>
  </w:footnote>
  <w:footnote w:id="498">
    <w:p w14:paraId="099701E5" w14:textId="77777777" w:rsidR="00182EED" w:rsidRDefault="00182EED" w:rsidP="00094F64">
      <w:pPr>
        <w:pStyle w:val="FootnoteText"/>
      </w:pPr>
      <w:r w:rsidRPr="00591949">
        <w:rPr>
          <w:rStyle w:val="FootnoteReference"/>
        </w:rPr>
        <w:footnoteRef/>
      </w:r>
      <w:r>
        <w:t xml:space="preserve"> </w:t>
      </w:r>
      <w:r w:rsidRPr="005A3F73">
        <w:rPr>
          <w:color w:val="000000"/>
          <w:lang w:val="en-US"/>
        </w:rPr>
        <w:t xml:space="preserve">Abigail </w:t>
      </w:r>
      <w:proofErr w:type="spellStart"/>
      <w:r w:rsidRPr="005A3F73">
        <w:rPr>
          <w:color w:val="000000"/>
          <w:lang w:val="en-US"/>
        </w:rPr>
        <w:t>Brundin</w:t>
      </w:r>
      <w:proofErr w:type="spellEnd"/>
      <w:r w:rsidRPr="005A3F73">
        <w:rPr>
          <w:color w:val="000000"/>
          <w:lang w:val="en-US"/>
        </w:rPr>
        <w:t xml:space="preserve">, Deborah Howard, and Mary </w:t>
      </w:r>
      <w:proofErr w:type="spellStart"/>
      <w:r w:rsidRPr="005A3F73">
        <w:rPr>
          <w:color w:val="000000"/>
          <w:lang w:val="en-US"/>
        </w:rPr>
        <w:t>Laven</w:t>
      </w:r>
      <w:proofErr w:type="spellEnd"/>
      <w:r w:rsidRPr="005A3F73">
        <w:rPr>
          <w:color w:val="000000"/>
          <w:lang w:val="en-US"/>
        </w:rPr>
        <w:t xml:space="preserve">, </w:t>
      </w:r>
      <w:r w:rsidRPr="005A3F73">
        <w:rPr>
          <w:i/>
          <w:iCs/>
          <w:color w:val="000000"/>
          <w:lang w:val="en-US"/>
        </w:rPr>
        <w:t>The Sacred Home in Renaissance Italy</w:t>
      </w:r>
      <w:r w:rsidRPr="005A3F73">
        <w:rPr>
          <w:color w:val="000000"/>
          <w:lang w:val="en-US"/>
        </w:rPr>
        <w:t xml:space="preserve"> (Oxford: Oxford University Press, 2018), 182; On this topic see Michelle O’Malley, “Quality Choices in the Production of Renaissance Art: Botticelli and Demand,” </w:t>
      </w:r>
      <w:r w:rsidRPr="005A3F73">
        <w:rPr>
          <w:i/>
          <w:iCs/>
          <w:color w:val="000000"/>
          <w:lang w:val="en-US"/>
        </w:rPr>
        <w:t>Renaissance Studies</w:t>
      </w:r>
      <w:r w:rsidRPr="005A3F73">
        <w:rPr>
          <w:color w:val="000000"/>
          <w:lang w:val="en-US"/>
        </w:rPr>
        <w:t xml:space="preserve"> 28, no. 1 (2014): 4–32.</w:t>
      </w:r>
    </w:p>
  </w:footnote>
  <w:footnote w:id="499">
    <w:p w14:paraId="013066FE" w14:textId="77777777" w:rsidR="00182EED" w:rsidRDefault="00182EED" w:rsidP="00094F64">
      <w:pPr>
        <w:pStyle w:val="FootnoteText"/>
      </w:pPr>
      <w:r w:rsidRPr="00591949">
        <w:rPr>
          <w:rStyle w:val="FootnoteReference"/>
        </w:rPr>
        <w:footnoteRef/>
      </w:r>
      <w:r>
        <w:t xml:space="preserve"> </w:t>
      </w:r>
      <w:r w:rsidRPr="005A3F73">
        <w:rPr>
          <w:color w:val="000000"/>
          <w:lang w:val="en-US"/>
        </w:rPr>
        <w:t xml:space="preserve">Olson, </w:t>
      </w:r>
      <w:r w:rsidRPr="005A3F73">
        <w:rPr>
          <w:i/>
          <w:iCs/>
          <w:color w:val="000000"/>
          <w:lang w:val="en-US"/>
        </w:rPr>
        <w:t>The Florentine Tondo</w:t>
      </w:r>
      <w:r w:rsidRPr="005A3F73">
        <w:rPr>
          <w:color w:val="000000"/>
          <w:lang w:val="en-US"/>
        </w:rPr>
        <w:t xml:space="preserve">, 70; Olson, “Lost and Partially Found,” 43; Ellen </w:t>
      </w:r>
      <w:proofErr w:type="spellStart"/>
      <w:r w:rsidRPr="005A3F73">
        <w:rPr>
          <w:color w:val="000000"/>
          <w:lang w:val="en-US"/>
        </w:rPr>
        <w:t>Callmann</w:t>
      </w:r>
      <w:proofErr w:type="spellEnd"/>
      <w:r w:rsidRPr="005A3F73">
        <w:rPr>
          <w:color w:val="000000"/>
          <w:lang w:val="en-US"/>
        </w:rPr>
        <w:t xml:space="preserve">, </w:t>
      </w:r>
      <w:r w:rsidRPr="005A3F73">
        <w:rPr>
          <w:i/>
          <w:iCs/>
          <w:color w:val="000000"/>
          <w:lang w:val="en-US"/>
        </w:rPr>
        <w:t>Apollonio Di Giovanni</w:t>
      </w:r>
      <w:r w:rsidRPr="005A3F73">
        <w:rPr>
          <w:color w:val="000000"/>
          <w:lang w:val="en-US"/>
        </w:rPr>
        <w:t xml:space="preserve"> (Oxford: Clarendon Press, 1974), 35, 78 n.78; Ellen </w:t>
      </w:r>
      <w:proofErr w:type="spellStart"/>
      <w:r w:rsidRPr="005A3F73">
        <w:rPr>
          <w:color w:val="000000"/>
          <w:lang w:val="en-US"/>
        </w:rPr>
        <w:t>Callmann</w:t>
      </w:r>
      <w:proofErr w:type="spellEnd"/>
      <w:r w:rsidRPr="005A3F73">
        <w:rPr>
          <w:color w:val="000000"/>
          <w:lang w:val="en-US"/>
        </w:rPr>
        <w:t xml:space="preserve">, “Apollonio Di Giovanni and Painting for the Early Renaissance Room,” </w:t>
      </w:r>
      <w:proofErr w:type="spellStart"/>
      <w:r w:rsidRPr="005A3F73">
        <w:rPr>
          <w:i/>
          <w:iCs/>
          <w:color w:val="000000"/>
          <w:lang w:val="en-US"/>
        </w:rPr>
        <w:t>Antichità</w:t>
      </w:r>
      <w:proofErr w:type="spellEnd"/>
      <w:r w:rsidRPr="005A3F73">
        <w:rPr>
          <w:i/>
          <w:iCs/>
          <w:color w:val="000000"/>
          <w:lang w:val="en-US"/>
        </w:rPr>
        <w:t xml:space="preserve"> Viva</w:t>
      </w:r>
      <w:r w:rsidRPr="005A3F73">
        <w:rPr>
          <w:color w:val="000000"/>
          <w:lang w:val="en-US"/>
        </w:rPr>
        <w:t xml:space="preserve"> XXVII, no. 3–4 (1988): 12.</w:t>
      </w:r>
    </w:p>
  </w:footnote>
  <w:footnote w:id="500">
    <w:p w14:paraId="38EBC59D" w14:textId="77777777" w:rsidR="00182EED" w:rsidRDefault="00182EED" w:rsidP="00094F64">
      <w:pPr>
        <w:pStyle w:val="FootnoteText"/>
      </w:pPr>
      <w:r w:rsidRPr="00591949">
        <w:rPr>
          <w:rStyle w:val="FootnoteReference"/>
        </w:rPr>
        <w:footnoteRef/>
      </w:r>
      <w:r>
        <w:t xml:space="preserve"> </w:t>
      </w:r>
      <w:r w:rsidRPr="005A3F73">
        <w:rPr>
          <w:color w:val="000000"/>
          <w:lang w:val="en-US"/>
        </w:rPr>
        <w:t xml:space="preserve">Olson, </w:t>
      </w:r>
      <w:r w:rsidRPr="005A3F73">
        <w:rPr>
          <w:i/>
          <w:iCs/>
          <w:color w:val="000000"/>
          <w:lang w:val="en-US"/>
        </w:rPr>
        <w:t>The Florentine Tondo</w:t>
      </w:r>
      <w:r w:rsidRPr="005A3F73">
        <w:rPr>
          <w:color w:val="000000"/>
          <w:lang w:val="en-US"/>
        </w:rPr>
        <w:t xml:space="preserve">, 70; Olson, “Lost and Partially Found,” 43; </w:t>
      </w:r>
      <w:proofErr w:type="spellStart"/>
      <w:r w:rsidRPr="005A3F73">
        <w:rPr>
          <w:color w:val="000000"/>
          <w:lang w:val="en-US"/>
        </w:rPr>
        <w:t>Callmann</w:t>
      </w:r>
      <w:proofErr w:type="spellEnd"/>
      <w:r w:rsidRPr="005A3F73">
        <w:rPr>
          <w:color w:val="000000"/>
          <w:lang w:val="en-US"/>
        </w:rPr>
        <w:t>, “Apollonio Di Giovanni and Painting for the Early Renaissance Room,” 12.</w:t>
      </w:r>
    </w:p>
  </w:footnote>
  <w:footnote w:id="501">
    <w:p w14:paraId="4808D960" w14:textId="77777777" w:rsidR="00182EED" w:rsidRDefault="00182EED" w:rsidP="00094F64">
      <w:pPr>
        <w:pStyle w:val="FootnoteText"/>
      </w:pPr>
      <w:r w:rsidRPr="00591949">
        <w:rPr>
          <w:rStyle w:val="FootnoteReference"/>
        </w:rPr>
        <w:footnoteRef/>
      </w:r>
      <w:r>
        <w:t xml:space="preserve"> </w:t>
      </w:r>
      <w:proofErr w:type="spellStart"/>
      <w:r w:rsidRPr="005A3F73">
        <w:rPr>
          <w:color w:val="000000"/>
          <w:lang w:val="en-US"/>
        </w:rPr>
        <w:t>Callmann</w:t>
      </w:r>
      <w:proofErr w:type="spellEnd"/>
      <w:r w:rsidRPr="005A3F73">
        <w:rPr>
          <w:color w:val="000000"/>
          <w:lang w:val="en-US"/>
        </w:rPr>
        <w:t xml:space="preserve">, </w:t>
      </w:r>
      <w:r w:rsidRPr="005A3F73">
        <w:rPr>
          <w:i/>
          <w:iCs/>
          <w:color w:val="000000"/>
          <w:lang w:val="en-US"/>
        </w:rPr>
        <w:t>Apollonio Di Giovanni</w:t>
      </w:r>
      <w:r w:rsidRPr="005A3F73">
        <w:rPr>
          <w:color w:val="000000"/>
          <w:lang w:val="en-US"/>
        </w:rPr>
        <w:t>, 79, no. 108; Olson, “Lost and Partially Found,” 43, n.91.</w:t>
      </w:r>
    </w:p>
  </w:footnote>
  <w:footnote w:id="502">
    <w:p w14:paraId="168805CE" w14:textId="77777777" w:rsidR="00182EED" w:rsidRDefault="00182EED" w:rsidP="00094F64">
      <w:pPr>
        <w:pStyle w:val="FootnoteText"/>
      </w:pPr>
      <w:r w:rsidRPr="00591949">
        <w:rPr>
          <w:rStyle w:val="FootnoteReference"/>
        </w:rPr>
        <w:footnoteRef/>
      </w:r>
      <w:r>
        <w:t xml:space="preserve"> </w:t>
      </w:r>
      <w:proofErr w:type="spellStart"/>
      <w:r w:rsidRPr="005A3F73">
        <w:rPr>
          <w:color w:val="000000"/>
          <w:lang w:val="en-US"/>
        </w:rPr>
        <w:t>Callmann</w:t>
      </w:r>
      <w:proofErr w:type="spellEnd"/>
      <w:r w:rsidRPr="005A3F73">
        <w:rPr>
          <w:color w:val="000000"/>
          <w:lang w:val="en-US"/>
        </w:rPr>
        <w:t xml:space="preserve">, </w:t>
      </w:r>
      <w:r w:rsidRPr="005A3F73">
        <w:rPr>
          <w:i/>
          <w:iCs/>
          <w:color w:val="000000"/>
          <w:lang w:val="en-US"/>
        </w:rPr>
        <w:t>Apollonio Di Giovanni</w:t>
      </w:r>
      <w:r w:rsidRPr="005A3F73">
        <w:rPr>
          <w:color w:val="000000"/>
          <w:lang w:val="en-US"/>
        </w:rPr>
        <w:t xml:space="preserve">, 35, 79, n.113; Olson, </w:t>
      </w:r>
      <w:r w:rsidRPr="005A3F73">
        <w:rPr>
          <w:i/>
          <w:iCs/>
          <w:color w:val="000000"/>
          <w:lang w:val="en-US"/>
        </w:rPr>
        <w:t>The Florentine Tondo</w:t>
      </w:r>
      <w:r w:rsidRPr="005A3F73">
        <w:rPr>
          <w:color w:val="000000"/>
          <w:lang w:val="en-US"/>
        </w:rPr>
        <w:t>, 70; Olson, “Lost and Partially Found,” 43, n.92.</w:t>
      </w:r>
    </w:p>
  </w:footnote>
  <w:footnote w:id="503">
    <w:p w14:paraId="7B535FB6" w14:textId="77777777" w:rsidR="00182EED" w:rsidRDefault="00182EED" w:rsidP="00094F64">
      <w:pPr>
        <w:pStyle w:val="FootnoteText"/>
      </w:pPr>
      <w:r w:rsidRPr="00591949">
        <w:rPr>
          <w:rStyle w:val="FootnoteReference"/>
        </w:rPr>
        <w:footnoteRef/>
      </w:r>
      <w:r>
        <w:t xml:space="preserve"> </w:t>
      </w:r>
      <w:r w:rsidRPr="005A3F73">
        <w:rPr>
          <w:color w:val="000000"/>
          <w:lang w:val="en-US"/>
        </w:rPr>
        <w:t xml:space="preserve">Olson, </w:t>
      </w:r>
      <w:r w:rsidRPr="005A3F73">
        <w:rPr>
          <w:i/>
          <w:iCs/>
          <w:color w:val="000000"/>
          <w:lang w:val="en-US"/>
        </w:rPr>
        <w:t>The Florentine Tondo</w:t>
      </w:r>
      <w:r w:rsidRPr="005A3F73">
        <w:rPr>
          <w:color w:val="000000"/>
          <w:lang w:val="en-US"/>
        </w:rPr>
        <w:t>, 61; Olson, “Lost and Partially Found,” 33.</w:t>
      </w:r>
    </w:p>
  </w:footnote>
  <w:footnote w:id="504">
    <w:p w14:paraId="488BCBF1" w14:textId="77777777" w:rsidR="00182EED" w:rsidRDefault="00182EED" w:rsidP="00094F64">
      <w:pPr>
        <w:pStyle w:val="FootnoteText"/>
      </w:pPr>
      <w:r w:rsidRPr="00591949">
        <w:rPr>
          <w:rStyle w:val="FootnoteReference"/>
        </w:rPr>
        <w:footnoteRef/>
      </w:r>
      <w:r>
        <w:t xml:space="preserve"> </w:t>
      </w:r>
      <w:r w:rsidRPr="005A3F73">
        <w:rPr>
          <w:color w:val="000000"/>
          <w:lang w:val="en-US"/>
        </w:rPr>
        <w:t xml:space="preserve">John Kent </w:t>
      </w:r>
      <w:proofErr w:type="spellStart"/>
      <w:r w:rsidRPr="005A3F73">
        <w:rPr>
          <w:color w:val="000000"/>
          <w:lang w:val="en-US"/>
        </w:rPr>
        <w:t>Lydecker</w:t>
      </w:r>
      <w:proofErr w:type="spellEnd"/>
      <w:r w:rsidRPr="005A3F73">
        <w:rPr>
          <w:color w:val="000000"/>
          <w:lang w:val="en-US"/>
        </w:rPr>
        <w:t>, “The Domestic Setting of the Arts in Renaissance Florence” (John Hopkins University, 1987), 65.</w:t>
      </w:r>
    </w:p>
  </w:footnote>
  <w:footnote w:id="505">
    <w:p w14:paraId="361BBC16" w14:textId="77777777" w:rsidR="00182EED" w:rsidRDefault="00182EED" w:rsidP="00094F64">
      <w:pPr>
        <w:pStyle w:val="FootnoteText"/>
      </w:pPr>
      <w:r w:rsidRPr="00591949">
        <w:rPr>
          <w:rStyle w:val="FootnoteReference"/>
        </w:rPr>
        <w:footnoteRef/>
      </w:r>
      <w:r>
        <w:t xml:space="preserve"> </w:t>
      </w:r>
      <w:r w:rsidRPr="005A3F73">
        <w:rPr>
          <w:color w:val="000000"/>
          <w:lang w:val="en-US"/>
        </w:rPr>
        <w:t>Ibid., 65–66.</w:t>
      </w:r>
    </w:p>
  </w:footnote>
  <w:footnote w:id="506">
    <w:p w14:paraId="610B622B" w14:textId="77777777" w:rsidR="00182EED" w:rsidRDefault="00182EED" w:rsidP="00094F64">
      <w:pPr>
        <w:pStyle w:val="FootnoteText"/>
      </w:pPr>
      <w:r w:rsidRPr="00591949">
        <w:rPr>
          <w:rStyle w:val="FootnoteReference"/>
        </w:rPr>
        <w:footnoteRef/>
      </w:r>
      <w:r>
        <w:t xml:space="preserve"> </w:t>
      </w:r>
      <w:r w:rsidRPr="005A3F73">
        <w:rPr>
          <w:color w:val="000000"/>
          <w:lang w:val="en-US"/>
        </w:rPr>
        <w:t xml:space="preserve">Olson, </w:t>
      </w:r>
      <w:r w:rsidRPr="005A3F73">
        <w:rPr>
          <w:i/>
          <w:iCs/>
          <w:color w:val="000000"/>
          <w:lang w:val="en-US"/>
        </w:rPr>
        <w:t>The Florentine Tondo</w:t>
      </w:r>
      <w:r w:rsidRPr="005A3F73">
        <w:rPr>
          <w:color w:val="000000"/>
          <w:lang w:val="en-US"/>
        </w:rPr>
        <w:t>, 61; Olson, “Lost and Partially Found,” 33.</w:t>
      </w:r>
    </w:p>
  </w:footnote>
  <w:footnote w:id="507">
    <w:p w14:paraId="0CC20515" w14:textId="77777777" w:rsidR="00182EED" w:rsidRDefault="00182EED" w:rsidP="00094F64">
      <w:pPr>
        <w:pStyle w:val="FootnoteText"/>
      </w:pPr>
      <w:r w:rsidRPr="00591949">
        <w:rPr>
          <w:rStyle w:val="FootnoteReference"/>
        </w:rPr>
        <w:footnoteRef/>
      </w:r>
      <w:r>
        <w:t xml:space="preserve"> </w:t>
      </w:r>
      <w:r w:rsidRPr="00223279">
        <w:rPr>
          <w:color w:val="000000"/>
          <w:lang w:val="en-US"/>
        </w:rPr>
        <w:t xml:space="preserve">“Uno tondo chon </w:t>
      </w:r>
      <w:proofErr w:type="spellStart"/>
      <w:r w:rsidRPr="00223279">
        <w:rPr>
          <w:color w:val="000000"/>
          <w:lang w:val="en-US"/>
        </w:rPr>
        <w:t>chornicione</w:t>
      </w:r>
      <w:proofErr w:type="spellEnd"/>
      <w:r w:rsidRPr="00223279">
        <w:rPr>
          <w:color w:val="000000"/>
          <w:lang w:val="en-US"/>
        </w:rPr>
        <w:t xml:space="preserve"> </w:t>
      </w:r>
      <w:proofErr w:type="spellStart"/>
      <w:r w:rsidRPr="00223279">
        <w:rPr>
          <w:color w:val="000000"/>
          <w:lang w:val="en-US"/>
        </w:rPr>
        <w:t>d’oro</w:t>
      </w:r>
      <w:proofErr w:type="spellEnd"/>
      <w:r w:rsidRPr="00223279">
        <w:rPr>
          <w:color w:val="000000"/>
          <w:lang w:val="en-US"/>
        </w:rPr>
        <w:t xml:space="preserve"> di Nostra Donna et Magi </w:t>
      </w:r>
      <w:proofErr w:type="spellStart"/>
      <w:r w:rsidRPr="00223279">
        <w:rPr>
          <w:color w:val="000000"/>
          <w:lang w:val="en-US"/>
        </w:rPr>
        <w:t>che</w:t>
      </w:r>
      <w:proofErr w:type="spellEnd"/>
      <w:r w:rsidRPr="00223279">
        <w:rPr>
          <w:color w:val="000000"/>
          <w:lang w:val="en-US"/>
        </w:rPr>
        <w:t xml:space="preserve"> </w:t>
      </w:r>
      <w:proofErr w:type="spellStart"/>
      <w:r w:rsidRPr="00223279">
        <w:rPr>
          <w:color w:val="000000"/>
          <w:lang w:val="en-US"/>
        </w:rPr>
        <w:t>ofersono</w:t>
      </w:r>
      <w:proofErr w:type="spellEnd"/>
      <w:r w:rsidRPr="00223279">
        <w:rPr>
          <w:color w:val="000000"/>
          <w:lang w:val="en-US"/>
        </w:rPr>
        <w:t xml:space="preserve"> a Christo”, located in the “</w:t>
      </w:r>
      <w:proofErr w:type="spellStart"/>
      <w:r w:rsidRPr="00223279">
        <w:rPr>
          <w:color w:val="000000"/>
          <w:lang w:val="en-US"/>
        </w:rPr>
        <w:t>chamera</w:t>
      </w:r>
      <w:proofErr w:type="spellEnd"/>
      <w:r w:rsidRPr="00223279">
        <w:rPr>
          <w:color w:val="000000"/>
          <w:lang w:val="en-US"/>
        </w:rPr>
        <w:t xml:space="preserve"> di Lorenzo </w:t>
      </w:r>
      <w:proofErr w:type="spellStart"/>
      <w:r w:rsidRPr="00223279">
        <w:rPr>
          <w:color w:val="000000"/>
          <w:lang w:val="en-US"/>
        </w:rPr>
        <w:t>bella</w:t>
      </w:r>
      <w:proofErr w:type="spellEnd"/>
      <w:r w:rsidRPr="00223279">
        <w:rPr>
          <w:color w:val="000000"/>
          <w:lang w:val="en-US"/>
        </w:rPr>
        <w:t xml:space="preserve"> in </w:t>
      </w:r>
      <w:proofErr w:type="spellStart"/>
      <w:r w:rsidRPr="00223279">
        <w:rPr>
          <w:color w:val="000000"/>
          <w:lang w:val="en-US"/>
        </w:rPr>
        <w:t>su</w:t>
      </w:r>
      <w:proofErr w:type="spellEnd"/>
      <w:r w:rsidRPr="00223279">
        <w:rPr>
          <w:color w:val="000000"/>
          <w:lang w:val="en-US"/>
        </w:rPr>
        <w:t xml:space="preserve"> la </w:t>
      </w:r>
      <w:proofErr w:type="spellStart"/>
      <w:r w:rsidRPr="00223279">
        <w:rPr>
          <w:color w:val="000000"/>
          <w:lang w:val="en-US"/>
        </w:rPr>
        <w:t>sala</w:t>
      </w:r>
      <w:proofErr w:type="spellEnd"/>
      <w:r w:rsidRPr="00223279">
        <w:rPr>
          <w:color w:val="000000"/>
          <w:lang w:val="en-US"/>
        </w:rPr>
        <w:t xml:space="preserve"> in </w:t>
      </w:r>
      <w:proofErr w:type="spellStart"/>
      <w:r w:rsidRPr="00223279">
        <w:rPr>
          <w:color w:val="000000"/>
          <w:lang w:val="en-US"/>
        </w:rPr>
        <w:t>palco</w:t>
      </w:r>
      <w:proofErr w:type="spellEnd"/>
      <w:r w:rsidRPr="00223279">
        <w:rPr>
          <w:color w:val="000000"/>
          <w:lang w:val="en-US"/>
        </w:rPr>
        <w:t xml:space="preserve">.” Maria </w:t>
      </w:r>
      <w:proofErr w:type="spellStart"/>
      <w:r w:rsidRPr="00223279">
        <w:rPr>
          <w:color w:val="000000"/>
          <w:lang w:val="en-US"/>
        </w:rPr>
        <w:t>DePrano</w:t>
      </w:r>
      <w:proofErr w:type="spellEnd"/>
      <w:r w:rsidRPr="00223279">
        <w:rPr>
          <w:color w:val="000000"/>
          <w:lang w:val="en-US"/>
        </w:rPr>
        <w:t xml:space="preserve">, </w:t>
      </w:r>
      <w:r w:rsidRPr="00223279">
        <w:rPr>
          <w:i/>
          <w:iCs/>
          <w:color w:val="000000"/>
          <w:lang w:val="en-US"/>
        </w:rPr>
        <w:t>Art Patronage, Family, and Gender in Renaissance Florence: The Tornabuoni</w:t>
      </w:r>
      <w:r w:rsidRPr="00223279">
        <w:rPr>
          <w:color w:val="000000"/>
          <w:lang w:val="en-US"/>
        </w:rPr>
        <w:t xml:space="preserve"> (Cambridge: Cambridge University Press, 2018), 253.</w:t>
      </w:r>
    </w:p>
  </w:footnote>
  <w:footnote w:id="508">
    <w:p w14:paraId="0A49BAF8" w14:textId="77777777" w:rsidR="00182EED" w:rsidRDefault="00182EED" w:rsidP="00094F64">
      <w:pPr>
        <w:pStyle w:val="FootnoteText"/>
      </w:pPr>
      <w:r w:rsidRPr="00591949">
        <w:rPr>
          <w:rStyle w:val="FootnoteReference"/>
        </w:rPr>
        <w:footnoteRef/>
      </w:r>
      <w:r>
        <w:t xml:space="preserve"> </w:t>
      </w:r>
      <w:r w:rsidRPr="00223279">
        <w:rPr>
          <w:color w:val="000000"/>
          <w:lang w:val="en-US"/>
        </w:rPr>
        <w:t>Olson, “Lost and Partially Found,” 46, 63 n.108 and 109.</w:t>
      </w:r>
    </w:p>
  </w:footnote>
  <w:footnote w:id="509">
    <w:p w14:paraId="49966262" w14:textId="77777777" w:rsidR="00182EED" w:rsidRDefault="00182EED" w:rsidP="00094F64">
      <w:pPr>
        <w:pStyle w:val="FootnoteText"/>
      </w:pPr>
      <w:r w:rsidRPr="00591949">
        <w:rPr>
          <w:rStyle w:val="FootnoteReference"/>
        </w:rPr>
        <w:footnoteRef/>
      </w:r>
      <w:r>
        <w:t xml:space="preserve"> </w:t>
      </w:r>
      <w:r w:rsidRPr="00223279">
        <w:rPr>
          <w:color w:val="000000"/>
          <w:lang w:val="en-US"/>
        </w:rPr>
        <w:t xml:space="preserve">“Uno tondo chon </w:t>
      </w:r>
      <w:proofErr w:type="spellStart"/>
      <w:r w:rsidRPr="00223279">
        <w:rPr>
          <w:color w:val="000000"/>
          <w:lang w:val="en-US"/>
        </w:rPr>
        <w:t>festone</w:t>
      </w:r>
      <w:proofErr w:type="spellEnd"/>
      <w:r w:rsidRPr="00223279">
        <w:rPr>
          <w:color w:val="000000"/>
          <w:lang w:val="en-US"/>
        </w:rPr>
        <w:t xml:space="preserve"> </w:t>
      </w:r>
      <w:proofErr w:type="spellStart"/>
      <w:r w:rsidRPr="00223279">
        <w:rPr>
          <w:color w:val="000000"/>
          <w:lang w:val="en-US"/>
        </w:rPr>
        <w:t>messo</w:t>
      </w:r>
      <w:proofErr w:type="spellEnd"/>
      <w:r w:rsidRPr="00223279">
        <w:rPr>
          <w:color w:val="000000"/>
          <w:lang w:val="en-US"/>
        </w:rPr>
        <w:t xml:space="preserve"> </w:t>
      </w:r>
      <w:proofErr w:type="spellStart"/>
      <w:r w:rsidRPr="00223279">
        <w:rPr>
          <w:color w:val="000000"/>
          <w:lang w:val="en-US"/>
        </w:rPr>
        <w:t>d’oro</w:t>
      </w:r>
      <w:proofErr w:type="spellEnd"/>
      <w:r w:rsidRPr="00223279">
        <w:rPr>
          <w:color w:val="000000"/>
          <w:lang w:val="en-US"/>
        </w:rPr>
        <w:t xml:space="preserve"> </w:t>
      </w:r>
      <w:proofErr w:type="spellStart"/>
      <w:r w:rsidRPr="00223279">
        <w:rPr>
          <w:color w:val="000000"/>
          <w:lang w:val="en-US"/>
        </w:rPr>
        <w:t>dov’è</w:t>
      </w:r>
      <w:proofErr w:type="spellEnd"/>
      <w:r w:rsidRPr="00223279">
        <w:rPr>
          <w:color w:val="000000"/>
          <w:lang w:val="en-US"/>
        </w:rPr>
        <w:t xml:space="preserve"> la Nostra Donna et Santo Giovanni.” </w:t>
      </w:r>
      <w:proofErr w:type="spellStart"/>
      <w:r w:rsidRPr="00223279">
        <w:rPr>
          <w:color w:val="000000"/>
          <w:lang w:val="en-US"/>
        </w:rPr>
        <w:t>DePrano</w:t>
      </w:r>
      <w:proofErr w:type="spellEnd"/>
      <w:r w:rsidRPr="00223279">
        <w:rPr>
          <w:color w:val="000000"/>
          <w:lang w:val="en-US"/>
        </w:rPr>
        <w:t xml:space="preserve">, </w:t>
      </w:r>
      <w:r w:rsidRPr="00223279">
        <w:rPr>
          <w:i/>
          <w:iCs/>
          <w:color w:val="000000"/>
          <w:lang w:val="en-US"/>
        </w:rPr>
        <w:t>Art Patronage, Family, and Gender in Renaissance Florence</w:t>
      </w:r>
      <w:r w:rsidRPr="00223279">
        <w:rPr>
          <w:color w:val="000000"/>
          <w:lang w:val="en-US"/>
        </w:rPr>
        <w:t>, 141, 254.</w:t>
      </w:r>
    </w:p>
  </w:footnote>
  <w:footnote w:id="510">
    <w:p w14:paraId="29491C79" w14:textId="77777777" w:rsidR="00182EED" w:rsidRDefault="00182EED" w:rsidP="00094F64">
      <w:pPr>
        <w:pStyle w:val="FootnoteText"/>
      </w:pPr>
      <w:r w:rsidRPr="00591949">
        <w:rPr>
          <w:rStyle w:val="FootnoteReference"/>
        </w:rPr>
        <w:footnoteRef/>
      </w:r>
      <w:r>
        <w:t xml:space="preserve"> </w:t>
      </w:r>
      <w:proofErr w:type="spellStart"/>
      <w:r w:rsidRPr="00223279">
        <w:rPr>
          <w:color w:val="000000"/>
          <w:lang w:val="en-US"/>
        </w:rPr>
        <w:t>Lydecker</w:t>
      </w:r>
      <w:proofErr w:type="spellEnd"/>
      <w:r w:rsidRPr="00223279">
        <w:rPr>
          <w:color w:val="000000"/>
          <w:lang w:val="en-US"/>
        </w:rPr>
        <w:t>, “The Domestic Setting of the Arts in Renaissance Florence,” 181–82.</w:t>
      </w:r>
    </w:p>
  </w:footnote>
  <w:footnote w:id="511">
    <w:p w14:paraId="74D623BF" w14:textId="77777777" w:rsidR="00182EED" w:rsidRDefault="00182EED" w:rsidP="00094F64">
      <w:pPr>
        <w:pStyle w:val="FootnoteText"/>
      </w:pPr>
      <w:r w:rsidRPr="00591949">
        <w:rPr>
          <w:rStyle w:val="FootnoteReference"/>
        </w:rPr>
        <w:footnoteRef/>
      </w:r>
      <w:r>
        <w:t xml:space="preserve"> For example, </w:t>
      </w:r>
      <w:r w:rsidRPr="00223279">
        <w:rPr>
          <w:color w:val="000000"/>
          <w:lang w:val="en-US"/>
        </w:rPr>
        <w:t>Saint Catherine of Siena had a vision of a male child in a circle in 1378, see Olson, “Lost and Partially Found,” 32.</w:t>
      </w:r>
    </w:p>
  </w:footnote>
  <w:footnote w:id="512">
    <w:p w14:paraId="562655C4" w14:textId="77777777" w:rsidR="00182EED" w:rsidRDefault="00182EED" w:rsidP="00094F64">
      <w:pPr>
        <w:pStyle w:val="FootnoteText"/>
      </w:pPr>
      <w:r w:rsidRPr="00591949">
        <w:rPr>
          <w:rStyle w:val="FootnoteReference"/>
        </w:rPr>
        <w:footnoteRef/>
      </w:r>
      <w:r>
        <w:t xml:space="preserve"> </w:t>
      </w:r>
      <w:r w:rsidRPr="00223279">
        <w:rPr>
          <w:color w:val="000000"/>
          <w:lang w:val="en-US"/>
        </w:rPr>
        <w:t xml:space="preserve">Olson, </w:t>
      </w:r>
      <w:r w:rsidRPr="00223279">
        <w:rPr>
          <w:i/>
          <w:iCs/>
          <w:color w:val="000000"/>
          <w:lang w:val="en-US"/>
        </w:rPr>
        <w:t>The Florentine Tondo</w:t>
      </w:r>
      <w:r w:rsidRPr="00223279">
        <w:rPr>
          <w:color w:val="000000"/>
          <w:lang w:val="en-US"/>
        </w:rPr>
        <w:t>, 93–94.</w:t>
      </w:r>
    </w:p>
  </w:footnote>
  <w:footnote w:id="513">
    <w:p w14:paraId="17B511F4" w14:textId="77777777" w:rsidR="00182EED" w:rsidRDefault="00182EED" w:rsidP="00094F64">
      <w:pPr>
        <w:pStyle w:val="FootnoteText"/>
      </w:pPr>
      <w:r w:rsidRPr="00591949">
        <w:rPr>
          <w:rStyle w:val="FootnoteReference"/>
        </w:rPr>
        <w:footnoteRef/>
      </w:r>
      <w:r>
        <w:t xml:space="preserve"> </w:t>
      </w:r>
      <w:r w:rsidRPr="00223279">
        <w:rPr>
          <w:color w:val="000000"/>
          <w:lang w:val="en-US"/>
        </w:rPr>
        <w:t>Ibid., 94–96.</w:t>
      </w:r>
    </w:p>
  </w:footnote>
  <w:footnote w:id="514">
    <w:p w14:paraId="187E77A3" w14:textId="77777777" w:rsidR="00182EED" w:rsidRDefault="00182EED" w:rsidP="00094F64">
      <w:pPr>
        <w:pStyle w:val="FootnoteText"/>
      </w:pPr>
      <w:r w:rsidRPr="00591949">
        <w:rPr>
          <w:rStyle w:val="FootnoteReference"/>
        </w:rPr>
        <w:footnoteRef/>
      </w:r>
      <w:r>
        <w:t xml:space="preserve"> </w:t>
      </w:r>
      <w:r>
        <w:rPr>
          <w:noProof/>
        </w:rPr>
        <w:t>Ibid.</w:t>
      </w:r>
    </w:p>
  </w:footnote>
  <w:footnote w:id="515">
    <w:p w14:paraId="46C07252" w14:textId="77777777" w:rsidR="00182EED" w:rsidRDefault="00182EED" w:rsidP="00094F64">
      <w:pPr>
        <w:pStyle w:val="FootnoteText"/>
      </w:pPr>
      <w:r w:rsidRPr="00591949">
        <w:rPr>
          <w:rStyle w:val="FootnoteReference"/>
        </w:rPr>
        <w:footnoteRef/>
      </w:r>
      <w:r>
        <w:t xml:space="preserve"> </w:t>
      </w:r>
      <w:r w:rsidRPr="00223279">
        <w:rPr>
          <w:color w:val="000000"/>
          <w:lang w:val="en-US"/>
        </w:rPr>
        <w:t xml:space="preserve">Debora </w:t>
      </w:r>
      <w:proofErr w:type="spellStart"/>
      <w:r w:rsidRPr="00223279">
        <w:rPr>
          <w:color w:val="000000"/>
          <w:lang w:val="en-US"/>
        </w:rPr>
        <w:t>Shuger</w:t>
      </w:r>
      <w:proofErr w:type="spellEnd"/>
      <w:r w:rsidRPr="00223279">
        <w:rPr>
          <w:color w:val="000000"/>
          <w:lang w:val="en-US"/>
        </w:rPr>
        <w:t xml:space="preserve">, “The ‘I’ of the Beholder. Renaissance Mirrors and the Reflexive Mind,” in </w:t>
      </w:r>
      <w:r w:rsidRPr="00223279">
        <w:rPr>
          <w:i/>
          <w:iCs/>
          <w:color w:val="000000"/>
          <w:lang w:val="en-US"/>
        </w:rPr>
        <w:t>Renaissance Culture and the Everyday</w:t>
      </w:r>
      <w:r w:rsidRPr="00223279">
        <w:rPr>
          <w:color w:val="000000"/>
          <w:lang w:val="en-US"/>
        </w:rPr>
        <w:t xml:space="preserve">, ed. Patricia </w:t>
      </w:r>
      <w:proofErr w:type="spellStart"/>
      <w:r w:rsidRPr="00223279">
        <w:rPr>
          <w:color w:val="000000"/>
          <w:lang w:val="en-US"/>
        </w:rPr>
        <w:t>Fumerton</w:t>
      </w:r>
      <w:proofErr w:type="spellEnd"/>
      <w:r w:rsidRPr="00223279">
        <w:rPr>
          <w:color w:val="000000"/>
          <w:lang w:val="en-US"/>
        </w:rPr>
        <w:t xml:space="preserve"> and Simon Hunt (Philadelphia: University of Pennsylvania Press, 1999), 21.</w:t>
      </w:r>
    </w:p>
  </w:footnote>
  <w:footnote w:id="516">
    <w:p w14:paraId="5FEE7FEA" w14:textId="77777777" w:rsidR="00182EED" w:rsidRDefault="00182EED" w:rsidP="004F5533">
      <w:pPr>
        <w:pStyle w:val="FootnoteText"/>
      </w:pPr>
      <w:r w:rsidRPr="00591949">
        <w:rPr>
          <w:rStyle w:val="FootnoteReference"/>
        </w:rPr>
        <w:footnoteRef/>
      </w:r>
      <w:r>
        <w:t xml:space="preserve"> </w:t>
      </w:r>
      <w:r w:rsidRPr="00046BC2">
        <w:rPr>
          <w:color w:val="000000"/>
          <w:lang w:val="en-US"/>
        </w:rPr>
        <w:t xml:space="preserve">Ibid., 22; on mirrors, see Nancy M </w:t>
      </w:r>
      <w:proofErr w:type="spellStart"/>
      <w:r w:rsidRPr="00046BC2">
        <w:rPr>
          <w:color w:val="000000"/>
          <w:lang w:val="en-US"/>
        </w:rPr>
        <w:t>Frelick</w:t>
      </w:r>
      <w:proofErr w:type="spellEnd"/>
      <w:r w:rsidRPr="00046BC2">
        <w:rPr>
          <w:color w:val="000000"/>
          <w:lang w:val="en-US"/>
        </w:rPr>
        <w:t xml:space="preserve">, </w:t>
      </w:r>
      <w:r w:rsidRPr="00046BC2">
        <w:rPr>
          <w:i/>
          <w:iCs/>
          <w:color w:val="000000"/>
          <w:lang w:val="en-US"/>
        </w:rPr>
        <w:t>The Mirror in Medieval and Early Modern Culture: Specular Reflections</w:t>
      </w:r>
      <w:r w:rsidRPr="00046BC2">
        <w:rPr>
          <w:color w:val="000000"/>
          <w:lang w:val="en-US"/>
        </w:rPr>
        <w:t xml:space="preserve">, 2016; Laurie Schneider, “Mirrors in Art,” </w:t>
      </w:r>
      <w:r w:rsidRPr="00046BC2">
        <w:rPr>
          <w:i/>
          <w:iCs/>
          <w:color w:val="000000"/>
          <w:lang w:val="en-US"/>
        </w:rPr>
        <w:t>Psychoanalytic Inquiry Psychoanalytic Inquiry</w:t>
      </w:r>
      <w:r w:rsidRPr="00046BC2">
        <w:rPr>
          <w:color w:val="000000"/>
          <w:lang w:val="en-US"/>
        </w:rPr>
        <w:t xml:space="preserve"> 5, no. 2 (1985): 283–324; Paula M</w:t>
      </w:r>
      <w:r>
        <w:rPr>
          <w:color w:val="000000"/>
          <w:lang w:val="en-US"/>
        </w:rPr>
        <w:t>.</w:t>
      </w:r>
      <w:r w:rsidRPr="00046BC2">
        <w:rPr>
          <w:color w:val="000000"/>
          <w:lang w:val="en-US"/>
        </w:rPr>
        <w:t xml:space="preserve"> Hancock, “Transformations in the Iconography of the Mirror in Medieval Art” (Emory University, 1988).</w:t>
      </w:r>
    </w:p>
  </w:footnote>
  <w:footnote w:id="517">
    <w:p w14:paraId="5BAE22D3" w14:textId="77777777" w:rsidR="00182EED" w:rsidRPr="00BA7BAB" w:rsidRDefault="00182EED" w:rsidP="004F5533">
      <w:pPr>
        <w:spacing w:line="240" w:lineRule="auto"/>
        <w:rPr>
          <w:color w:val="000000" w:themeColor="text1"/>
          <w:sz w:val="18"/>
          <w:szCs w:val="18"/>
          <w:lang w:val="it-IT"/>
        </w:rPr>
      </w:pPr>
      <w:r w:rsidRPr="004F5533">
        <w:rPr>
          <w:rStyle w:val="FootnoteReference"/>
          <w:sz w:val="18"/>
          <w:szCs w:val="18"/>
        </w:rPr>
        <w:footnoteRef/>
      </w:r>
      <w:r w:rsidRPr="004F5533">
        <w:rPr>
          <w:color w:val="000000" w:themeColor="text1"/>
          <w:sz w:val="18"/>
          <w:szCs w:val="18"/>
          <w:lang w:val="it-IT"/>
        </w:rPr>
        <w:t xml:space="preserve"> T</w:t>
      </w:r>
      <w:r w:rsidRPr="00BA7BAB">
        <w:rPr>
          <w:color w:val="000000" w:themeColor="text1"/>
          <w:sz w:val="18"/>
          <w:szCs w:val="18"/>
          <w:lang w:val="it-IT"/>
        </w:rPr>
        <w:t xml:space="preserve">he </w:t>
      </w:r>
      <w:proofErr w:type="spellStart"/>
      <w:r w:rsidRPr="00BA7BAB">
        <w:rPr>
          <w:color w:val="000000" w:themeColor="text1"/>
          <w:sz w:val="18"/>
          <w:szCs w:val="18"/>
          <w:lang w:val="it-IT"/>
        </w:rPr>
        <w:t>inscription</w:t>
      </w:r>
      <w:proofErr w:type="spellEnd"/>
      <w:r w:rsidRPr="00BA7BAB">
        <w:rPr>
          <w:color w:val="000000" w:themeColor="text1"/>
          <w:sz w:val="18"/>
          <w:szCs w:val="18"/>
          <w:lang w:val="it-IT"/>
        </w:rPr>
        <w:t xml:space="preserve"> in </w:t>
      </w:r>
      <w:r>
        <w:rPr>
          <w:color w:val="000000" w:themeColor="text1"/>
          <w:sz w:val="18"/>
          <w:szCs w:val="18"/>
          <w:lang w:val="it-IT"/>
        </w:rPr>
        <w:t xml:space="preserve">the </w:t>
      </w:r>
      <w:proofErr w:type="spellStart"/>
      <w:r>
        <w:rPr>
          <w:color w:val="000000" w:themeColor="text1"/>
          <w:sz w:val="18"/>
          <w:szCs w:val="18"/>
          <w:lang w:val="it-IT"/>
        </w:rPr>
        <w:t>v</w:t>
      </w:r>
      <w:r w:rsidRPr="00BA7BAB">
        <w:rPr>
          <w:color w:val="000000" w:themeColor="text1"/>
          <w:sz w:val="18"/>
          <w:szCs w:val="18"/>
          <w:lang w:val="it-IT"/>
        </w:rPr>
        <w:t>ernacular</w:t>
      </w:r>
      <w:proofErr w:type="spellEnd"/>
      <w:r w:rsidRPr="00BA7BAB">
        <w:rPr>
          <w:color w:val="000000" w:themeColor="text1"/>
          <w:sz w:val="18"/>
          <w:szCs w:val="18"/>
          <w:lang w:val="it-IT"/>
        </w:rPr>
        <w:t xml:space="preserve"> </w:t>
      </w:r>
      <w:proofErr w:type="spellStart"/>
      <w:r w:rsidRPr="00BA7BAB">
        <w:rPr>
          <w:color w:val="000000" w:themeColor="text1"/>
          <w:sz w:val="18"/>
          <w:szCs w:val="18"/>
          <w:lang w:val="it-IT"/>
        </w:rPr>
        <w:t>reads</w:t>
      </w:r>
      <w:proofErr w:type="spellEnd"/>
      <w:r w:rsidRPr="00BA7BAB">
        <w:rPr>
          <w:color w:val="000000" w:themeColor="text1"/>
          <w:sz w:val="18"/>
          <w:szCs w:val="18"/>
          <w:lang w:val="it-IT"/>
        </w:rPr>
        <w:t xml:space="preserve"> “</w:t>
      </w:r>
      <w:proofErr w:type="spellStart"/>
      <w:r w:rsidRPr="00BA7BAB">
        <w:rPr>
          <w:color w:val="000000" w:themeColor="text1"/>
          <w:sz w:val="18"/>
          <w:szCs w:val="18"/>
          <w:lang w:val="it-IT"/>
        </w:rPr>
        <w:t>Spechiatevi</w:t>
      </w:r>
      <w:proofErr w:type="spellEnd"/>
      <w:r w:rsidRPr="00BA7BAB">
        <w:rPr>
          <w:color w:val="000000" w:themeColor="text1"/>
          <w:sz w:val="18"/>
          <w:szCs w:val="18"/>
          <w:lang w:val="it-IT"/>
        </w:rPr>
        <w:t xml:space="preserve"> in costoro voi che reggete se volete regnare mille et mille anni”. </w:t>
      </w:r>
    </w:p>
  </w:footnote>
  <w:footnote w:id="518">
    <w:p w14:paraId="427AEB4B" w14:textId="77777777" w:rsidR="00182EED" w:rsidRDefault="00182EED" w:rsidP="004F5533">
      <w:pPr>
        <w:pStyle w:val="FootnoteText"/>
      </w:pPr>
      <w:r w:rsidRPr="00591949">
        <w:rPr>
          <w:rStyle w:val="FootnoteReference"/>
        </w:rPr>
        <w:footnoteRef/>
      </w:r>
      <w:r>
        <w:t xml:space="preserve"> </w:t>
      </w:r>
      <w:r w:rsidRPr="00017086">
        <w:rPr>
          <w:color w:val="000000"/>
          <w:lang w:val="en-US"/>
        </w:rPr>
        <w:t xml:space="preserve">Nicolai Rubinstein, “Political Ideas in Sienese Art: The Frescoes by </w:t>
      </w:r>
      <w:proofErr w:type="spellStart"/>
      <w:r w:rsidRPr="00017086">
        <w:rPr>
          <w:color w:val="000000"/>
          <w:lang w:val="en-US"/>
        </w:rPr>
        <w:t>Ambrogio</w:t>
      </w:r>
      <w:proofErr w:type="spellEnd"/>
      <w:r w:rsidRPr="00017086">
        <w:rPr>
          <w:color w:val="000000"/>
          <w:lang w:val="en-US"/>
        </w:rPr>
        <w:t xml:space="preserve"> Lorenzetti and Taddeo Di </w:t>
      </w:r>
      <w:proofErr w:type="spellStart"/>
      <w:r w:rsidRPr="00017086">
        <w:rPr>
          <w:color w:val="000000"/>
          <w:lang w:val="en-US"/>
        </w:rPr>
        <w:t>Bartolo</w:t>
      </w:r>
      <w:proofErr w:type="spellEnd"/>
      <w:r w:rsidRPr="00017086">
        <w:rPr>
          <w:color w:val="000000"/>
          <w:lang w:val="en-US"/>
        </w:rPr>
        <w:t xml:space="preserve"> in the Palazzo </w:t>
      </w:r>
      <w:proofErr w:type="spellStart"/>
      <w:r w:rsidRPr="00017086">
        <w:rPr>
          <w:color w:val="000000"/>
          <w:lang w:val="en-US"/>
        </w:rPr>
        <w:t>Pubblico</w:t>
      </w:r>
      <w:proofErr w:type="spellEnd"/>
      <w:r w:rsidRPr="00017086">
        <w:rPr>
          <w:color w:val="000000"/>
          <w:lang w:val="en-US"/>
        </w:rPr>
        <w:t xml:space="preserve">,” </w:t>
      </w:r>
      <w:r w:rsidRPr="00017086">
        <w:rPr>
          <w:i/>
          <w:iCs/>
          <w:color w:val="000000"/>
          <w:lang w:val="en-US"/>
        </w:rPr>
        <w:t xml:space="preserve">Journal of the Warburg and </w:t>
      </w:r>
      <w:proofErr w:type="spellStart"/>
      <w:r w:rsidRPr="00017086">
        <w:rPr>
          <w:i/>
          <w:iCs/>
          <w:color w:val="000000"/>
          <w:lang w:val="en-US"/>
        </w:rPr>
        <w:t>Courtauld</w:t>
      </w:r>
      <w:proofErr w:type="spellEnd"/>
      <w:r w:rsidRPr="00017086">
        <w:rPr>
          <w:i/>
          <w:iCs/>
          <w:color w:val="000000"/>
          <w:lang w:val="en-US"/>
        </w:rPr>
        <w:t xml:space="preserve"> Institutes</w:t>
      </w:r>
      <w:r w:rsidRPr="00017086">
        <w:rPr>
          <w:color w:val="000000"/>
          <w:lang w:val="en-US"/>
        </w:rPr>
        <w:t xml:space="preserve"> 21, no. 3/4 (1958): 190–93.</w:t>
      </w:r>
    </w:p>
  </w:footnote>
  <w:footnote w:id="519">
    <w:p w14:paraId="00A172A5" w14:textId="77777777" w:rsidR="00182EED" w:rsidRDefault="00182EED" w:rsidP="00094F64">
      <w:pPr>
        <w:pStyle w:val="FootnoteText"/>
      </w:pPr>
      <w:r w:rsidRPr="00591949">
        <w:rPr>
          <w:rStyle w:val="FootnoteReference"/>
        </w:rPr>
        <w:footnoteRef/>
      </w:r>
      <w:r>
        <w:t xml:space="preserve"> </w:t>
      </w:r>
      <w:r w:rsidRPr="00017086">
        <w:rPr>
          <w:color w:val="000000"/>
          <w:lang w:val="en-US"/>
        </w:rPr>
        <w:t>“</w:t>
      </w:r>
      <w:proofErr w:type="spellStart"/>
      <w:r w:rsidRPr="00017086">
        <w:rPr>
          <w:color w:val="000000"/>
          <w:lang w:val="en-US"/>
        </w:rPr>
        <w:t>Magis</w:t>
      </w:r>
      <w:proofErr w:type="spellEnd"/>
      <w:r w:rsidRPr="00017086">
        <w:rPr>
          <w:color w:val="000000"/>
          <w:lang w:val="en-US"/>
        </w:rPr>
        <w:t xml:space="preserve"> </w:t>
      </w:r>
      <w:proofErr w:type="spellStart"/>
      <w:r w:rsidRPr="00017086">
        <w:rPr>
          <w:color w:val="000000"/>
          <w:lang w:val="en-US"/>
        </w:rPr>
        <w:t>autem</w:t>
      </w:r>
      <w:proofErr w:type="spellEnd"/>
      <w:r w:rsidRPr="00017086">
        <w:rPr>
          <w:color w:val="000000"/>
          <w:lang w:val="en-US"/>
        </w:rPr>
        <w:t xml:space="preserve"> id ipsum </w:t>
      </w:r>
      <w:proofErr w:type="spellStart"/>
      <w:r w:rsidRPr="00017086">
        <w:rPr>
          <w:color w:val="000000"/>
          <w:lang w:val="en-US"/>
        </w:rPr>
        <w:t>consequi</w:t>
      </w:r>
      <w:proofErr w:type="spellEnd"/>
      <w:r w:rsidRPr="00017086">
        <w:rPr>
          <w:color w:val="000000"/>
          <w:lang w:val="en-US"/>
        </w:rPr>
        <w:t xml:space="preserve"> </w:t>
      </w:r>
      <w:proofErr w:type="spellStart"/>
      <w:r w:rsidRPr="00017086">
        <w:rPr>
          <w:color w:val="000000"/>
          <w:lang w:val="en-US"/>
        </w:rPr>
        <w:t>fortasse</w:t>
      </w:r>
      <w:proofErr w:type="spellEnd"/>
      <w:r w:rsidRPr="00017086">
        <w:rPr>
          <w:color w:val="000000"/>
          <w:lang w:val="en-US"/>
        </w:rPr>
        <w:t xml:space="preserve"> </w:t>
      </w:r>
      <w:proofErr w:type="spellStart"/>
      <w:r w:rsidRPr="00017086">
        <w:rPr>
          <w:color w:val="000000"/>
          <w:lang w:val="en-US"/>
        </w:rPr>
        <w:t>poterunt</w:t>
      </w:r>
      <w:proofErr w:type="spellEnd"/>
      <w:r w:rsidRPr="00017086">
        <w:rPr>
          <w:color w:val="000000"/>
          <w:lang w:val="en-US"/>
        </w:rPr>
        <w:t xml:space="preserve">, </w:t>
      </w:r>
      <w:proofErr w:type="spellStart"/>
      <w:r w:rsidRPr="00017086">
        <w:rPr>
          <w:color w:val="000000"/>
          <w:lang w:val="en-US"/>
        </w:rPr>
        <w:t>si</w:t>
      </w:r>
      <w:proofErr w:type="spellEnd"/>
      <w:r w:rsidRPr="00017086">
        <w:rPr>
          <w:color w:val="000000"/>
          <w:lang w:val="en-US"/>
        </w:rPr>
        <w:t xml:space="preserve"> non tam </w:t>
      </w:r>
      <w:proofErr w:type="spellStart"/>
      <w:r w:rsidRPr="00017086">
        <w:rPr>
          <w:color w:val="000000"/>
          <w:lang w:val="en-US"/>
        </w:rPr>
        <w:t>suam</w:t>
      </w:r>
      <w:proofErr w:type="spellEnd"/>
      <w:r w:rsidRPr="00017086">
        <w:rPr>
          <w:color w:val="000000"/>
          <w:lang w:val="en-US"/>
        </w:rPr>
        <w:t xml:space="preserve"> </w:t>
      </w:r>
      <w:proofErr w:type="spellStart"/>
      <w:r w:rsidRPr="00017086">
        <w:rPr>
          <w:color w:val="000000"/>
          <w:lang w:val="en-US"/>
        </w:rPr>
        <w:t>speciem</w:t>
      </w:r>
      <w:proofErr w:type="spellEnd"/>
      <w:r w:rsidRPr="00017086">
        <w:rPr>
          <w:color w:val="000000"/>
          <w:lang w:val="en-US"/>
        </w:rPr>
        <w:t xml:space="preserve"> </w:t>
      </w:r>
      <w:proofErr w:type="spellStart"/>
      <w:r w:rsidRPr="00017086">
        <w:rPr>
          <w:color w:val="000000"/>
          <w:lang w:val="en-US"/>
        </w:rPr>
        <w:t>quam</w:t>
      </w:r>
      <w:proofErr w:type="spellEnd"/>
      <w:r w:rsidRPr="00017086">
        <w:rPr>
          <w:color w:val="000000"/>
          <w:lang w:val="en-US"/>
        </w:rPr>
        <w:t xml:space="preserve"> </w:t>
      </w:r>
      <w:proofErr w:type="spellStart"/>
      <w:r w:rsidRPr="00017086">
        <w:rPr>
          <w:color w:val="000000"/>
          <w:lang w:val="en-US"/>
        </w:rPr>
        <w:t>alieno</w:t>
      </w:r>
      <w:proofErr w:type="spellEnd"/>
      <w:r w:rsidRPr="00017086">
        <w:rPr>
          <w:color w:val="000000"/>
          <w:lang w:val="en-US"/>
        </w:rPr>
        <w:t xml:space="preserve"> </w:t>
      </w:r>
      <w:proofErr w:type="spellStart"/>
      <w:r w:rsidRPr="00017086">
        <w:rPr>
          <w:color w:val="000000"/>
          <w:lang w:val="en-US"/>
        </w:rPr>
        <w:t>probati</w:t>
      </w:r>
      <w:proofErr w:type="spellEnd"/>
      <w:r w:rsidRPr="00017086">
        <w:rPr>
          <w:color w:val="000000"/>
          <w:lang w:val="en-US"/>
        </w:rPr>
        <w:t xml:space="preserve"> hominis mores et </w:t>
      </w:r>
      <w:proofErr w:type="spellStart"/>
      <w:r w:rsidRPr="00017086">
        <w:rPr>
          <w:color w:val="000000"/>
          <w:lang w:val="en-US"/>
        </w:rPr>
        <w:t>vivum</w:t>
      </w:r>
      <w:proofErr w:type="spellEnd"/>
      <w:r w:rsidRPr="00017086">
        <w:rPr>
          <w:color w:val="000000"/>
          <w:lang w:val="en-US"/>
        </w:rPr>
        <w:t xml:space="preserve"> speculum </w:t>
      </w:r>
      <w:proofErr w:type="spellStart"/>
      <w:r w:rsidRPr="00017086">
        <w:rPr>
          <w:color w:val="000000"/>
          <w:lang w:val="en-US"/>
        </w:rPr>
        <w:t>intuebuntur</w:t>
      </w:r>
      <w:proofErr w:type="spellEnd"/>
      <w:r w:rsidRPr="00017086">
        <w:rPr>
          <w:color w:val="000000"/>
          <w:lang w:val="en-US"/>
        </w:rPr>
        <w:t xml:space="preserve">.” Craig W </w:t>
      </w:r>
      <w:proofErr w:type="spellStart"/>
      <w:r w:rsidRPr="00017086">
        <w:rPr>
          <w:color w:val="000000"/>
          <w:lang w:val="en-US"/>
        </w:rPr>
        <w:t>Kallendorf</w:t>
      </w:r>
      <w:proofErr w:type="spellEnd"/>
      <w:r w:rsidRPr="00017086">
        <w:rPr>
          <w:color w:val="000000"/>
          <w:lang w:val="en-US"/>
        </w:rPr>
        <w:t xml:space="preserve">, “Introduction,” in </w:t>
      </w:r>
      <w:r w:rsidRPr="00017086">
        <w:rPr>
          <w:i/>
          <w:iCs/>
          <w:color w:val="000000"/>
          <w:lang w:val="en-US"/>
        </w:rPr>
        <w:t>Humanist Educational Treatises</w:t>
      </w:r>
      <w:r w:rsidRPr="00017086">
        <w:rPr>
          <w:color w:val="000000"/>
          <w:lang w:val="en-US"/>
        </w:rPr>
        <w:t xml:space="preserve">, ed. Craig W </w:t>
      </w:r>
      <w:proofErr w:type="spellStart"/>
      <w:r w:rsidRPr="00017086">
        <w:rPr>
          <w:color w:val="000000"/>
          <w:lang w:val="en-US"/>
        </w:rPr>
        <w:t>Kallendorf</w:t>
      </w:r>
      <w:proofErr w:type="spellEnd"/>
      <w:r w:rsidRPr="00017086">
        <w:rPr>
          <w:color w:val="000000"/>
          <w:lang w:val="en-US"/>
        </w:rPr>
        <w:t xml:space="preserve"> (Harvard University Press, 2002), 41–42, translation at p. 6; see also Stefano G</w:t>
      </w:r>
      <w:r>
        <w:rPr>
          <w:color w:val="000000"/>
          <w:lang w:val="en-US"/>
        </w:rPr>
        <w:t>.</w:t>
      </w:r>
      <w:r w:rsidRPr="00017086">
        <w:rPr>
          <w:color w:val="000000"/>
          <w:lang w:val="en-US"/>
        </w:rPr>
        <w:t xml:space="preserve"> </w:t>
      </w:r>
      <w:proofErr w:type="spellStart"/>
      <w:r w:rsidRPr="00017086">
        <w:rPr>
          <w:color w:val="000000"/>
          <w:lang w:val="en-US"/>
        </w:rPr>
        <w:t>Casu</w:t>
      </w:r>
      <w:proofErr w:type="spellEnd"/>
      <w:r w:rsidRPr="00017086">
        <w:rPr>
          <w:color w:val="000000"/>
          <w:lang w:val="en-US"/>
        </w:rPr>
        <w:t xml:space="preserve">, “Speculum </w:t>
      </w:r>
      <w:proofErr w:type="spellStart"/>
      <w:r w:rsidRPr="00017086">
        <w:rPr>
          <w:color w:val="000000"/>
          <w:lang w:val="en-US"/>
        </w:rPr>
        <w:t>Principis</w:t>
      </w:r>
      <w:proofErr w:type="spellEnd"/>
      <w:r w:rsidRPr="00017086">
        <w:rPr>
          <w:color w:val="000000"/>
          <w:lang w:val="en-US"/>
        </w:rPr>
        <w:t xml:space="preserve">: Notes on Two Plaquettes by </w:t>
      </w:r>
      <w:proofErr w:type="spellStart"/>
      <w:r w:rsidRPr="00017086">
        <w:rPr>
          <w:color w:val="000000"/>
          <w:lang w:val="en-US"/>
        </w:rPr>
        <w:t>Filarete</w:t>
      </w:r>
      <w:proofErr w:type="spellEnd"/>
      <w:r w:rsidRPr="00017086">
        <w:rPr>
          <w:color w:val="000000"/>
          <w:lang w:val="en-US"/>
        </w:rPr>
        <w:t xml:space="preserve">,” </w:t>
      </w:r>
      <w:r w:rsidRPr="00017086">
        <w:rPr>
          <w:i/>
          <w:iCs/>
          <w:color w:val="000000"/>
          <w:lang w:val="en-US"/>
        </w:rPr>
        <w:t xml:space="preserve">The Medal / Publ. by the British Art Medal Trust in Assoc. with FIDEM, the Fédération </w:t>
      </w:r>
      <w:proofErr w:type="spellStart"/>
      <w:r w:rsidRPr="00017086">
        <w:rPr>
          <w:i/>
          <w:iCs/>
          <w:color w:val="000000"/>
          <w:lang w:val="en-US"/>
        </w:rPr>
        <w:t>Internationale</w:t>
      </w:r>
      <w:proofErr w:type="spellEnd"/>
      <w:r w:rsidRPr="00017086">
        <w:rPr>
          <w:i/>
          <w:iCs/>
          <w:color w:val="000000"/>
          <w:lang w:val="en-US"/>
        </w:rPr>
        <w:t xml:space="preserve"> de La </w:t>
      </w:r>
      <w:proofErr w:type="spellStart"/>
      <w:r w:rsidRPr="00017086">
        <w:rPr>
          <w:i/>
          <w:iCs/>
          <w:color w:val="000000"/>
          <w:lang w:val="en-US"/>
        </w:rPr>
        <w:t>Médaille</w:t>
      </w:r>
      <w:proofErr w:type="spellEnd"/>
      <w:r w:rsidRPr="00017086">
        <w:rPr>
          <w:color w:val="000000"/>
          <w:lang w:val="en-US"/>
        </w:rPr>
        <w:t>, 2015, 41–42.</w:t>
      </w:r>
    </w:p>
  </w:footnote>
  <w:footnote w:id="520">
    <w:p w14:paraId="4CB7C19D" w14:textId="77777777" w:rsidR="00182EED" w:rsidRDefault="00182EED" w:rsidP="00094F64">
      <w:pPr>
        <w:pStyle w:val="FootnoteText"/>
      </w:pPr>
      <w:r w:rsidRPr="00591949">
        <w:rPr>
          <w:rStyle w:val="FootnoteReference"/>
        </w:rPr>
        <w:footnoteRef/>
      </w:r>
      <w:r>
        <w:t xml:space="preserve"> </w:t>
      </w:r>
      <w:r w:rsidRPr="003F70AE">
        <w:rPr>
          <w:color w:val="000000"/>
          <w:lang w:val="en-US"/>
        </w:rPr>
        <w:t>“</w:t>
      </w:r>
      <w:proofErr w:type="spellStart"/>
      <w:r w:rsidRPr="003F70AE">
        <w:rPr>
          <w:color w:val="000000"/>
          <w:lang w:val="en-US"/>
        </w:rPr>
        <w:t>T’ingegna</w:t>
      </w:r>
      <w:proofErr w:type="spellEnd"/>
      <w:r w:rsidRPr="003F70AE">
        <w:rPr>
          <w:color w:val="000000"/>
          <w:lang w:val="en-US"/>
        </w:rPr>
        <w:t xml:space="preserve"> </w:t>
      </w:r>
      <w:proofErr w:type="spellStart"/>
      <w:r w:rsidRPr="003F70AE">
        <w:rPr>
          <w:color w:val="000000"/>
          <w:lang w:val="en-US"/>
        </w:rPr>
        <w:t>d’avere</w:t>
      </w:r>
      <w:proofErr w:type="spellEnd"/>
      <w:r w:rsidRPr="003F70AE">
        <w:rPr>
          <w:color w:val="000000"/>
          <w:lang w:val="en-US"/>
        </w:rPr>
        <w:t xml:space="preserve"> </w:t>
      </w:r>
      <w:proofErr w:type="spellStart"/>
      <w:r w:rsidRPr="003F70AE">
        <w:rPr>
          <w:color w:val="000000"/>
          <w:lang w:val="en-US"/>
        </w:rPr>
        <w:t>usanza</w:t>
      </w:r>
      <w:proofErr w:type="spellEnd"/>
      <w:r w:rsidRPr="003F70AE">
        <w:rPr>
          <w:color w:val="000000"/>
          <w:lang w:val="en-US"/>
        </w:rPr>
        <w:t xml:space="preserve"> e </w:t>
      </w:r>
      <w:proofErr w:type="spellStart"/>
      <w:r w:rsidRPr="003F70AE">
        <w:rPr>
          <w:color w:val="000000"/>
          <w:lang w:val="en-US"/>
        </w:rPr>
        <w:t>dimestichezza</w:t>
      </w:r>
      <w:proofErr w:type="spellEnd"/>
      <w:r w:rsidRPr="003F70AE">
        <w:rPr>
          <w:color w:val="000000"/>
          <w:lang w:val="en-US"/>
        </w:rPr>
        <w:t xml:space="preserve"> con </w:t>
      </w:r>
      <w:proofErr w:type="spellStart"/>
      <w:r w:rsidRPr="003F70AE">
        <w:rPr>
          <w:color w:val="000000"/>
          <w:lang w:val="en-US"/>
        </w:rPr>
        <w:t>uno</w:t>
      </w:r>
      <w:proofErr w:type="spellEnd"/>
      <w:r w:rsidRPr="003F70AE">
        <w:rPr>
          <w:color w:val="000000"/>
          <w:lang w:val="en-US"/>
        </w:rPr>
        <w:t xml:space="preserve"> o con </w:t>
      </w:r>
      <w:proofErr w:type="spellStart"/>
      <w:r w:rsidRPr="003F70AE">
        <w:rPr>
          <w:color w:val="000000"/>
          <w:lang w:val="en-US"/>
        </w:rPr>
        <w:t>più</w:t>
      </w:r>
      <w:proofErr w:type="spellEnd"/>
      <w:r w:rsidRPr="003F70AE">
        <w:rPr>
          <w:color w:val="000000"/>
          <w:lang w:val="en-US"/>
        </w:rPr>
        <w:t xml:space="preserve"> </w:t>
      </w:r>
      <w:proofErr w:type="spellStart"/>
      <w:r w:rsidRPr="003F70AE">
        <w:rPr>
          <w:color w:val="000000"/>
          <w:lang w:val="en-US"/>
        </w:rPr>
        <w:t>valente</w:t>
      </w:r>
      <w:proofErr w:type="spellEnd"/>
      <w:r w:rsidRPr="003F70AE">
        <w:rPr>
          <w:color w:val="000000"/>
          <w:lang w:val="en-US"/>
        </w:rPr>
        <w:t xml:space="preserve"> </w:t>
      </w:r>
      <w:proofErr w:type="spellStart"/>
      <w:r w:rsidRPr="003F70AE">
        <w:rPr>
          <w:color w:val="000000"/>
          <w:lang w:val="en-US"/>
        </w:rPr>
        <w:t>uomo</w:t>
      </w:r>
      <w:proofErr w:type="spellEnd"/>
      <w:r w:rsidRPr="003F70AE">
        <w:rPr>
          <w:color w:val="000000"/>
          <w:lang w:val="en-US"/>
        </w:rPr>
        <w:t xml:space="preserve">, </w:t>
      </w:r>
      <w:proofErr w:type="spellStart"/>
      <w:r w:rsidRPr="003F70AE">
        <w:rPr>
          <w:color w:val="000000"/>
          <w:lang w:val="en-US"/>
        </w:rPr>
        <w:t>savio</w:t>
      </w:r>
      <w:proofErr w:type="spellEnd"/>
      <w:r w:rsidRPr="003F70AE">
        <w:rPr>
          <w:color w:val="000000"/>
          <w:lang w:val="en-US"/>
        </w:rPr>
        <w:t xml:space="preserve"> e antico e </w:t>
      </w:r>
      <w:proofErr w:type="spellStart"/>
      <w:r w:rsidRPr="003F70AE">
        <w:rPr>
          <w:color w:val="000000"/>
          <w:lang w:val="en-US"/>
        </w:rPr>
        <w:t>sanza</w:t>
      </w:r>
      <w:proofErr w:type="spellEnd"/>
      <w:r w:rsidRPr="003F70AE">
        <w:rPr>
          <w:color w:val="000000"/>
          <w:lang w:val="en-US"/>
        </w:rPr>
        <w:t xml:space="preserve"> </w:t>
      </w:r>
      <w:proofErr w:type="spellStart"/>
      <w:r w:rsidRPr="003F70AE">
        <w:rPr>
          <w:color w:val="000000"/>
          <w:lang w:val="en-US"/>
        </w:rPr>
        <w:t>vizio</w:t>
      </w:r>
      <w:proofErr w:type="spellEnd"/>
      <w:r w:rsidRPr="003F70AE">
        <w:rPr>
          <w:color w:val="000000"/>
          <w:lang w:val="en-US"/>
        </w:rPr>
        <w:t xml:space="preserve"> … da </w:t>
      </w:r>
      <w:proofErr w:type="spellStart"/>
      <w:r w:rsidRPr="003F70AE">
        <w:rPr>
          <w:color w:val="000000"/>
          <w:lang w:val="en-US"/>
        </w:rPr>
        <w:t>lui</w:t>
      </w:r>
      <w:proofErr w:type="spellEnd"/>
      <w:r w:rsidRPr="003F70AE">
        <w:rPr>
          <w:color w:val="000000"/>
          <w:lang w:val="en-US"/>
        </w:rPr>
        <w:t xml:space="preserve"> </w:t>
      </w:r>
      <w:proofErr w:type="spellStart"/>
      <w:r w:rsidRPr="003F70AE">
        <w:rPr>
          <w:color w:val="000000"/>
          <w:lang w:val="en-US"/>
        </w:rPr>
        <w:t>imprendi</w:t>
      </w:r>
      <w:proofErr w:type="spellEnd"/>
      <w:r w:rsidRPr="003F70AE">
        <w:rPr>
          <w:color w:val="000000"/>
          <w:lang w:val="en-US"/>
        </w:rPr>
        <w:t xml:space="preserve">, da </w:t>
      </w:r>
      <w:proofErr w:type="spellStart"/>
      <w:r w:rsidRPr="003F70AE">
        <w:rPr>
          <w:color w:val="000000"/>
          <w:lang w:val="en-US"/>
        </w:rPr>
        <w:t>lui</w:t>
      </w:r>
      <w:proofErr w:type="spellEnd"/>
      <w:r w:rsidRPr="003F70AE">
        <w:rPr>
          <w:color w:val="000000"/>
          <w:lang w:val="en-US"/>
        </w:rPr>
        <w:t xml:space="preserve"> </w:t>
      </w:r>
      <w:proofErr w:type="spellStart"/>
      <w:r w:rsidRPr="003F70AE">
        <w:rPr>
          <w:color w:val="000000"/>
          <w:lang w:val="en-US"/>
        </w:rPr>
        <w:t>appara</w:t>
      </w:r>
      <w:proofErr w:type="spellEnd"/>
      <w:r w:rsidRPr="003F70AE">
        <w:rPr>
          <w:color w:val="000000"/>
          <w:lang w:val="en-US"/>
        </w:rPr>
        <w:t xml:space="preserve">, e </w:t>
      </w:r>
      <w:proofErr w:type="spellStart"/>
      <w:r w:rsidRPr="003F70AE">
        <w:rPr>
          <w:color w:val="000000"/>
          <w:lang w:val="en-US"/>
        </w:rPr>
        <w:t>così</w:t>
      </w:r>
      <w:proofErr w:type="spellEnd"/>
      <w:r w:rsidRPr="003F70AE">
        <w:rPr>
          <w:color w:val="000000"/>
          <w:lang w:val="en-US"/>
        </w:rPr>
        <w:t xml:space="preserve"> </w:t>
      </w:r>
      <w:proofErr w:type="spellStart"/>
      <w:r w:rsidRPr="003F70AE">
        <w:rPr>
          <w:color w:val="000000"/>
          <w:lang w:val="en-US"/>
        </w:rPr>
        <w:t>seguita</w:t>
      </w:r>
      <w:proofErr w:type="spellEnd"/>
      <w:r w:rsidRPr="003F70AE">
        <w:rPr>
          <w:color w:val="000000"/>
          <w:lang w:val="en-US"/>
        </w:rPr>
        <w:t xml:space="preserve"> e </w:t>
      </w:r>
      <w:proofErr w:type="spellStart"/>
      <w:r w:rsidRPr="003F70AE">
        <w:rPr>
          <w:color w:val="000000"/>
          <w:lang w:val="en-US"/>
        </w:rPr>
        <w:t>t’ingegna</w:t>
      </w:r>
      <w:proofErr w:type="spellEnd"/>
      <w:r w:rsidRPr="003F70AE">
        <w:rPr>
          <w:color w:val="000000"/>
          <w:lang w:val="en-US"/>
        </w:rPr>
        <w:t xml:space="preserve"> di </w:t>
      </w:r>
      <w:proofErr w:type="spellStart"/>
      <w:r w:rsidRPr="003F70AE">
        <w:rPr>
          <w:color w:val="000000"/>
          <w:lang w:val="en-US"/>
        </w:rPr>
        <w:t>somigliarlo</w:t>
      </w:r>
      <w:proofErr w:type="spellEnd"/>
      <w:r w:rsidRPr="003F70AE">
        <w:rPr>
          <w:color w:val="000000"/>
          <w:lang w:val="en-US"/>
        </w:rPr>
        <w:t xml:space="preserve">: </w:t>
      </w:r>
      <w:proofErr w:type="spellStart"/>
      <w:r w:rsidRPr="003F70AE">
        <w:rPr>
          <w:color w:val="000000"/>
          <w:lang w:val="en-US"/>
        </w:rPr>
        <w:t>abbilo</w:t>
      </w:r>
      <w:proofErr w:type="spellEnd"/>
      <w:r w:rsidRPr="003F70AE">
        <w:rPr>
          <w:color w:val="000000"/>
          <w:lang w:val="en-US"/>
        </w:rPr>
        <w:t xml:space="preserve"> </w:t>
      </w:r>
      <w:proofErr w:type="spellStart"/>
      <w:r w:rsidRPr="003F70AE">
        <w:rPr>
          <w:color w:val="000000"/>
          <w:lang w:val="en-US"/>
        </w:rPr>
        <w:t>sempre</w:t>
      </w:r>
      <w:proofErr w:type="spellEnd"/>
      <w:r w:rsidRPr="003F70AE">
        <w:rPr>
          <w:color w:val="000000"/>
          <w:lang w:val="en-US"/>
        </w:rPr>
        <w:t xml:space="preserve"> </w:t>
      </w:r>
      <w:proofErr w:type="spellStart"/>
      <w:r w:rsidRPr="003F70AE">
        <w:rPr>
          <w:color w:val="000000"/>
          <w:lang w:val="en-US"/>
        </w:rPr>
        <w:t>innanzi</w:t>
      </w:r>
      <w:proofErr w:type="spellEnd"/>
      <w:r w:rsidRPr="003F70AE">
        <w:rPr>
          <w:color w:val="000000"/>
          <w:lang w:val="en-US"/>
        </w:rPr>
        <w:t xml:space="preserve"> e </w:t>
      </w:r>
      <w:proofErr w:type="spellStart"/>
      <w:r w:rsidRPr="003F70AE">
        <w:rPr>
          <w:color w:val="000000"/>
          <w:lang w:val="en-US"/>
        </w:rPr>
        <w:t>nella</w:t>
      </w:r>
      <w:proofErr w:type="spellEnd"/>
      <w:r w:rsidRPr="003F70AE">
        <w:rPr>
          <w:color w:val="000000"/>
          <w:lang w:val="en-US"/>
        </w:rPr>
        <w:t xml:space="preserve"> </w:t>
      </w:r>
      <w:proofErr w:type="spellStart"/>
      <w:r w:rsidRPr="003F70AE">
        <w:rPr>
          <w:color w:val="000000"/>
          <w:lang w:val="en-US"/>
        </w:rPr>
        <w:t>tua</w:t>
      </w:r>
      <w:proofErr w:type="spellEnd"/>
      <w:r w:rsidRPr="003F70AE">
        <w:rPr>
          <w:color w:val="000000"/>
          <w:lang w:val="en-US"/>
        </w:rPr>
        <w:t xml:space="preserve"> </w:t>
      </w:r>
      <w:proofErr w:type="spellStart"/>
      <w:r w:rsidRPr="003F70AE">
        <w:rPr>
          <w:color w:val="000000"/>
          <w:lang w:val="en-US"/>
        </w:rPr>
        <w:t>mente</w:t>
      </w:r>
      <w:proofErr w:type="spellEnd"/>
      <w:r w:rsidRPr="003F70AE">
        <w:rPr>
          <w:color w:val="000000"/>
          <w:lang w:val="en-US"/>
        </w:rPr>
        <w:t xml:space="preserve">, e </w:t>
      </w:r>
      <w:proofErr w:type="spellStart"/>
      <w:r w:rsidRPr="003F70AE">
        <w:rPr>
          <w:color w:val="000000"/>
          <w:lang w:val="en-US"/>
        </w:rPr>
        <w:t>quando</w:t>
      </w:r>
      <w:proofErr w:type="spellEnd"/>
      <w:r w:rsidRPr="003F70AE">
        <w:rPr>
          <w:color w:val="000000"/>
          <w:lang w:val="en-US"/>
        </w:rPr>
        <w:t xml:space="preserve"> </w:t>
      </w:r>
      <w:proofErr w:type="spellStart"/>
      <w:r w:rsidRPr="003F70AE">
        <w:rPr>
          <w:color w:val="000000"/>
          <w:lang w:val="en-US"/>
        </w:rPr>
        <w:t>fai</w:t>
      </w:r>
      <w:proofErr w:type="spellEnd"/>
      <w:r w:rsidRPr="003F70AE">
        <w:rPr>
          <w:color w:val="000000"/>
          <w:lang w:val="en-US"/>
        </w:rPr>
        <w:t xml:space="preserve"> una </w:t>
      </w:r>
      <w:proofErr w:type="spellStart"/>
      <w:r w:rsidRPr="003F70AE">
        <w:rPr>
          <w:color w:val="000000"/>
          <w:lang w:val="en-US"/>
        </w:rPr>
        <w:t>cosa</w:t>
      </w:r>
      <w:proofErr w:type="spellEnd"/>
      <w:r w:rsidRPr="003F70AE">
        <w:rPr>
          <w:color w:val="000000"/>
          <w:lang w:val="en-US"/>
        </w:rPr>
        <w:t xml:space="preserve"> </w:t>
      </w:r>
      <w:proofErr w:type="spellStart"/>
      <w:r w:rsidRPr="003F70AE">
        <w:rPr>
          <w:color w:val="000000"/>
          <w:lang w:val="en-US"/>
        </w:rPr>
        <w:t>ispecchiati</w:t>
      </w:r>
      <w:proofErr w:type="spellEnd"/>
      <w:r w:rsidRPr="003F70AE">
        <w:rPr>
          <w:color w:val="000000"/>
          <w:lang w:val="en-US"/>
        </w:rPr>
        <w:t xml:space="preserve"> in </w:t>
      </w:r>
      <w:proofErr w:type="spellStart"/>
      <w:r w:rsidRPr="003F70AE">
        <w:rPr>
          <w:color w:val="000000"/>
          <w:lang w:val="en-US"/>
        </w:rPr>
        <w:t>lui</w:t>
      </w:r>
      <w:proofErr w:type="spellEnd"/>
      <w:r w:rsidRPr="003F70AE">
        <w:rPr>
          <w:color w:val="000000"/>
          <w:lang w:val="en-US"/>
        </w:rPr>
        <w:t xml:space="preserve">”. Giovanni di </w:t>
      </w:r>
      <w:proofErr w:type="spellStart"/>
      <w:r w:rsidRPr="003F70AE">
        <w:rPr>
          <w:color w:val="000000"/>
          <w:lang w:val="en-US"/>
        </w:rPr>
        <w:t>Pagolo</w:t>
      </w:r>
      <w:proofErr w:type="spellEnd"/>
      <w:r w:rsidRPr="003F70AE">
        <w:rPr>
          <w:color w:val="000000"/>
          <w:lang w:val="en-US"/>
        </w:rPr>
        <w:t xml:space="preserve"> Morelli, </w:t>
      </w:r>
      <w:proofErr w:type="spellStart"/>
      <w:r w:rsidRPr="003F70AE">
        <w:rPr>
          <w:i/>
          <w:iCs/>
          <w:color w:val="000000"/>
          <w:lang w:val="en-US"/>
        </w:rPr>
        <w:t>Ricordi</w:t>
      </w:r>
      <w:proofErr w:type="spellEnd"/>
      <w:r w:rsidRPr="003F70AE">
        <w:rPr>
          <w:color w:val="000000"/>
          <w:lang w:val="en-US"/>
        </w:rPr>
        <w:t>, quoted and translated in Richard C</w:t>
      </w:r>
      <w:r>
        <w:rPr>
          <w:color w:val="000000"/>
          <w:lang w:val="en-US"/>
        </w:rPr>
        <w:t>.</w:t>
      </w:r>
      <w:r w:rsidRPr="003F70AE">
        <w:rPr>
          <w:color w:val="000000"/>
          <w:lang w:val="en-US"/>
        </w:rPr>
        <w:t xml:space="preserve"> Trexler, </w:t>
      </w:r>
      <w:r w:rsidRPr="003F70AE">
        <w:rPr>
          <w:i/>
          <w:iCs/>
          <w:color w:val="000000"/>
          <w:lang w:val="en-US"/>
        </w:rPr>
        <w:t>Public Life in Renaissance Florence</w:t>
      </w:r>
      <w:r w:rsidRPr="003F70AE">
        <w:rPr>
          <w:color w:val="000000"/>
          <w:lang w:val="en-US"/>
        </w:rPr>
        <w:t xml:space="preserve"> (Ithaca: Cornell University Press, 1991), 171; see also Tim Shephard, “A Mirror for Princes: The Ferrarese Mirror Frame in the V&amp;A and the Instruction of Heirs,” </w:t>
      </w:r>
      <w:r w:rsidRPr="003F70AE">
        <w:rPr>
          <w:i/>
          <w:iCs/>
          <w:color w:val="000000"/>
          <w:lang w:val="en-US"/>
        </w:rPr>
        <w:t>Journal of Design History</w:t>
      </w:r>
      <w:r w:rsidRPr="003F70AE">
        <w:rPr>
          <w:color w:val="000000"/>
          <w:lang w:val="en-US"/>
        </w:rPr>
        <w:t xml:space="preserve"> 26, no. 1 (2013): 109.</w:t>
      </w:r>
    </w:p>
  </w:footnote>
  <w:footnote w:id="521">
    <w:p w14:paraId="408B7B2E" w14:textId="77777777" w:rsidR="00182EED" w:rsidRDefault="00182EED" w:rsidP="00094F64">
      <w:pPr>
        <w:pStyle w:val="FootnoteText"/>
      </w:pPr>
      <w:r w:rsidRPr="00591949">
        <w:rPr>
          <w:rStyle w:val="FootnoteReference"/>
        </w:rPr>
        <w:footnoteRef/>
      </w:r>
      <w:r>
        <w:t xml:space="preserve"> </w:t>
      </w:r>
      <w:r w:rsidRPr="00F11B0C">
        <w:rPr>
          <w:color w:val="000000"/>
          <w:lang w:val="en-US"/>
        </w:rPr>
        <w:t>“</w:t>
      </w:r>
      <w:proofErr w:type="spellStart"/>
      <w:r w:rsidRPr="00F11B0C">
        <w:rPr>
          <w:color w:val="000000"/>
          <w:lang w:val="en-US"/>
        </w:rPr>
        <w:t>Honesto</w:t>
      </w:r>
      <w:proofErr w:type="spellEnd"/>
      <w:r w:rsidRPr="00F11B0C">
        <w:rPr>
          <w:color w:val="000000"/>
          <w:lang w:val="en-US"/>
        </w:rPr>
        <w:t xml:space="preserve"> loco </w:t>
      </w:r>
      <w:proofErr w:type="spellStart"/>
      <w:r w:rsidRPr="00F11B0C">
        <w:rPr>
          <w:color w:val="000000"/>
          <w:lang w:val="en-US"/>
        </w:rPr>
        <w:t>natos</w:t>
      </w:r>
      <w:proofErr w:type="spellEnd"/>
      <w:r w:rsidRPr="00F11B0C">
        <w:rPr>
          <w:color w:val="000000"/>
          <w:lang w:val="en-US"/>
        </w:rPr>
        <w:t xml:space="preserve"> </w:t>
      </w:r>
      <w:proofErr w:type="spellStart"/>
      <w:r w:rsidRPr="00F11B0C">
        <w:rPr>
          <w:color w:val="000000"/>
          <w:lang w:val="en-US"/>
        </w:rPr>
        <w:t>paternae</w:t>
      </w:r>
      <w:proofErr w:type="spellEnd"/>
      <w:r w:rsidRPr="00F11B0C">
        <w:rPr>
          <w:color w:val="000000"/>
          <w:lang w:val="en-US"/>
        </w:rPr>
        <w:t xml:space="preserve"> </w:t>
      </w:r>
      <w:proofErr w:type="spellStart"/>
      <w:r w:rsidRPr="00F11B0C">
        <w:rPr>
          <w:color w:val="000000"/>
          <w:lang w:val="en-US"/>
        </w:rPr>
        <w:t>gloriae</w:t>
      </w:r>
      <w:proofErr w:type="spellEnd"/>
      <w:r w:rsidRPr="00F11B0C">
        <w:rPr>
          <w:color w:val="000000"/>
          <w:lang w:val="en-US"/>
        </w:rPr>
        <w:t xml:space="preserve"> lumen </w:t>
      </w:r>
      <w:proofErr w:type="spellStart"/>
      <w:r w:rsidRPr="00F11B0C">
        <w:rPr>
          <w:color w:val="000000"/>
          <w:lang w:val="en-US"/>
        </w:rPr>
        <w:t>obscuros</w:t>
      </w:r>
      <w:proofErr w:type="spellEnd"/>
      <w:r w:rsidRPr="00F11B0C">
        <w:rPr>
          <w:color w:val="000000"/>
          <w:lang w:val="en-US"/>
        </w:rPr>
        <w:t xml:space="preserve"> </w:t>
      </w:r>
      <w:proofErr w:type="spellStart"/>
      <w:r w:rsidRPr="00F11B0C">
        <w:rPr>
          <w:color w:val="000000"/>
          <w:lang w:val="en-US"/>
        </w:rPr>
        <w:t>esse</w:t>
      </w:r>
      <w:proofErr w:type="spellEnd"/>
      <w:r w:rsidRPr="00F11B0C">
        <w:rPr>
          <w:color w:val="000000"/>
          <w:lang w:val="en-US"/>
        </w:rPr>
        <w:t xml:space="preserve"> non </w:t>
      </w:r>
      <w:proofErr w:type="spellStart"/>
      <w:r w:rsidRPr="00F11B0C">
        <w:rPr>
          <w:color w:val="000000"/>
          <w:lang w:val="en-US"/>
        </w:rPr>
        <w:t>patitur</w:t>
      </w:r>
      <w:proofErr w:type="spellEnd"/>
      <w:r w:rsidRPr="00F11B0C">
        <w:rPr>
          <w:color w:val="000000"/>
          <w:lang w:val="en-US"/>
        </w:rPr>
        <w:t xml:space="preserve">; qui </w:t>
      </w:r>
      <w:proofErr w:type="spellStart"/>
      <w:r w:rsidRPr="00F11B0C">
        <w:rPr>
          <w:color w:val="000000"/>
          <w:lang w:val="en-US"/>
        </w:rPr>
        <w:t>parentum</w:t>
      </w:r>
      <w:proofErr w:type="spellEnd"/>
      <w:r w:rsidRPr="00F11B0C">
        <w:rPr>
          <w:color w:val="000000"/>
          <w:lang w:val="en-US"/>
        </w:rPr>
        <w:t xml:space="preserve"> imagines </w:t>
      </w:r>
      <w:proofErr w:type="spellStart"/>
      <w:r w:rsidRPr="00F11B0C">
        <w:rPr>
          <w:color w:val="000000"/>
          <w:lang w:val="en-US"/>
        </w:rPr>
        <w:t>sibi</w:t>
      </w:r>
      <w:proofErr w:type="spellEnd"/>
      <w:r w:rsidRPr="00F11B0C">
        <w:rPr>
          <w:color w:val="000000"/>
          <w:lang w:val="en-US"/>
        </w:rPr>
        <w:t xml:space="preserve"> plus </w:t>
      </w:r>
      <w:proofErr w:type="spellStart"/>
      <w:r w:rsidRPr="00F11B0C">
        <w:rPr>
          <w:color w:val="000000"/>
          <w:lang w:val="en-US"/>
        </w:rPr>
        <w:t>oneris</w:t>
      </w:r>
      <w:proofErr w:type="spellEnd"/>
      <w:r w:rsidRPr="00F11B0C">
        <w:rPr>
          <w:color w:val="000000"/>
          <w:lang w:val="en-US"/>
        </w:rPr>
        <w:t xml:space="preserve"> </w:t>
      </w:r>
      <w:proofErr w:type="spellStart"/>
      <w:r w:rsidRPr="00F11B0C">
        <w:rPr>
          <w:color w:val="000000"/>
          <w:lang w:val="en-US"/>
        </w:rPr>
        <w:t>quam</w:t>
      </w:r>
      <w:proofErr w:type="spellEnd"/>
      <w:r w:rsidRPr="00F11B0C">
        <w:rPr>
          <w:color w:val="000000"/>
          <w:lang w:val="en-US"/>
        </w:rPr>
        <w:t xml:space="preserve"> honoris </w:t>
      </w:r>
      <w:proofErr w:type="spellStart"/>
      <w:r w:rsidRPr="00F11B0C">
        <w:rPr>
          <w:color w:val="000000"/>
          <w:lang w:val="en-US"/>
        </w:rPr>
        <w:t>afferre</w:t>
      </w:r>
      <w:proofErr w:type="spellEnd"/>
      <w:r w:rsidRPr="00F11B0C">
        <w:rPr>
          <w:color w:val="000000"/>
          <w:lang w:val="en-US"/>
        </w:rPr>
        <w:t xml:space="preserve"> </w:t>
      </w:r>
      <w:proofErr w:type="spellStart"/>
      <w:r w:rsidRPr="00F11B0C">
        <w:rPr>
          <w:color w:val="000000"/>
          <w:lang w:val="en-US"/>
        </w:rPr>
        <w:t>intelligunt</w:t>
      </w:r>
      <w:proofErr w:type="spellEnd"/>
      <w:r w:rsidRPr="00F11B0C">
        <w:rPr>
          <w:color w:val="000000"/>
          <w:lang w:val="en-US"/>
        </w:rPr>
        <w:t xml:space="preserve">, nisi </w:t>
      </w:r>
      <w:proofErr w:type="spellStart"/>
      <w:r w:rsidRPr="00F11B0C">
        <w:rPr>
          <w:color w:val="000000"/>
          <w:lang w:val="en-US"/>
        </w:rPr>
        <w:t>sua</w:t>
      </w:r>
      <w:proofErr w:type="spellEnd"/>
      <w:r w:rsidRPr="00F11B0C">
        <w:rPr>
          <w:color w:val="000000"/>
          <w:lang w:val="en-US"/>
        </w:rPr>
        <w:t xml:space="preserve"> </w:t>
      </w:r>
      <w:proofErr w:type="spellStart"/>
      <w:r w:rsidRPr="00F11B0C">
        <w:rPr>
          <w:color w:val="000000"/>
          <w:lang w:val="en-US"/>
        </w:rPr>
        <w:t>virtute</w:t>
      </w:r>
      <w:proofErr w:type="spellEnd"/>
      <w:r w:rsidRPr="00F11B0C">
        <w:rPr>
          <w:color w:val="000000"/>
          <w:lang w:val="en-US"/>
        </w:rPr>
        <w:t xml:space="preserve"> </w:t>
      </w:r>
      <w:proofErr w:type="spellStart"/>
      <w:r w:rsidRPr="00F11B0C">
        <w:rPr>
          <w:color w:val="000000"/>
          <w:lang w:val="en-US"/>
        </w:rPr>
        <w:t>majorum</w:t>
      </w:r>
      <w:proofErr w:type="spellEnd"/>
      <w:r w:rsidRPr="00F11B0C">
        <w:rPr>
          <w:color w:val="000000"/>
          <w:lang w:val="en-US"/>
        </w:rPr>
        <w:t xml:space="preserve"> </w:t>
      </w:r>
      <w:proofErr w:type="spellStart"/>
      <w:r w:rsidRPr="00F11B0C">
        <w:rPr>
          <w:color w:val="000000"/>
          <w:lang w:val="en-US"/>
        </w:rPr>
        <w:t>dignitati</w:t>
      </w:r>
      <w:proofErr w:type="spellEnd"/>
      <w:r w:rsidRPr="00F11B0C">
        <w:rPr>
          <w:color w:val="000000"/>
          <w:lang w:val="en-US"/>
        </w:rPr>
        <w:t xml:space="preserve"> ac </w:t>
      </w:r>
      <w:proofErr w:type="spellStart"/>
      <w:r w:rsidRPr="00F11B0C">
        <w:rPr>
          <w:color w:val="000000"/>
          <w:lang w:val="en-US"/>
        </w:rPr>
        <w:t>amplitudini</w:t>
      </w:r>
      <w:proofErr w:type="spellEnd"/>
      <w:r w:rsidRPr="00F11B0C">
        <w:rPr>
          <w:color w:val="000000"/>
          <w:lang w:val="en-US"/>
        </w:rPr>
        <w:t xml:space="preserve"> </w:t>
      </w:r>
      <w:proofErr w:type="spellStart"/>
      <w:r w:rsidRPr="00F11B0C">
        <w:rPr>
          <w:color w:val="000000"/>
          <w:lang w:val="en-US"/>
        </w:rPr>
        <w:t>responderint</w:t>
      </w:r>
      <w:proofErr w:type="spellEnd"/>
      <w:r w:rsidRPr="00F11B0C">
        <w:rPr>
          <w:color w:val="000000"/>
          <w:lang w:val="en-US"/>
        </w:rPr>
        <w:t>.” Quoted in Margaret L. King, “</w:t>
      </w:r>
      <w:proofErr w:type="spellStart"/>
      <w:r w:rsidRPr="00F11B0C">
        <w:rPr>
          <w:color w:val="000000"/>
          <w:lang w:val="en-US"/>
        </w:rPr>
        <w:t>Caldiera</w:t>
      </w:r>
      <w:proofErr w:type="spellEnd"/>
      <w:r w:rsidRPr="00F11B0C">
        <w:rPr>
          <w:color w:val="000000"/>
          <w:lang w:val="en-US"/>
        </w:rPr>
        <w:t xml:space="preserve"> and the </w:t>
      </w:r>
      <w:proofErr w:type="spellStart"/>
      <w:r w:rsidRPr="00F11B0C">
        <w:rPr>
          <w:color w:val="000000"/>
          <w:lang w:val="en-US"/>
        </w:rPr>
        <w:t>Barbaros</w:t>
      </w:r>
      <w:proofErr w:type="spellEnd"/>
      <w:r w:rsidRPr="00F11B0C">
        <w:rPr>
          <w:color w:val="000000"/>
          <w:lang w:val="en-US"/>
        </w:rPr>
        <w:t xml:space="preserve"> on Marriage and the Family: Humanist Reflections of Venetian Realities,” </w:t>
      </w:r>
      <w:r w:rsidRPr="00F11B0C">
        <w:rPr>
          <w:i/>
          <w:iCs/>
          <w:color w:val="000000"/>
          <w:lang w:val="en-US"/>
        </w:rPr>
        <w:t>The Journal of Medieval and Renaissance Studies</w:t>
      </w:r>
      <w:r w:rsidRPr="00F11B0C">
        <w:rPr>
          <w:color w:val="000000"/>
          <w:lang w:val="en-US"/>
        </w:rPr>
        <w:t xml:space="preserve"> 6 (1976): 33; see also Shephard, “A Mirror for Princes,” 109.</w:t>
      </w:r>
    </w:p>
  </w:footnote>
  <w:footnote w:id="522">
    <w:p w14:paraId="42015C2B" w14:textId="77777777" w:rsidR="00182EED" w:rsidRDefault="00182EED" w:rsidP="00094F64">
      <w:pPr>
        <w:pStyle w:val="FootnoteText"/>
      </w:pPr>
      <w:r w:rsidRPr="00591949">
        <w:rPr>
          <w:rStyle w:val="FootnoteReference"/>
        </w:rPr>
        <w:footnoteRef/>
      </w:r>
      <w:r>
        <w:t xml:space="preserve"> </w:t>
      </w:r>
      <w:r w:rsidRPr="000C5FFD">
        <w:rPr>
          <w:color w:val="000000"/>
          <w:lang w:val="en-US"/>
        </w:rPr>
        <w:t xml:space="preserve">“Nel primo </w:t>
      </w:r>
      <w:proofErr w:type="spellStart"/>
      <w:r w:rsidRPr="000C5FFD">
        <w:rPr>
          <w:color w:val="000000"/>
          <w:lang w:val="en-US"/>
        </w:rPr>
        <w:t>specchio</w:t>
      </w:r>
      <w:proofErr w:type="spellEnd"/>
      <w:r w:rsidRPr="000C5FFD">
        <w:rPr>
          <w:color w:val="000000"/>
          <w:lang w:val="en-US"/>
        </w:rPr>
        <w:t xml:space="preserve"> fa’ </w:t>
      </w:r>
      <w:proofErr w:type="spellStart"/>
      <w:r w:rsidRPr="000C5FFD">
        <w:rPr>
          <w:color w:val="000000"/>
          <w:lang w:val="en-US"/>
        </w:rPr>
        <w:t>specchiare</w:t>
      </w:r>
      <w:proofErr w:type="spellEnd"/>
      <w:r w:rsidRPr="000C5FFD">
        <w:rPr>
          <w:color w:val="000000"/>
          <w:lang w:val="en-US"/>
        </w:rPr>
        <w:t xml:space="preserve"> </w:t>
      </w:r>
      <w:proofErr w:type="spellStart"/>
      <w:r w:rsidRPr="000C5FFD">
        <w:rPr>
          <w:color w:val="000000"/>
          <w:lang w:val="en-US"/>
        </w:rPr>
        <w:t>i</w:t>
      </w:r>
      <w:proofErr w:type="spellEnd"/>
      <w:r w:rsidRPr="000C5FFD">
        <w:rPr>
          <w:color w:val="000000"/>
          <w:lang w:val="en-US"/>
        </w:rPr>
        <w:t xml:space="preserve"> </w:t>
      </w:r>
      <w:proofErr w:type="spellStart"/>
      <w:r w:rsidRPr="000C5FFD">
        <w:rPr>
          <w:color w:val="000000"/>
          <w:lang w:val="en-US"/>
        </w:rPr>
        <w:t>tuoi</w:t>
      </w:r>
      <w:proofErr w:type="spellEnd"/>
      <w:r w:rsidRPr="000C5FFD">
        <w:rPr>
          <w:color w:val="000000"/>
          <w:lang w:val="en-US"/>
        </w:rPr>
        <w:t xml:space="preserve"> </w:t>
      </w:r>
      <w:proofErr w:type="spellStart"/>
      <w:r w:rsidRPr="000C5FFD">
        <w:rPr>
          <w:color w:val="000000"/>
          <w:lang w:val="en-US"/>
        </w:rPr>
        <w:t>figliuoli</w:t>
      </w:r>
      <w:proofErr w:type="spellEnd"/>
      <w:r w:rsidRPr="000C5FFD">
        <w:rPr>
          <w:color w:val="000000"/>
          <w:lang w:val="en-US"/>
        </w:rPr>
        <w:t xml:space="preserve">, come </w:t>
      </w:r>
      <w:proofErr w:type="spellStart"/>
      <w:r w:rsidRPr="000C5FFD">
        <w:rPr>
          <w:color w:val="000000"/>
          <w:lang w:val="en-US"/>
        </w:rPr>
        <w:t>aprono</w:t>
      </w:r>
      <w:proofErr w:type="spellEnd"/>
      <w:r w:rsidRPr="000C5FFD">
        <w:rPr>
          <w:color w:val="000000"/>
          <w:lang w:val="en-US"/>
        </w:rPr>
        <w:t xml:space="preserve"> </w:t>
      </w:r>
      <w:proofErr w:type="spellStart"/>
      <w:r w:rsidRPr="000C5FFD">
        <w:rPr>
          <w:color w:val="000000"/>
          <w:lang w:val="en-US"/>
        </w:rPr>
        <w:t>gli</w:t>
      </w:r>
      <w:proofErr w:type="spellEnd"/>
      <w:r w:rsidRPr="000C5FFD">
        <w:rPr>
          <w:color w:val="000000"/>
          <w:lang w:val="en-US"/>
        </w:rPr>
        <w:t xml:space="preserve"> </w:t>
      </w:r>
      <w:proofErr w:type="spellStart"/>
      <w:r w:rsidRPr="000C5FFD">
        <w:rPr>
          <w:color w:val="000000"/>
          <w:lang w:val="en-US"/>
        </w:rPr>
        <w:t>occhi</w:t>
      </w:r>
      <w:proofErr w:type="spellEnd"/>
      <w:r w:rsidRPr="000C5FFD">
        <w:rPr>
          <w:color w:val="000000"/>
          <w:lang w:val="en-US"/>
        </w:rPr>
        <w:t xml:space="preserve">.” Giovanni </w:t>
      </w:r>
      <w:proofErr w:type="spellStart"/>
      <w:r w:rsidRPr="000C5FFD">
        <w:rPr>
          <w:color w:val="000000"/>
          <w:lang w:val="en-US"/>
        </w:rPr>
        <w:t>Dominici</w:t>
      </w:r>
      <w:proofErr w:type="spellEnd"/>
      <w:r w:rsidRPr="000C5FFD">
        <w:rPr>
          <w:color w:val="000000"/>
          <w:lang w:val="en-US"/>
        </w:rPr>
        <w:t xml:space="preserve">, </w:t>
      </w:r>
      <w:proofErr w:type="spellStart"/>
      <w:r w:rsidRPr="000C5FFD">
        <w:rPr>
          <w:i/>
          <w:iCs/>
          <w:color w:val="000000"/>
          <w:lang w:val="en-US"/>
        </w:rPr>
        <w:t>Regola</w:t>
      </w:r>
      <w:proofErr w:type="spellEnd"/>
      <w:r w:rsidRPr="000C5FFD">
        <w:rPr>
          <w:i/>
          <w:iCs/>
          <w:color w:val="000000"/>
          <w:lang w:val="en-US"/>
        </w:rPr>
        <w:t xml:space="preserve"> Del </w:t>
      </w:r>
      <w:proofErr w:type="spellStart"/>
      <w:r w:rsidRPr="000C5FFD">
        <w:rPr>
          <w:i/>
          <w:iCs/>
          <w:color w:val="000000"/>
          <w:lang w:val="en-US"/>
        </w:rPr>
        <w:t>Governo</w:t>
      </w:r>
      <w:proofErr w:type="spellEnd"/>
      <w:r w:rsidRPr="000C5FFD">
        <w:rPr>
          <w:i/>
          <w:iCs/>
          <w:color w:val="000000"/>
          <w:lang w:val="en-US"/>
        </w:rPr>
        <w:t xml:space="preserve"> Di </w:t>
      </w:r>
      <w:proofErr w:type="spellStart"/>
      <w:r w:rsidRPr="000C5FFD">
        <w:rPr>
          <w:i/>
          <w:iCs/>
          <w:color w:val="000000"/>
          <w:lang w:val="en-US"/>
        </w:rPr>
        <w:t>Cura</w:t>
      </w:r>
      <w:proofErr w:type="spellEnd"/>
      <w:r w:rsidRPr="000C5FFD">
        <w:rPr>
          <w:i/>
          <w:iCs/>
          <w:color w:val="000000"/>
          <w:lang w:val="en-US"/>
        </w:rPr>
        <w:t xml:space="preserve"> </w:t>
      </w:r>
      <w:proofErr w:type="spellStart"/>
      <w:r w:rsidRPr="000C5FFD">
        <w:rPr>
          <w:i/>
          <w:iCs/>
          <w:color w:val="000000"/>
          <w:lang w:val="en-US"/>
        </w:rPr>
        <w:t>Familiare</w:t>
      </w:r>
      <w:proofErr w:type="spellEnd"/>
      <w:r w:rsidRPr="000C5FFD">
        <w:rPr>
          <w:color w:val="000000"/>
          <w:lang w:val="en-US"/>
        </w:rPr>
        <w:t xml:space="preserve">, ed. Donato Salvi (Florence: </w:t>
      </w:r>
      <w:proofErr w:type="spellStart"/>
      <w:r w:rsidRPr="000C5FFD">
        <w:rPr>
          <w:color w:val="000000"/>
          <w:lang w:val="en-US"/>
        </w:rPr>
        <w:t>Angiolo</w:t>
      </w:r>
      <w:proofErr w:type="spellEnd"/>
      <w:r w:rsidRPr="000C5FFD">
        <w:rPr>
          <w:color w:val="000000"/>
          <w:lang w:val="en-US"/>
        </w:rPr>
        <w:t xml:space="preserve"> </w:t>
      </w:r>
      <w:proofErr w:type="spellStart"/>
      <w:r w:rsidRPr="000C5FFD">
        <w:rPr>
          <w:color w:val="000000"/>
          <w:lang w:val="en-US"/>
        </w:rPr>
        <w:t>Garinei</w:t>
      </w:r>
      <w:proofErr w:type="spellEnd"/>
      <w:r w:rsidRPr="000C5FFD">
        <w:rPr>
          <w:color w:val="000000"/>
          <w:lang w:val="en-US"/>
        </w:rPr>
        <w:t xml:space="preserve"> </w:t>
      </w:r>
      <w:proofErr w:type="spellStart"/>
      <w:r w:rsidRPr="000C5FFD">
        <w:rPr>
          <w:color w:val="000000"/>
          <w:lang w:val="en-US"/>
        </w:rPr>
        <w:t>Libraio</w:t>
      </w:r>
      <w:proofErr w:type="spellEnd"/>
      <w:r w:rsidRPr="000C5FFD">
        <w:rPr>
          <w:color w:val="000000"/>
          <w:lang w:val="en-US"/>
        </w:rPr>
        <w:t>, 1860), 132.</w:t>
      </w:r>
    </w:p>
  </w:footnote>
  <w:footnote w:id="523">
    <w:p w14:paraId="4939A9E6" w14:textId="77777777" w:rsidR="00182EED" w:rsidRDefault="00182EED" w:rsidP="00094F64">
      <w:pPr>
        <w:pStyle w:val="FootnoteText"/>
      </w:pPr>
      <w:r w:rsidRPr="00591949">
        <w:rPr>
          <w:rStyle w:val="FootnoteReference"/>
        </w:rPr>
        <w:footnoteRef/>
      </w:r>
      <w:r>
        <w:t xml:space="preserve"> </w:t>
      </w:r>
      <w:r w:rsidRPr="00F11B0C">
        <w:rPr>
          <w:color w:val="000000"/>
          <w:lang w:val="en-US"/>
        </w:rPr>
        <w:t xml:space="preserve">“Hoc </w:t>
      </w:r>
      <w:proofErr w:type="spellStart"/>
      <w:r w:rsidRPr="00F11B0C">
        <w:rPr>
          <w:color w:val="000000"/>
          <w:lang w:val="en-US"/>
        </w:rPr>
        <w:t>porro</w:t>
      </w:r>
      <w:proofErr w:type="spellEnd"/>
      <w:r w:rsidRPr="00F11B0C">
        <w:rPr>
          <w:color w:val="000000"/>
          <w:lang w:val="en-US"/>
        </w:rPr>
        <w:t xml:space="preserve"> speculum </w:t>
      </w:r>
      <w:proofErr w:type="spellStart"/>
      <w:r w:rsidRPr="00F11B0C">
        <w:rPr>
          <w:color w:val="000000"/>
          <w:lang w:val="en-US"/>
        </w:rPr>
        <w:t>est</w:t>
      </w:r>
      <w:proofErr w:type="spellEnd"/>
      <w:r w:rsidRPr="00F11B0C">
        <w:rPr>
          <w:color w:val="000000"/>
          <w:lang w:val="en-US"/>
        </w:rPr>
        <w:t xml:space="preserve"> </w:t>
      </w:r>
      <w:proofErr w:type="spellStart"/>
      <w:r w:rsidRPr="00F11B0C">
        <w:rPr>
          <w:color w:val="000000"/>
          <w:lang w:val="en-US"/>
        </w:rPr>
        <w:t>proborum</w:t>
      </w:r>
      <w:proofErr w:type="spellEnd"/>
      <w:r w:rsidRPr="00F11B0C">
        <w:rPr>
          <w:color w:val="000000"/>
          <w:lang w:val="en-US"/>
        </w:rPr>
        <w:t xml:space="preserve"> </w:t>
      </w:r>
      <w:proofErr w:type="spellStart"/>
      <w:r w:rsidRPr="00F11B0C">
        <w:rPr>
          <w:color w:val="000000"/>
          <w:lang w:val="en-US"/>
        </w:rPr>
        <w:t>virorum</w:t>
      </w:r>
      <w:proofErr w:type="spellEnd"/>
      <w:r w:rsidRPr="00F11B0C">
        <w:rPr>
          <w:color w:val="000000"/>
          <w:lang w:val="en-US"/>
        </w:rPr>
        <w:t xml:space="preserve"> </w:t>
      </w:r>
      <w:proofErr w:type="spellStart"/>
      <w:r w:rsidRPr="00F11B0C">
        <w:rPr>
          <w:color w:val="000000"/>
          <w:lang w:val="en-US"/>
        </w:rPr>
        <w:t>memoria</w:t>
      </w:r>
      <w:proofErr w:type="spellEnd"/>
      <w:r w:rsidRPr="00F11B0C">
        <w:rPr>
          <w:color w:val="000000"/>
          <w:lang w:val="en-US"/>
        </w:rPr>
        <w:t xml:space="preserve">, </w:t>
      </w:r>
      <w:proofErr w:type="spellStart"/>
      <w:r w:rsidRPr="00F11B0C">
        <w:rPr>
          <w:color w:val="000000"/>
          <w:lang w:val="en-US"/>
        </w:rPr>
        <w:t>necnon</w:t>
      </w:r>
      <w:proofErr w:type="spellEnd"/>
      <w:r w:rsidRPr="00F11B0C">
        <w:rPr>
          <w:color w:val="000000"/>
          <w:lang w:val="en-US"/>
        </w:rPr>
        <w:t xml:space="preserve"> </w:t>
      </w:r>
      <w:proofErr w:type="spellStart"/>
      <w:r w:rsidRPr="00F11B0C">
        <w:rPr>
          <w:color w:val="000000"/>
          <w:lang w:val="en-US"/>
        </w:rPr>
        <w:t>beatae</w:t>
      </w:r>
      <w:proofErr w:type="spellEnd"/>
      <w:r w:rsidRPr="00F11B0C">
        <w:rPr>
          <w:color w:val="000000"/>
          <w:lang w:val="en-US"/>
        </w:rPr>
        <w:t xml:space="preserve"> </w:t>
      </w:r>
      <w:proofErr w:type="spellStart"/>
      <w:r w:rsidRPr="00F11B0C">
        <w:rPr>
          <w:color w:val="000000"/>
          <w:lang w:val="en-US"/>
        </w:rPr>
        <w:t>ipsorum</w:t>
      </w:r>
      <w:proofErr w:type="spellEnd"/>
      <w:r w:rsidRPr="00F11B0C">
        <w:rPr>
          <w:color w:val="000000"/>
          <w:lang w:val="en-US"/>
        </w:rPr>
        <w:t xml:space="preserve"> vitae </w:t>
      </w:r>
      <w:proofErr w:type="spellStart"/>
      <w:r w:rsidRPr="00F11B0C">
        <w:rPr>
          <w:color w:val="000000"/>
          <w:lang w:val="en-US"/>
        </w:rPr>
        <w:t>historia</w:t>
      </w:r>
      <w:proofErr w:type="spellEnd"/>
      <w:r w:rsidRPr="00F11B0C">
        <w:rPr>
          <w:color w:val="000000"/>
          <w:lang w:val="en-US"/>
        </w:rPr>
        <w:t xml:space="preserve">, </w:t>
      </w:r>
      <w:proofErr w:type="spellStart"/>
      <w:r w:rsidRPr="00F11B0C">
        <w:rPr>
          <w:color w:val="000000"/>
          <w:lang w:val="en-US"/>
        </w:rPr>
        <w:t>Scripturarum</w:t>
      </w:r>
      <w:proofErr w:type="spellEnd"/>
      <w:r w:rsidRPr="00F11B0C">
        <w:rPr>
          <w:color w:val="000000"/>
          <w:lang w:val="en-US"/>
        </w:rPr>
        <w:t xml:space="preserve"> lectio, </w:t>
      </w:r>
      <w:proofErr w:type="spellStart"/>
      <w:r w:rsidRPr="00F11B0C">
        <w:rPr>
          <w:color w:val="000000"/>
          <w:lang w:val="en-US"/>
        </w:rPr>
        <w:t>leges</w:t>
      </w:r>
      <w:proofErr w:type="spellEnd"/>
      <w:r w:rsidRPr="00F11B0C">
        <w:rPr>
          <w:color w:val="000000"/>
          <w:lang w:val="en-US"/>
        </w:rPr>
        <w:t xml:space="preserve"> a Deo </w:t>
      </w:r>
      <w:proofErr w:type="spellStart"/>
      <w:r w:rsidRPr="00F11B0C">
        <w:rPr>
          <w:color w:val="000000"/>
          <w:lang w:val="en-US"/>
        </w:rPr>
        <w:t>datae</w:t>
      </w:r>
      <w:proofErr w:type="spellEnd"/>
      <w:r w:rsidRPr="00F11B0C">
        <w:rPr>
          <w:color w:val="000000"/>
          <w:lang w:val="en-US"/>
        </w:rPr>
        <w:t xml:space="preserve">. Si vel </w:t>
      </w:r>
      <w:proofErr w:type="spellStart"/>
      <w:r w:rsidRPr="00F11B0C">
        <w:rPr>
          <w:color w:val="000000"/>
          <w:lang w:val="en-US"/>
        </w:rPr>
        <w:t>semel</w:t>
      </w:r>
      <w:proofErr w:type="spellEnd"/>
      <w:r w:rsidRPr="00F11B0C">
        <w:rPr>
          <w:color w:val="000000"/>
          <w:lang w:val="en-US"/>
        </w:rPr>
        <w:t xml:space="preserve"> </w:t>
      </w:r>
      <w:proofErr w:type="spellStart"/>
      <w:r w:rsidRPr="00F11B0C">
        <w:rPr>
          <w:color w:val="000000"/>
          <w:lang w:val="en-US"/>
        </w:rPr>
        <w:t>volueris</w:t>
      </w:r>
      <w:proofErr w:type="spellEnd"/>
      <w:r w:rsidRPr="00F11B0C">
        <w:rPr>
          <w:color w:val="000000"/>
          <w:lang w:val="en-US"/>
        </w:rPr>
        <w:t xml:space="preserve"> Sanctorum imagines </w:t>
      </w:r>
      <w:proofErr w:type="spellStart"/>
      <w:r w:rsidRPr="00F11B0C">
        <w:rPr>
          <w:color w:val="000000"/>
          <w:lang w:val="en-US"/>
        </w:rPr>
        <w:t>contemplari</w:t>
      </w:r>
      <w:proofErr w:type="spellEnd"/>
      <w:r w:rsidRPr="00F11B0C">
        <w:rPr>
          <w:color w:val="000000"/>
          <w:lang w:val="en-US"/>
        </w:rPr>
        <w:t xml:space="preserve">, </w:t>
      </w:r>
      <w:proofErr w:type="spellStart"/>
      <w:r w:rsidRPr="00F11B0C">
        <w:rPr>
          <w:color w:val="000000"/>
          <w:lang w:val="en-US"/>
        </w:rPr>
        <w:t>deformitatem</w:t>
      </w:r>
      <w:proofErr w:type="spellEnd"/>
      <w:r w:rsidRPr="00F11B0C">
        <w:rPr>
          <w:color w:val="000000"/>
          <w:lang w:val="en-US"/>
        </w:rPr>
        <w:t xml:space="preserve"> </w:t>
      </w:r>
      <w:proofErr w:type="spellStart"/>
      <w:r w:rsidRPr="00F11B0C">
        <w:rPr>
          <w:color w:val="000000"/>
          <w:lang w:val="en-US"/>
        </w:rPr>
        <w:t>animae</w:t>
      </w:r>
      <w:proofErr w:type="spellEnd"/>
      <w:r w:rsidRPr="00F11B0C">
        <w:rPr>
          <w:color w:val="000000"/>
          <w:lang w:val="en-US"/>
        </w:rPr>
        <w:t xml:space="preserve"> </w:t>
      </w:r>
      <w:proofErr w:type="spellStart"/>
      <w:r w:rsidRPr="00F11B0C">
        <w:rPr>
          <w:color w:val="000000"/>
          <w:lang w:val="en-US"/>
        </w:rPr>
        <w:t>tuae</w:t>
      </w:r>
      <w:proofErr w:type="spellEnd"/>
      <w:r w:rsidRPr="00F11B0C">
        <w:rPr>
          <w:color w:val="000000"/>
          <w:lang w:val="en-US"/>
        </w:rPr>
        <w:t xml:space="preserve"> </w:t>
      </w:r>
      <w:proofErr w:type="spellStart"/>
      <w:r w:rsidRPr="00F11B0C">
        <w:rPr>
          <w:color w:val="000000"/>
          <w:lang w:val="en-US"/>
        </w:rPr>
        <w:t>videbis</w:t>
      </w:r>
      <w:proofErr w:type="spellEnd"/>
      <w:r w:rsidRPr="00F11B0C">
        <w:rPr>
          <w:color w:val="000000"/>
          <w:lang w:val="en-US"/>
        </w:rPr>
        <w:t xml:space="preserve">: qua </w:t>
      </w:r>
      <w:proofErr w:type="spellStart"/>
      <w:r w:rsidRPr="00F11B0C">
        <w:rPr>
          <w:color w:val="000000"/>
          <w:lang w:val="en-US"/>
        </w:rPr>
        <w:t>semel</w:t>
      </w:r>
      <w:proofErr w:type="spellEnd"/>
      <w:r w:rsidRPr="00F11B0C">
        <w:rPr>
          <w:color w:val="000000"/>
          <w:lang w:val="en-US"/>
        </w:rPr>
        <w:t xml:space="preserve"> </w:t>
      </w:r>
      <w:proofErr w:type="spellStart"/>
      <w:r w:rsidRPr="00F11B0C">
        <w:rPr>
          <w:color w:val="000000"/>
          <w:lang w:val="en-US"/>
        </w:rPr>
        <w:t>conspecta</w:t>
      </w:r>
      <w:proofErr w:type="spellEnd"/>
      <w:r w:rsidRPr="00F11B0C">
        <w:rPr>
          <w:color w:val="000000"/>
          <w:lang w:val="en-US"/>
        </w:rPr>
        <w:t xml:space="preserve">, </w:t>
      </w:r>
      <w:proofErr w:type="spellStart"/>
      <w:r w:rsidRPr="00F11B0C">
        <w:rPr>
          <w:color w:val="000000"/>
          <w:lang w:val="en-US"/>
        </w:rPr>
        <w:t>nullo</w:t>
      </w:r>
      <w:proofErr w:type="spellEnd"/>
      <w:r w:rsidRPr="00F11B0C">
        <w:rPr>
          <w:color w:val="000000"/>
          <w:lang w:val="en-US"/>
        </w:rPr>
        <w:t xml:space="preserve"> </w:t>
      </w:r>
      <w:proofErr w:type="spellStart"/>
      <w:r w:rsidRPr="00F11B0C">
        <w:rPr>
          <w:color w:val="000000"/>
          <w:lang w:val="en-US"/>
        </w:rPr>
        <w:t>alio</w:t>
      </w:r>
      <w:proofErr w:type="spellEnd"/>
      <w:r w:rsidRPr="00F11B0C">
        <w:rPr>
          <w:color w:val="000000"/>
          <w:lang w:val="en-US"/>
        </w:rPr>
        <w:t xml:space="preserve"> </w:t>
      </w:r>
      <w:proofErr w:type="spellStart"/>
      <w:r w:rsidRPr="00F11B0C">
        <w:rPr>
          <w:color w:val="000000"/>
          <w:lang w:val="en-US"/>
        </w:rPr>
        <w:t>egebis</w:t>
      </w:r>
      <w:proofErr w:type="spellEnd"/>
      <w:r w:rsidRPr="00F11B0C">
        <w:rPr>
          <w:color w:val="000000"/>
          <w:lang w:val="en-US"/>
        </w:rPr>
        <w:t xml:space="preserve"> </w:t>
      </w:r>
      <w:proofErr w:type="spellStart"/>
      <w:r w:rsidRPr="00F11B0C">
        <w:rPr>
          <w:color w:val="000000"/>
          <w:lang w:val="en-US"/>
        </w:rPr>
        <w:t>ut</w:t>
      </w:r>
      <w:proofErr w:type="spellEnd"/>
      <w:r w:rsidRPr="00F11B0C">
        <w:rPr>
          <w:color w:val="000000"/>
          <w:lang w:val="en-US"/>
        </w:rPr>
        <w:t xml:space="preserve"> ab </w:t>
      </w:r>
      <w:proofErr w:type="spellStart"/>
      <w:r w:rsidRPr="00F11B0C">
        <w:rPr>
          <w:color w:val="000000"/>
          <w:lang w:val="en-US"/>
        </w:rPr>
        <w:t>hac</w:t>
      </w:r>
      <w:proofErr w:type="spellEnd"/>
      <w:r w:rsidRPr="00F11B0C">
        <w:rPr>
          <w:color w:val="000000"/>
          <w:lang w:val="en-US"/>
        </w:rPr>
        <w:t xml:space="preserve"> </w:t>
      </w:r>
      <w:proofErr w:type="spellStart"/>
      <w:r w:rsidRPr="00F11B0C">
        <w:rPr>
          <w:color w:val="000000"/>
          <w:lang w:val="en-US"/>
        </w:rPr>
        <w:t>turpitudine</w:t>
      </w:r>
      <w:proofErr w:type="spellEnd"/>
      <w:r w:rsidRPr="00F11B0C">
        <w:rPr>
          <w:color w:val="000000"/>
          <w:lang w:val="en-US"/>
        </w:rPr>
        <w:t xml:space="preserve"> </w:t>
      </w:r>
      <w:proofErr w:type="spellStart"/>
      <w:r w:rsidRPr="00F11B0C">
        <w:rPr>
          <w:color w:val="000000"/>
          <w:lang w:val="en-US"/>
        </w:rPr>
        <w:t>libereris</w:t>
      </w:r>
      <w:proofErr w:type="spellEnd"/>
      <w:r w:rsidRPr="00F11B0C">
        <w:rPr>
          <w:color w:val="000000"/>
          <w:lang w:val="en-US"/>
        </w:rPr>
        <w:t xml:space="preserve">. Ad hoc </w:t>
      </w:r>
      <w:proofErr w:type="spellStart"/>
      <w:r w:rsidRPr="00F11B0C">
        <w:rPr>
          <w:color w:val="000000"/>
          <w:lang w:val="en-US"/>
        </w:rPr>
        <w:t>enim</w:t>
      </w:r>
      <w:proofErr w:type="spellEnd"/>
      <w:r w:rsidRPr="00F11B0C">
        <w:rPr>
          <w:color w:val="000000"/>
          <w:lang w:val="en-US"/>
        </w:rPr>
        <w:t xml:space="preserve"> utile nobis </w:t>
      </w:r>
      <w:proofErr w:type="spellStart"/>
      <w:r w:rsidRPr="00F11B0C">
        <w:rPr>
          <w:color w:val="000000"/>
          <w:lang w:val="en-US"/>
        </w:rPr>
        <w:t>est</w:t>
      </w:r>
      <w:proofErr w:type="spellEnd"/>
      <w:r w:rsidRPr="00F11B0C">
        <w:rPr>
          <w:color w:val="000000"/>
          <w:lang w:val="en-US"/>
        </w:rPr>
        <w:t xml:space="preserve"> hoc speculum, </w:t>
      </w:r>
      <w:proofErr w:type="spellStart"/>
      <w:r w:rsidRPr="00F11B0C">
        <w:rPr>
          <w:color w:val="000000"/>
          <w:lang w:val="en-US"/>
        </w:rPr>
        <w:t>facilemque</w:t>
      </w:r>
      <w:proofErr w:type="spellEnd"/>
      <w:r w:rsidRPr="00F11B0C">
        <w:rPr>
          <w:color w:val="000000"/>
          <w:lang w:val="en-US"/>
        </w:rPr>
        <w:t xml:space="preserve"> nobis reddit </w:t>
      </w:r>
      <w:proofErr w:type="spellStart"/>
      <w:r w:rsidRPr="00F11B0C">
        <w:rPr>
          <w:color w:val="000000"/>
          <w:lang w:val="en-US"/>
        </w:rPr>
        <w:t>hanc</w:t>
      </w:r>
      <w:proofErr w:type="spellEnd"/>
      <w:r w:rsidRPr="00F11B0C">
        <w:rPr>
          <w:color w:val="000000"/>
          <w:lang w:val="en-US"/>
        </w:rPr>
        <w:t xml:space="preserve"> </w:t>
      </w:r>
      <w:proofErr w:type="spellStart"/>
      <w:r w:rsidRPr="00F11B0C">
        <w:rPr>
          <w:color w:val="000000"/>
          <w:lang w:val="en-US"/>
        </w:rPr>
        <w:t>mutationem</w:t>
      </w:r>
      <w:proofErr w:type="spellEnd"/>
      <w:r w:rsidRPr="00F11B0C">
        <w:rPr>
          <w:color w:val="000000"/>
          <w:lang w:val="en-US"/>
        </w:rPr>
        <w:t>.” John Chrysostom (Saint), “</w:t>
      </w:r>
      <w:proofErr w:type="spellStart"/>
      <w:r w:rsidRPr="00F11B0C">
        <w:rPr>
          <w:color w:val="000000"/>
          <w:lang w:val="en-US"/>
        </w:rPr>
        <w:t>Homilia</w:t>
      </w:r>
      <w:proofErr w:type="spellEnd"/>
      <w:r w:rsidRPr="00F11B0C">
        <w:rPr>
          <w:color w:val="000000"/>
          <w:lang w:val="en-US"/>
        </w:rPr>
        <w:t xml:space="preserve"> IV.8,” 49; </w:t>
      </w:r>
      <w:r>
        <w:rPr>
          <w:color w:val="000000"/>
          <w:lang w:val="en-US"/>
        </w:rPr>
        <w:t xml:space="preserve">English translation from </w:t>
      </w:r>
      <w:r w:rsidRPr="00F11B0C">
        <w:rPr>
          <w:color w:val="000000"/>
          <w:lang w:val="en-US"/>
        </w:rPr>
        <w:t xml:space="preserve">John Chrysostom (Saint), </w:t>
      </w:r>
      <w:r w:rsidRPr="00F11B0C">
        <w:rPr>
          <w:i/>
          <w:iCs/>
          <w:color w:val="000000"/>
          <w:lang w:val="en-US"/>
        </w:rPr>
        <w:t>The Homilies of St. John Chrysostom, Archbishop of Constantinople, On the Gospel of St. Matthew</w:t>
      </w:r>
      <w:r w:rsidRPr="00F11B0C">
        <w:rPr>
          <w:color w:val="000000"/>
          <w:lang w:val="en-US"/>
        </w:rPr>
        <w:t>, 58, (</w:t>
      </w:r>
      <w:r w:rsidRPr="00F11B0C">
        <w:rPr>
          <w:i/>
          <w:iCs/>
          <w:color w:val="000000"/>
          <w:lang w:val="en-US"/>
        </w:rPr>
        <w:t>Homily IV</w:t>
      </w:r>
      <w:r w:rsidRPr="00F11B0C">
        <w:rPr>
          <w:color w:val="000000"/>
          <w:lang w:val="en-US"/>
        </w:rPr>
        <w:t>)</w:t>
      </w:r>
      <w:r>
        <w:rPr>
          <w:color w:val="000000"/>
          <w:lang w:val="en-US"/>
        </w:rPr>
        <w:t>. S</w:t>
      </w:r>
      <w:r w:rsidRPr="00F11B0C">
        <w:rPr>
          <w:color w:val="000000"/>
          <w:lang w:val="en-US"/>
        </w:rPr>
        <w:t xml:space="preserve">ee also </w:t>
      </w:r>
      <w:proofErr w:type="spellStart"/>
      <w:r w:rsidRPr="00F11B0C">
        <w:rPr>
          <w:color w:val="000000"/>
          <w:lang w:val="en-US"/>
        </w:rPr>
        <w:t>Shuger</w:t>
      </w:r>
      <w:proofErr w:type="spellEnd"/>
      <w:r w:rsidRPr="00F11B0C">
        <w:rPr>
          <w:color w:val="000000"/>
          <w:lang w:val="en-US"/>
        </w:rPr>
        <w:t>, “The ‘I’ of the Beholder. Renaissance Mirrors and the Reflexive Mind,” 30.</w:t>
      </w:r>
    </w:p>
  </w:footnote>
  <w:footnote w:id="524">
    <w:p w14:paraId="4437B2F2" w14:textId="77777777" w:rsidR="00182EED" w:rsidRDefault="00182EED" w:rsidP="00094F64">
      <w:pPr>
        <w:pStyle w:val="FootnoteText"/>
      </w:pPr>
      <w:r w:rsidRPr="00591949">
        <w:rPr>
          <w:rStyle w:val="FootnoteReference"/>
        </w:rPr>
        <w:footnoteRef/>
      </w:r>
      <w:r>
        <w:t xml:space="preserve"> </w:t>
      </w:r>
      <w:r w:rsidRPr="004A39F9">
        <w:rPr>
          <w:color w:val="000000"/>
          <w:lang w:val="en-US"/>
        </w:rPr>
        <w:t>“</w:t>
      </w:r>
      <w:proofErr w:type="spellStart"/>
      <w:r w:rsidRPr="004A39F9">
        <w:rPr>
          <w:color w:val="000000"/>
          <w:lang w:val="en-US"/>
        </w:rPr>
        <w:t>Dinanzi</w:t>
      </w:r>
      <w:proofErr w:type="spellEnd"/>
      <w:r w:rsidRPr="004A39F9">
        <w:rPr>
          <w:color w:val="000000"/>
          <w:lang w:val="en-US"/>
        </w:rPr>
        <w:t xml:space="preserve"> </w:t>
      </w:r>
      <w:proofErr w:type="spellStart"/>
      <w:r w:rsidRPr="004A39F9">
        <w:rPr>
          <w:color w:val="000000"/>
          <w:lang w:val="en-US"/>
        </w:rPr>
        <w:t>alla</w:t>
      </w:r>
      <w:proofErr w:type="spellEnd"/>
      <w:r w:rsidRPr="004A39F9">
        <w:rPr>
          <w:color w:val="000000"/>
          <w:lang w:val="en-US"/>
        </w:rPr>
        <w:t xml:space="preserve"> </w:t>
      </w:r>
      <w:proofErr w:type="spellStart"/>
      <w:r w:rsidRPr="004A39F9">
        <w:rPr>
          <w:color w:val="000000"/>
          <w:lang w:val="en-US"/>
        </w:rPr>
        <w:t>figura</w:t>
      </w:r>
      <w:proofErr w:type="spellEnd"/>
      <w:r w:rsidRPr="004A39F9">
        <w:rPr>
          <w:color w:val="000000"/>
          <w:lang w:val="en-US"/>
        </w:rPr>
        <w:t xml:space="preserve"> del </w:t>
      </w:r>
      <w:proofErr w:type="spellStart"/>
      <w:r w:rsidRPr="004A39F9">
        <w:rPr>
          <w:color w:val="000000"/>
          <w:lang w:val="en-US"/>
        </w:rPr>
        <w:t>crocifisso</w:t>
      </w:r>
      <w:proofErr w:type="spellEnd"/>
      <w:r w:rsidRPr="004A39F9">
        <w:rPr>
          <w:color w:val="000000"/>
          <w:lang w:val="en-US"/>
        </w:rPr>
        <w:t xml:space="preserve"> </w:t>
      </w:r>
      <w:proofErr w:type="spellStart"/>
      <w:r w:rsidRPr="004A39F9">
        <w:rPr>
          <w:color w:val="000000"/>
          <w:lang w:val="en-US"/>
        </w:rPr>
        <w:t>Figliuolo</w:t>
      </w:r>
      <w:proofErr w:type="spellEnd"/>
      <w:r w:rsidRPr="004A39F9">
        <w:rPr>
          <w:color w:val="000000"/>
          <w:lang w:val="en-US"/>
        </w:rPr>
        <w:t xml:space="preserve"> di </w:t>
      </w:r>
      <w:proofErr w:type="spellStart"/>
      <w:r w:rsidRPr="004A39F9">
        <w:rPr>
          <w:color w:val="000000"/>
          <w:lang w:val="en-US"/>
        </w:rPr>
        <w:t>Dio</w:t>
      </w:r>
      <w:proofErr w:type="spellEnd"/>
      <w:r w:rsidRPr="004A39F9">
        <w:rPr>
          <w:color w:val="000000"/>
          <w:lang w:val="en-US"/>
        </w:rPr>
        <w:t xml:space="preserve"> … </w:t>
      </w:r>
      <w:proofErr w:type="spellStart"/>
      <w:r w:rsidRPr="004A39F9">
        <w:rPr>
          <w:color w:val="000000"/>
          <w:lang w:val="en-US"/>
        </w:rPr>
        <w:t>incominciai</w:t>
      </w:r>
      <w:proofErr w:type="spellEnd"/>
      <w:r w:rsidRPr="004A39F9">
        <w:rPr>
          <w:color w:val="000000"/>
          <w:lang w:val="en-US"/>
        </w:rPr>
        <w:t xml:space="preserve"> prima </w:t>
      </w:r>
      <w:r w:rsidRPr="004A39F9">
        <w:rPr>
          <w:color w:val="000000"/>
          <w:lang w:val="en-US"/>
        </w:rPr>
        <w:t xml:space="preserve">a </w:t>
      </w:r>
      <w:proofErr w:type="spellStart"/>
      <w:r w:rsidRPr="004A39F9">
        <w:rPr>
          <w:color w:val="000000"/>
          <w:lang w:val="en-US"/>
        </w:rPr>
        <w:t>immaginare</w:t>
      </w:r>
      <w:proofErr w:type="spellEnd"/>
      <w:r w:rsidRPr="004A39F9">
        <w:rPr>
          <w:color w:val="000000"/>
          <w:lang w:val="en-US"/>
        </w:rPr>
        <w:t xml:space="preserve"> e </w:t>
      </w:r>
      <w:proofErr w:type="spellStart"/>
      <w:r w:rsidRPr="004A39F9">
        <w:rPr>
          <w:color w:val="000000"/>
          <w:lang w:val="en-US"/>
        </w:rPr>
        <w:t>ragguardare</w:t>
      </w:r>
      <w:proofErr w:type="spellEnd"/>
      <w:r w:rsidRPr="004A39F9">
        <w:rPr>
          <w:color w:val="000000"/>
          <w:lang w:val="en-US"/>
        </w:rPr>
        <w:t xml:space="preserve"> vi me </w:t>
      </w:r>
      <w:proofErr w:type="spellStart"/>
      <w:r w:rsidRPr="004A39F9">
        <w:rPr>
          <w:color w:val="000000"/>
          <w:lang w:val="en-US"/>
        </w:rPr>
        <w:t>i</w:t>
      </w:r>
      <w:proofErr w:type="spellEnd"/>
      <w:r w:rsidRPr="004A39F9">
        <w:rPr>
          <w:color w:val="000000"/>
          <w:lang w:val="en-US"/>
        </w:rPr>
        <w:t xml:space="preserve"> </w:t>
      </w:r>
      <w:proofErr w:type="spellStart"/>
      <w:r w:rsidRPr="004A39F9">
        <w:rPr>
          <w:color w:val="000000"/>
          <w:lang w:val="en-US"/>
        </w:rPr>
        <w:t>miei</w:t>
      </w:r>
      <w:proofErr w:type="spellEnd"/>
      <w:r w:rsidRPr="004A39F9">
        <w:rPr>
          <w:color w:val="000000"/>
          <w:lang w:val="en-US"/>
        </w:rPr>
        <w:t xml:space="preserve"> </w:t>
      </w:r>
      <w:proofErr w:type="spellStart"/>
      <w:r w:rsidRPr="004A39F9">
        <w:rPr>
          <w:color w:val="000000"/>
          <w:lang w:val="en-US"/>
        </w:rPr>
        <w:t>peccati</w:t>
      </w:r>
      <w:proofErr w:type="spellEnd"/>
      <w:r w:rsidRPr="004A39F9">
        <w:rPr>
          <w:color w:val="000000"/>
          <w:lang w:val="en-US"/>
        </w:rPr>
        <w:t>.” Cooper, “Devotion,” 177.</w:t>
      </w:r>
    </w:p>
  </w:footnote>
  <w:footnote w:id="525">
    <w:p w14:paraId="27D8D850" w14:textId="77777777" w:rsidR="00182EED" w:rsidRDefault="00182EED" w:rsidP="00094F64">
      <w:pPr>
        <w:pStyle w:val="FootnoteText"/>
      </w:pPr>
      <w:r w:rsidRPr="00591949">
        <w:rPr>
          <w:rStyle w:val="FootnoteReference"/>
        </w:rPr>
        <w:footnoteRef/>
      </w:r>
      <w:r>
        <w:t xml:space="preserve"> </w:t>
      </w:r>
      <w:r w:rsidRPr="00F11B0C">
        <w:rPr>
          <w:color w:val="000000"/>
          <w:lang w:val="en-US"/>
        </w:rPr>
        <w:t>“</w:t>
      </w:r>
      <w:proofErr w:type="spellStart"/>
      <w:r w:rsidRPr="00F11B0C">
        <w:rPr>
          <w:color w:val="000000"/>
          <w:lang w:val="en-US"/>
        </w:rPr>
        <w:t>Scorgonsi</w:t>
      </w:r>
      <w:proofErr w:type="spellEnd"/>
      <w:r w:rsidRPr="00F11B0C">
        <w:rPr>
          <w:color w:val="000000"/>
          <w:lang w:val="en-US"/>
        </w:rPr>
        <w:t xml:space="preserve"> </w:t>
      </w:r>
      <w:proofErr w:type="spellStart"/>
      <w:r w:rsidRPr="00F11B0C">
        <w:rPr>
          <w:color w:val="000000"/>
          <w:lang w:val="en-US"/>
        </w:rPr>
        <w:t>i</w:t>
      </w:r>
      <w:proofErr w:type="spellEnd"/>
      <w:r w:rsidRPr="00F11B0C">
        <w:rPr>
          <w:color w:val="000000"/>
          <w:lang w:val="en-US"/>
        </w:rPr>
        <w:t xml:space="preserve"> </w:t>
      </w:r>
      <w:proofErr w:type="spellStart"/>
      <w:r w:rsidRPr="00F11B0C">
        <w:rPr>
          <w:color w:val="000000"/>
          <w:lang w:val="en-US"/>
        </w:rPr>
        <w:t>suoi</w:t>
      </w:r>
      <w:proofErr w:type="spellEnd"/>
      <w:r w:rsidRPr="00F11B0C">
        <w:rPr>
          <w:color w:val="000000"/>
          <w:lang w:val="en-US"/>
        </w:rPr>
        <w:t xml:space="preserve"> </w:t>
      </w:r>
      <w:proofErr w:type="spellStart"/>
      <w:r w:rsidRPr="00F11B0C">
        <w:rPr>
          <w:color w:val="000000"/>
          <w:lang w:val="en-US"/>
        </w:rPr>
        <w:t>difetti</w:t>
      </w:r>
      <w:proofErr w:type="spellEnd"/>
      <w:r w:rsidRPr="00F11B0C">
        <w:rPr>
          <w:color w:val="000000"/>
          <w:lang w:val="en-US"/>
        </w:rPr>
        <w:t xml:space="preserve"> in lo </w:t>
      </w:r>
      <w:proofErr w:type="spellStart"/>
      <w:r w:rsidRPr="00F11B0C">
        <w:rPr>
          <w:color w:val="000000"/>
          <w:lang w:val="en-US"/>
        </w:rPr>
        <w:t>specchiarsi</w:t>
      </w:r>
      <w:proofErr w:type="spellEnd"/>
      <w:r w:rsidRPr="00F11B0C">
        <w:rPr>
          <w:color w:val="000000"/>
          <w:lang w:val="en-US"/>
        </w:rPr>
        <w:t xml:space="preserve">, non </w:t>
      </w:r>
      <w:proofErr w:type="spellStart"/>
      <w:r w:rsidRPr="00F11B0C">
        <w:rPr>
          <w:color w:val="000000"/>
          <w:lang w:val="en-US"/>
        </w:rPr>
        <w:t>facili</w:t>
      </w:r>
      <w:proofErr w:type="spellEnd"/>
      <w:r w:rsidRPr="00F11B0C">
        <w:rPr>
          <w:color w:val="000000"/>
          <w:lang w:val="en-US"/>
        </w:rPr>
        <w:t xml:space="preserve"> a </w:t>
      </w:r>
      <w:proofErr w:type="spellStart"/>
      <w:r w:rsidRPr="00F11B0C">
        <w:rPr>
          <w:color w:val="000000"/>
          <w:lang w:val="en-US"/>
        </w:rPr>
        <w:t>veder</w:t>
      </w:r>
      <w:proofErr w:type="spellEnd"/>
      <w:r w:rsidRPr="00F11B0C">
        <w:rPr>
          <w:color w:val="000000"/>
          <w:lang w:val="en-US"/>
        </w:rPr>
        <w:t xml:space="preserve"> come </w:t>
      </w:r>
      <w:proofErr w:type="spellStart"/>
      <w:r w:rsidRPr="00F11B0C">
        <w:rPr>
          <w:color w:val="000000"/>
          <w:lang w:val="en-US"/>
        </w:rPr>
        <w:t>gli</w:t>
      </w:r>
      <w:proofErr w:type="spellEnd"/>
      <w:r w:rsidRPr="00F11B0C">
        <w:rPr>
          <w:color w:val="000000"/>
          <w:lang w:val="en-US"/>
        </w:rPr>
        <w:t xml:space="preserve"> </w:t>
      </w:r>
      <w:proofErr w:type="spellStart"/>
      <w:r w:rsidRPr="00F11B0C">
        <w:rPr>
          <w:color w:val="000000"/>
          <w:lang w:val="en-US"/>
        </w:rPr>
        <w:t>altrui</w:t>
      </w:r>
      <w:proofErr w:type="spellEnd"/>
      <w:r w:rsidRPr="00F11B0C">
        <w:rPr>
          <w:color w:val="000000"/>
          <w:lang w:val="en-US"/>
        </w:rPr>
        <w:t xml:space="preserve">; </w:t>
      </w:r>
      <w:proofErr w:type="spellStart"/>
      <w:r w:rsidRPr="00F11B0C">
        <w:rPr>
          <w:color w:val="000000"/>
          <w:lang w:val="en-US"/>
        </w:rPr>
        <w:t>onde</w:t>
      </w:r>
      <w:proofErr w:type="spellEnd"/>
      <w:r w:rsidRPr="00F11B0C">
        <w:rPr>
          <w:color w:val="000000"/>
          <w:lang w:val="en-US"/>
        </w:rPr>
        <w:t xml:space="preserve"> </w:t>
      </w:r>
      <w:proofErr w:type="spellStart"/>
      <w:r w:rsidRPr="00F11B0C">
        <w:rPr>
          <w:color w:val="000000"/>
          <w:lang w:val="en-US"/>
        </w:rPr>
        <w:t>può</w:t>
      </w:r>
      <w:proofErr w:type="spellEnd"/>
      <w:r w:rsidRPr="00F11B0C">
        <w:rPr>
          <w:color w:val="000000"/>
          <w:lang w:val="en-US"/>
        </w:rPr>
        <w:t xml:space="preserve"> </w:t>
      </w:r>
      <w:proofErr w:type="spellStart"/>
      <w:r w:rsidRPr="00F11B0C">
        <w:rPr>
          <w:color w:val="000000"/>
          <w:lang w:val="en-US"/>
        </w:rPr>
        <w:t>l’uom</w:t>
      </w:r>
      <w:proofErr w:type="spellEnd"/>
      <w:r w:rsidRPr="00F11B0C">
        <w:rPr>
          <w:color w:val="000000"/>
          <w:lang w:val="en-US"/>
        </w:rPr>
        <w:t xml:space="preserve"> da </w:t>
      </w:r>
      <w:proofErr w:type="spellStart"/>
      <w:r w:rsidRPr="00F11B0C">
        <w:rPr>
          <w:color w:val="000000"/>
          <w:lang w:val="en-US"/>
        </w:rPr>
        <w:t>sé</w:t>
      </w:r>
      <w:proofErr w:type="spellEnd"/>
      <w:r w:rsidRPr="00F11B0C">
        <w:rPr>
          <w:color w:val="000000"/>
          <w:lang w:val="en-US"/>
        </w:rPr>
        <w:t xml:space="preserve"> ben </w:t>
      </w:r>
      <w:proofErr w:type="spellStart"/>
      <w:r w:rsidRPr="00F11B0C">
        <w:rPr>
          <w:color w:val="000000"/>
          <w:lang w:val="en-US"/>
        </w:rPr>
        <w:t>misurarsi</w:t>
      </w:r>
      <w:proofErr w:type="spellEnd"/>
      <w:r w:rsidRPr="00F11B0C">
        <w:rPr>
          <w:color w:val="000000"/>
          <w:lang w:val="en-US"/>
        </w:rPr>
        <w:t xml:space="preserve"> e </w:t>
      </w:r>
      <w:proofErr w:type="spellStart"/>
      <w:r w:rsidRPr="00F11B0C">
        <w:rPr>
          <w:color w:val="000000"/>
          <w:lang w:val="en-US"/>
        </w:rPr>
        <w:t>dir</w:t>
      </w:r>
      <w:proofErr w:type="spellEnd"/>
      <w:r w:rsidRPr="00F11B0C">
        <w:rPr>
          <w:color w:val="000000"/>
          <w:lang w:val="en-US"/>
        </w:rPr>
        <w:t xml:space="preserve"> ‘</w:t>
      </w:r>
      <w:proofErr w:type="spellStart"/>
      <w:r w:rsidRPr="00F11B0C">
        <w:rPr>
          <w:color w:val="000000"/>
          <w:lang w:val="en-US"/>
        </w:rPr>
        <w:t>miglior</w:t>
      </w:r>
      <w:proofErr w:type="spellEnd"/>
      <w:r w:rsidRPr="00F11B0C">
        <w:rPr>
          <w:color w:val="000000"/>
          <w:lang w:val="en-US"/>
        </w:rPr>
        <w:t xml:space="preserve"> </w:t>
      </w:r>
      <w:proofErr w:type="spellStart"/>
      <w:r w:rsidRPr="00F11B0C">
        <w:rPr>
          <w:color w:val="000000"/>
          <w:lang w:val="en-US"/>
        </w:rPr>
        <w:t>sarò</w:t>
      </w:r>
      <w:proofErr w:type="spellEnd"/>
      <w:r w:rsidRPr="00F11B0C">
        <w:rPr>
          <w:color w:val="000000"/>
          <w:lang w:val="en-US"/>
        </w:rPr>
        <w:t xml:space="preserve"> da quell </w:t>
      </w:r>
      <w:proofErr w:type="spellStart"/>
      <w:r w:rsidRPr="00F11B0C">
        <w:rPr>
          <w:color w:val="000000"/>
          <w:lang w:val="en-US"/>
        </w:rPr>
        <w:t>ch’io</w:t>
      </w:r>
      <w:proofErr w:type="spellEnd"/>
      <w:r w:rsidRPr="00F11B0C">
        <w:rPr>
          <w:color w:val="000000"/>
          <w:lang w:val="en-US"/>
        </w:rPr>
        <w:t xml:space="preserve"> </w:t>
      </w:r>
      <w:proofErr w:type="spellStart"/>
      <w:r w:rsidRPr="00F11B0C">
        <w:rPr>
          <w:color w:val="000000"/>
          <w:lang w:val="en-US"/>
        </w:rPr>
        <w:t>fui</w:t>
      </w:r>
      <w:proofErr w:type="spellEnd"/>
      <w:r w:rsidRPr="00F11B0C">
        <w:rPr>
          <w:color w:val="000000"/>
          <w:lang w:val="en-US"/>
        </w:rPr>
        <w:t xml:space="preserve">.’” Singleton, </w:t>
      </w:r>
      <w:proofErr w:type="spellStart"/>
      <w:r w:rsidRPr="00F11B0C">
        <w:rPr>
          <w:i/>
          <w:iCs/>
          <w:color w:val="000000"/>
          <w:lang w:val="en-US"/>
        </w:rPr>
        <w:t>Canti</w:t>
      </w:r>
      <w:proofErr w:type="spellEnd"/>
      <w:r w:rsidRPr="00F11B0C">
        <w:rPr>
          <w:i/>
          <w:iCs/>
          <w:color w:val="000000"/>
          <w:lang w:val="en-US"/>
        </w:rPr>
        <w:t xml:space="preserve"> </w:t>
      </w:r>
      <w:proofErr w:type="spellStart"/>
      <w:r w:rsidRPr="00F11B0C">
        <w:rPr>
          <w:i/>
          <w:iCs/>
          <w:color w:val="000000"/>
          <w:lang w:val="en-US"/>
        </w:rPr>
        <w:t>carnascialeschi</w:t>
      </w:r>
      <w:proofErr w:type="spellEnd"/>
      <w:r w:rsidRPr="00F11B0C">
        <w:rPr>
          <w:i/>
          <w:iCs/>
          <w:color w:val="000000"/>
          <w:lang w:val="en-US"/>
        </w:rPr>
        <w:t xml:space="preserve"> del </w:t>
      </w:r>
      <w:proofErr w:type="spellStart"/>
      <w:r w:rsidRPr="00F11B0C">
        <w:rPr>
          <w:i/>
          <w:iCs/>
          <w:color w:val="000000"/>
          <w:lang w:val="en-US"/>
        </w:rPr>
        <w:t>Rinascimento</w:t>
      </w:r>
      <w:proofErr w:type="spellEnd"/>
      <w:r w:rsidRPr="00F11B0C">
        <w:rPr>
          <w:color w:val="000000"/>
          <w:lang w:val="en-US"/>
        </w:rPr>
        <w:t>, 352 (</w:t>
      </w:r>
      <w:proofErr w:type="spellStart"/>
      <w:r w:rsidRPr="00F11B0C">
        <w:rPr>
          <w:color w:val="000000"/>
          <w:lang w:val="en-US"/>
        </w:rPr>
        <w:t>Giambattista</w:t>
      </w:r>
      <w:proofErr w:type="spellEnd"/>
      <w:r w:rsidRPr="00F11B0C">
        <w:rPr>
          <w:color w:val="000000"/>
          <w:lang w:val="en-US"/>
        </w:rPr>
        <w:t xml:space="preserve"> </w:t>
      </w:r>
      <w:proofErr w:type="spellStart"/>
      <w:r w:rsidRPr="00F11B0C">
        <w:rPr>
          <w:color w:val="000000"/>
          <w:lang w:val="en-US"/>
        </w:rPr>
        <w:t>Gelli</w:t>
      </w:r>
      <w:proofErr w:type="spellEnd"/>
      <w:r w:rsidRPr="00F11B0C">
        <w:rPr>
          <w:color w:val="000000"/>
          <w:lang w:val="en-US"/>
        </w:rPr>
        <w:t xml:space="preserve">, </w:t>
      </w:r>
      <w:proofErr w:type="spellStart"/>
      <w:r w:rsidRPr="00F11B0C">
        <w:rPr>
          <w:i/>
          <w:iCs/>
          <w:color w:val="000000"/>
          <w:lang w:val="en-US"/>
        </w:rPr>
        <w:t>Canzona</w:t>
      </w:r>
      <w:proofErr w:type="spellEnd"/>
      <w:r w:rsidRPr="00F11B0C">
        <w:rPr>
          <w:i/>
          <w:iCs/>
          <w:color w:val="000000"/>
          <w:lang w:val="en-US"/>
        </w:rPr>
        <w:t xml:space="preserve"> de' </w:t>
      </w:r>
      <w:proofErr w:type="spellStart"/>
      <w:r w:rsidRPr="00F11B0C">
        <w:rPr>
          <w:i/>
          <w:iCs/>
          <w:color w:val="000000"/>
          <w:lang w:val="en-US"/>
        </w:rPr>
        <w:t>maestri</w:t>
      </w:r>
      <w:proofErr w:type="spellEnd"/>
      <w:r w:rsidRPr="00F11B0C">
        <w:rPr>
          <w:i/>
          <w:iCs/>
          <w:color w:val="000000"/>
          <w:lang w:val="en-US"/>
        </w:rPr>
        <w:t xml:space="preserve"> di far </w:t>
      </w:r>
      <w:proofErr w:type="spellStart"/>
      <w:r w:rsidRPr="00F11B0C">
        <w:rPr>
          <w:i/>
          <w:iCs/>
          <w:color w:val="000000"/>
          <w:lang w:val="en-US"/>
        </w:rPr>
        <w:t>specchi</w:t>
      </w:r>
      <w:proofErr w:type="spellEnd"/>
      <w:r w:rsidRPr="00F11B0C">
        <w:rPr>
          <w:color w:val="000000"/>
          <w:lang w:val="en-US"/>
        </w:rPr>
        <w:t xml:space="preserve">); English translation from Thornton, </w:t>
      </w:r>
      <w:r w:rsidRPr="00F11B0C">
        <w:rPr>
          <w:i/>
          <w:iCs/>
          <w:color w:val="000000"/>
          <w:lang w:val="en-US"/>
        </w:rPr>
        <w:t>The Scholar in His Study</w:t>
      </w:r>
      <w:r w:rsidRPr="00F11B0C">
        <w:rPr>
          <w:color w:val="000000"/>
          <w:lang w:val="en-US"/>
        </w:rPr>
        <w:t xml:space="preserve">, 174; see also Burke, </w:t>
      </w:r>
      <w:r w:rsidRPr="00F11B0C">
        <w:rPr>
          <w:i/>
          <w:iCs/>
          <w:color w:val="000000"/>
          <w:lang w:val="en-US"/>
        </w:rPr>
        <w:t>The Italian Renaissance: Culture and Society in Italy</w:t>
      </w:r>
      <w:r w:rsidRPr="00F11B0C">
        <w:rPr>
          <w:color w:val="000000"/>
          <w:lang w:val="en-US"/>
        </w:rPr>
        <w:t>, 196.</w:t>
      </w:r>
    </w:p>
  </w:footnote>
  <w:footnote w:id="526">
    <w:p w14:paraId="44EF4C34" w14:textId="77777777" w:rsidR="00182EED" w:rsidRDefault="00182EED" w:rsidP="00094F64">
      <w:pPr>
        <w:pStyle w:val="FootnoteText"/>
      </w:pPr>
      <w:r w:rsidRPr="00591949">
        <w:rPr>
          <w:rStyle w:val="FootnoteReference"/>
        </w:rPr>
        <w:footnoteRef/>
      </w:r>
      <w:r>
        <w:t xml:space="preserve"> </w:t>
      </w:r>
      <w:r w:rsidRPr="004A39F9">
        <w:rPr>
          <w:color w:val="000000"/>
          <w:lang w:val="en-US"/>
        </w:rPr>
        <w:t xml:space="preserve">On the presence of mirrors in the study, see Thornton, </w:t>
      </w:r>
      <w:r w:rsidRPr="004A39F9">
        <w:rPr>
          <w:i/>
          <w:iCs/>
          <w:color w:val="000000"/>
          <w:lang w:val="en-US"/>
        </w:rPr>
        <w:t>The Scholar in His Study</w:t>
      </w:r>
      <w:r w:rsidRPr="004A39F9">
        <w:rPr>
          <w:color w:val="000000"/>
          <w:lang w:val="en-US"/>
        </w:rPr>
        <w:t>, 167–74.</w:t>
      </w:r>
    </w:p>
  </w:footnote>
  <w:footnote w:id="527">
    <w:p w14:paraId="2B4B4A3F" w14:textId="77777777" w:rsidR="00182EED" w:rsidRDefault="00182EED" w:rsidP="00094F64">
      <w:pPr>
        <w:pStyle w:val="FootnoteText"/>
      </w:pPr>
      <w:r w:rsidRPr="00591949">
        <w:rPr>
          <w:rStyle w:val="FootnoteReference"/>
        </w:rPr>
        <w:footnoteRef/>
      </w:r>
      <w:r>
        <w:t xml:space="preserve"> </w:t>
      </w:r>
      <w:r w:rsidRPr="004A39F9">
        <w:rPr>
          <w:color w:val="000000"/>
          <w:lang w:val="en-US"/>
        </w:rPr>
        <w:t>Deborah Howard, “</w:t>
      </w:r>
      <w:proofErr w:type="spellStart"/>
      <w:r w:rsidRPr="004A39F9">
        <w:rPr>
          <w:color w:val="000000"/>
          <w:lang w:val="en-US"/>
        </w:rPr>
        <w:t>Devozione</w:t>
      </w:r>
      <w:proofErr w:type="spellEnd"/>
      <w:r w:rsidRPr="004A39F9">
        <w:rPr>
          <w:color w:val="000000"/>
          <w:lang w:val="en-US"/>
        </w:rPr>
        <w:t xml:space="preserve"> in Villa: </w:t>
      </w:r>
      <w:proofErr w:type="spellStart"/>
      <w:r w:rsidRPr="004A39F9">
        <w:rPr>
          <w:color w:val="000000"/>
          <w:lang w:val="en-US"/>
        </w:rPr>
        <w:t>alcune</w:t>
      </w:r>
      <w:proofErr w:type="spellEnd"/>
      <w:r w:rsidRPr="004A39F9">
        <w:rPr>
          <w:color w:val="000000"/>
          <w:lang w:val="en-US"/>
        </w:rPr>
        <w:t xml:space="preserve"> </w:t>
      </w:r>
      <w:proofErr w:type="spellStart"/>
      <w:r w:rsidRPr="004A39F9">
        <w:rPr>
          <w:color w:val="000000"/>
          <w:lang w:val="en-US"/>
        </w:rPr>
        <w:t>osservazioni</w:t>
      </w:r>
      <w:proofErr w:type="spellEnd"/>
      <w:r w:rsidRPr="004A39F9">
        <w:rPr>
          <w:color w:val="000000"/>
          <w:lang w:val="en-US"/>
        </w:rPr>
        <w:t xml:space="preserve"> </w:t>
      </w:r>
      <w:proofErr w:type="spellStart"/>
      <w:r w:rsidRPr="004A39F9">
        <w:rPr>
          <w:color w:val="000000"/>
          <w:lang w:val="en-US"/>
        </w:rPr>
        <w:t>sulla</w:t>
      </w:r>
      <w:proofErr w:type="spellEnd"/>
      <w:r w:rsidRPr="004A39F9">
        <w:rPr>
          <w:color w:val="000000"/>
          <w:lang w:val="en-US"/>
        </w:rPr>
        <w:t xml:space="preserve"> vita </w:t>
      </w:r>
      <w:proofErr w:type="spellStart"/>
      <w:r w:rsidRPr="004A39F9">
        <w:rPr>
          <w:color w:val="000000"/>
          <w:lang w:val="en-US"/>
        </w:rPr>
        <w:t>spiritual</w:t>
      </w:r>
      <w:r>
        <w:rPr>
          <w:color w:val="000000"/>
          <w:lang w:val="en-US"/>
        </w:rPr>
        <w:t>e</w:t>
      </w:r>
      <w:proofErr w:type="spellEnd"/>
      <w:r w:rsidRPr="004A39F9">
        <w:rPr>
          <w:color w:val="000000"/>
          <w:lang w:val="en-US"/>
        </w:rPr>
        <w:t xml:space="preserve"> </w:t>
      </w:r>
      <w:proofErr w:type="spellStart"/>
      <w:r w:rsidRPr="004A39F9">
        <w:rPr>
          <w:color w:val="000000"/>
          <w:lang w:val="en-US"/>
        </w:rPr>
        <w:t>dei</w:t>
      </w:r>
      <w:proofErr w:type="spellEnd"/>
      <w:r w:rsidRPr="004A39F9">
        <w:rPr>
          <w:color w:val="000000"/>
          <w:lang w:val="en-US"/>
        </w:rPr>
        <w:t xml:space="preserve"> </w:t>
      </w:r>
      <w:proofErr w:type="spellStart"/>
      <w:r w:rsidRPr="004A39F9">
        <w:rPr>
          <w:color w:val="000000"/>
          <w:lang w:val="en-US"/>
        </w:rPr>
        <w:t>veneziani</w:t>
      </w:r>
      <w:proofErr w:type="spellEnd"/>
      <w:r w:rsidRPr="004A39F9">
        <w:rPr>
          <w:color w:val="000000"/>
          <w:lang w:val="en-US"/>
        </w:rPr>
        <w:t xml:space="preserve"> in </w:t>
      </w:r>
      <w:proofErr w:type="spellStart"/>
      <w:r w:rsidRPr="004A39F9">
        <w:rPr>
          <w:color w:val="000000"/>
          <w:lang w:val="en-US"/>
        </w:rPr>
        <w:t>contest</w:t>
      </w:r>
      <w:r>
        <w:rPr>
          <w:color w:val="000000"/>
          <w:lang w:val="en-US"/>
        </w:rPr>
        <w:t>o</w:t>
      </w:r>
      <w:proofErr w:type="spellEnd"/>
      <w:r w:rsidRPr="004A39F9">
        <w:rPr>
          <w:color w:val="000000"/>
          <w:lang w:val="en-US"/>
        </w:rPr>
        <w:t xml:space="preserve"> </w:t>
      </w:r>
      <w:proofErr w:type="spellStart"/>
      <w:r w:rsidRPr="004A39F9">
        <w:rPr>
          <w:color w:val="000000"/>
          <w:lang w:val="en-US"/>
        </w:rPr>
        <w:t>rurale</w:t>
      </w:r>
      <w:proofErr w:type="spellEnd"/>
      <w:r w:rsidRPr="004A39F9">
        <w:rPr>
          <w:color w:val="000000"/>
          <w:lang w:val="en-US"/>
        </w:rPr>
        <w:t xml:space="preserve"> </w:t>
      </w:r>
      <w:proofErr w:type="spellStart"/>
      <w:r w:rsidRPr="004A39F9">
        <w:rPr>
          <w:color w:val="000000"/>
          <w:lang w:val="en-US"/>
        </w:rPr>
        <w:t>nel</w:t>
      </w:r>
      <w:proofErr w:type="spellEnd"/>
      <w:r w:rsidRPr="004A39F9">
        <w:rPr>
          <w:color w:val="000000"/>
          <w:lang w:val="en-US"/>
        </w:rPr>
        <w:t xml:space="preserve"> Cinquecento,” in </w:t>
      </w:r>
      <w:proofErr w:type="spellStart"/>
      <w:r w:rsidRPr="004A39F9">
        <w:rPr>
          <w:i/>
          <w:iCs/>
          <w:color w:val="000000"/>
          <w:lang w:val="en-US"/>
        </w:rPr>
        <w:t>Pregare</w:t>
      </w:r>
      <w:proofErr w:type="spellEnd"/>
      <w:r w:rsidRPr="004A39F9">
        <w:rPr>
          <w:i/>
          <w:iCs/>
          <w:color w:val="000000"/>
          <w:lang w:val="en-US"/>
        </w:rPr>
        <w:t xml:space="preserve"> in casa: </w:t>
      </w:r>
      <w:proofErr w:type="spellStart"/>
      <w:r w:rsidRPr="004A39F9">
        <w:rPr>
          <w:i/>
          <w:iCs/>
          <w:color w:val="000000"/>
          <w:lang w:val="en-US"/>
        </w:rPr>
        <w:t>oggetti</w:t>
      </w:r>
      <w:proofErr w:type="spellEnd"/>
      <w:r w:rsidRPr="004A39F9">
        <w:rPr>
          <w:i/>
          <w:iCs/>
          <w:color w:val="000000"/>
          <w:lang w:val="en-US"/>
        </w:rPr>
        <w:t xml:space="preserve"> e </w:t>
      </w:r>
      <w:proofErr w:type="spellStart"/>
      <w:r w:rsidRPr="004A39F9">
        <w:rPr>
          <w:i/>
          <w:iCs/>
          <w:color w:val="000000"/>
          <w:lang w:val="en-US"/>
        </w:rPr>
        <w:t>documenti</w:t>
      </w:r>
      <w:proofErr w:type="spellEnd"/>
      <w:r w:rsidRPr="004A39F9">
        <w:rPr>
          <w:i/>
          <w:iCs/>
          <w:color w:val="000000"/>
          <w:lang w:val="en-US"/>
        </w:rPr>
        <w:t xml:space="preserve"> </w:t>
      </w:r>
      <w:proofErr w:type="spellStart"/>
      <w:r w:rsidRPr="004A39F9">
        <w:rPr>
          <w:i/>
          <w:iCs/>
          <w:color w:val="000000"/>
          <w:lang w:val="en-US"/>
        </w:rPr>
        <w:t>della</w:t>
      </w:r>
      <w:proofErr w:type="spellEnd"/>
      <w:r w:rsidRPr="004A39F9">
        <w:rPr>
          <w:i/>
          <w:iCs/>
          <w:color w:val="000000"/>
          <w:lang w:val="en-US"/>
        </w:rPr>
        <w:t xml:space="preserve"> </w:t>
      </w:r>
      <w:proofErr w:type="spellStart"/>
      <w:r w:rsidRPr="004A39F9">
        <w:rPr>
          <w:i/>
          <w:iCs/>
          <w:color w:val="000000"/>
          <w:lang w:val="en-US"/>
        </w:rPr>
        <w:t>pratica</w:t>
      </w:r>
      <w:proofErr w:type="spellEnd"/>
      <w:r w:rsidRPr="004A39F9">
        <w:rPr>
          <w:i/>
          <w:iCs/>
          <w:color w:val="000000"/>
          <w:lang w:val="en-US"/>
        </w:rPr>
        <w:t xml:space="preserve"> religiosa </w:t>
      </w:r>
      <w:proofErr w:type="spellStart"/>
      <w:r w:rsidRPr="004A39F9">
        <w:rPr>
          <w:i/>
          <w:iCs/>
          <w:color w:val="000000"/>
          <w:lang w:val="en-US"/>
        </w:rPr>
        <w:t>tra</w:t>
      </w:r>
      <w:proofErr w:type="spellEnd"/>
      <w:r w:rsidRPr="004A39F9">
        <w:rPr>
          <w:i/>
          <w:iCs/>
          <w:color w:val="000000"/>
          <w:lang w:val="en-US"/>
        </w:rPr>
        <w:t xml:space="preserve"> </w:t>
      </w:r>
      <w:proofErr w:type="spellStart"/>
      <w:r w:rsidRPr="004A39F9">
        <w:rPr>
          <w:i/>
          <w:iCs/>
          <w:color w:val="000000"/>
          <w:lang w:val="en-US"/>
        </w:rPr>
        <w:t>Medioevo</w:t>
      </w:r>
      <w:proofErr w:type="spellEnd"/>
      <w:r w:rsidRPr="004A39F9">
        <w:rPr>
          <w:i/>
          <w:iCs/>
          <w:color w:val="000000"/>
          <w:lang w:val="en-US"/>
        </w:rPr>
        <w:t xml:space="preserve"> e </w:t>
      </w:r>
      <w:proofErr w:type="spellStart"/>
      <w:r w:rsidRPr="004A39F9">
        <w:rPr>
          <w:i/>
          <w:iCs/>
          <w:color w:val="000000"/>
          <w:lang w:val="en-US"/>
        </w:rPr>
        <w:t>Rinascimento</w:t>
      </w:r>
      <w:proofErr w:type="spellEnd"/>
      <w:r w:rsidRPr="004A39F9">
        <w:rPr>
          <w:color w:val="000000"/>
          <w:lang w:val="en-US"/>
        </w:rPr>
        <w:t>, ed</w:t>
      </w:r>
      <w:r>
        <w:rPr>
          <w:color w:val="000000"/>
          <w:lang w:val="en-US"/>
        </w:rPr>
        <w:t>s</w:t>
      </w:r>
      <w:r w:rsidRPr="004A39F9">
        <w:rPr>
          <w:color w:val="000000"/>
          <w:lang w:val="en-US"/>
        </w:rPr>
        <w:t xml:space="preserve"> Giovanna </w:t>
      </w:r>
      <w:proofErr w:type="spellStart"/>
      <w:r w:rsidRPr="004A39F9">
        <w:rPr>
          <w:color w:val="000000"/>
          <w:lang w:val="en-US"/>
        </w:rPr>
        <w:t>Baldissin</w:t>
      </w:r>
      <w:proofErr w:type="spellEnd"/>
      <w:r w:rsidRPr="004A39F9">
        <w:rPr>
          <w:color w:val="000000"/>
          <w:lang w:val="en-US"/>
        </w:rPr>
        <w:t xml:space="preserve"> </w:t>
      </w:r>
      <w:proofErr w:type="spellStart"/>
      <w:r w:rsidRPr="004A39F9">
        <w:rPr>
          <w:color w:val="000000"/>
          <w:lang w:val="en-US"/>
        </w:rPr>
        <w:t>Molli</w:t>
      </w:r>
      <w:proofErr w:type="spellEnd"/>
      <w:r w:rsidRPr="004A39F9">
        <w:rPr>
          <w:color w:val="000000"/>
          <w:lang w:val="en-US"/>
        </w:rPr>
        <w:t xml:space="preserve">, Cristina </w:t>
      </w:r>
      <w:proofErr w:type="spellStart"/>
      <w:r w:rsidRPr="004A39F9">
        <w:rPr>
          <w:color w:val="000000"/>
          <w:lang w:val="en-US"/>
        </w:rPr>
        <w:t>Guarnieri</w:t>
      </w:r>
      <w:proofErr w:type="spellEnd"/>
      <w:r w:rsidRPr="004A39F9">
        <w:rPr>
          <w:color w:val="000000"/>
          <w:lang w:val="en-US"/>
        </w:rPr>
        <w:t xml:space="preserve">, and Zuleika Murat (Rome: </w:t>
      </w:r>
      <w:proofErr w:type="spellStart"/>
      <w:r w:rsidRPr="004A39F9">
        <w:rPr>
          <w:color w:val="000000"/>
          <w:lang w:val="en-US"/>
        </w:rPr>
        <w:t>Viella</w:t>
      </w:r>
      <w:proofErr w:type="spellEnd"/>
      <w:r w:rsidRPr="004A39F9">
        <w:rPr>
          <w:color w:val="000000"/>
          <w:lang w:val="en-US"/>
        </w:rPr>
        <w:t>, 2018), 251.</w:t>
      </w:r>
    </w:p>
  </w:footnote>
  <w:footnote w:id="528">
    <w:p w14:paraId="026C272F" w14:textId="77777777" w:rsidR="00182EED" w:rsidRDefault="00182EED" w:rsidP="00094F64">
      <w:pPr>
        <w:pStyle w:val="FootnoteText"/>
      </w:pPr>
      <w:r w:rsidRPr="00591949">
        <w:rPr>
          <w:rStyle w:val="FootnoteReference"/>
        </w:rPr>
        <w:footnoteRef/>
      </w:r>
      <w:r>
        <w:t xml:space="preserve"> </w:t>
      </w:r>
      <w:r w:rsidRPr="002B3619">
        <w:rPr>
          <w:color w:val="000000"/>
          <w:lang w:val="en-US"/>
        </w:rPr>
        <w:t xml:space="preserve">Thornton, </w:t>
      </w:r>
      <w:r w:rsidRPr="002B3619">
        <w:rPr>
          <w:i/>
          <w:iCs/>
          <w:color w:val="000000"/>
          <w:lang w:val="en-US"/>
        </w:rPr>
        <w:t>The Scholar in His Study</w:t>
      </w:r>
      <w:r w:rsidRPr="002B3619">
        <w:rPr>
          <w:color w:val="000000"/>
          <w:lang w:val="en-US"/>
        </w:rPr>
        <w:t>, 169; see also Clifford M</w:t>
      </w:r>
      <w:r>
        <w:rPr>
          <w:color w:val="000000"/>
          <w:lang w:val="en-US"/>
        </w:rPr>
        <w:t>.</w:t>
      </w:r>
      <w:r w:rsidRPr="002B3619">
        <w:rPr>
          <w:color w:val="000000"/>
          <w:lang w:val="en-US"/>
        </w:rPr>
        <w:t xml:space="preserve"> Brown and Anna Maria </w:t>
      </w:r>
      <w:proofErr w:type="spellStart"/>
      <w:r w:rsidRPr="002B3619">
        <w:rPr>
          <w:color w:val="000000"/>
          <w:lang w:val="en-US"/>
        </w:rPr>
        <w:t>Lorenzoni</w:t>
      </w:r>
      <w:proofErr w:type="spellEnd"/>
      <w:r w:rsidRPr="002B3619">
        <w:rPr>
          <w:color w:val="000000"/>
          <w:lang w:val="en-US"/>
        </w:rPr>
        <w:t xml:space="preserve">, </w:t>
      </w:r>
      <w:r w:rsidRPr="002B3619">
        <w:rPr>
          <w:i/>
          <w:iCs/>
          <w:color w:val="000000"/>
          <w:lang w:val="en-US"/>
        </w:rPr>
        <w:t xml:space="preserve">Isabella </w:t>
      </w:r>
      <w:proofErr w:type="spellStart"/>
      <w:r w:rsidRPr="002B3619">
        <w:rPr>
          <w:i/>
          <w:iCs/>
          <w:color w:val="000000"/>
          <w:lang w:val="en-US"/>
        </w:rPr>
        <w:t>d’Este</w:t>
      </w:r>
      <w:proofErr w:type="spellEnd"/>
      <w:r w:rsidRPr="002B3619">
        <w:rPr>
          <w:i/>
          <w:iCs/>
          <w:color w:val="000000"/>
          <w:lang w:val="en-US"/>
        </w:rPr>
        <w:t xml:space="preserve"> and Lorenzo Da Pavia: Documents for the History of Art and Culture in Renaissance Mantua</w:t>
      </w:r>
      <w:r w:rsidRPr="002B3619">
        <w:rPr>
          <w:color w:val="000000"/>
          <w:lang w:val="en-US"/>
        </w:rPr>
        <w:t xml:space="preserve"> (Geneva: </w:t>
      </w:r>
      <w:proofErr w:type="spellStart"/>
      <w:r w:rsidRPr="002B3619">
        <w:rPr>
          <w:color w:val="000000"/>
          <w:lang w:val="en-US"/>
        </w:rPr>
        <w:t>Droz</w:t>
      </w:r>
      <w:proofErr w:type="spellEnd"/>
      <w:r w:rsidRPr="002B3619">
        <w:rPr>
          <w:color w:val="000000"/>
          <w:lang w:val="en-US"/>
        </w:rPr>
        <w:t>, 1982), 240–42.</w:t>
      </w:r>
    </w:p>
  </w:footnote>
  <w:footnote w:id="529">
    <w:p w14:paraId="0A27F6D1" w14:textId="77777777" w:rsidR="00182EED" w:rsidRDefault="00182EED" w:rsidP="00094F64">
      <w:pPr>
        <w:pStyle w:val="FootnoteText"/>
      </w:pPr>
      <w:r w:rsidRPr="00591949">
        <w:rPr>
          <w:rStyle w:val="FootnoteReference"/>
        </w:rPr>
        <w:footnoteRef/>
      </w:r>
      <w:r>
        <w:t xml:space="preserve"> </w:t>
      </w:r>
      <w:proofErr w:type="spellStart"/>
      <w:r w:rsidRPr="002B3619">
        <w:rPr>
          <w:color w:val="000000"/>
          <w:lang w:val="en-US"/>
        </w:rPr>
        <w:t>Brundin</w:t>
      </w:r>
      <w:proofErr w:type="spellEnd"/>
      <w:r w:rsidRPr="002B3619">
        <w:rPr>
          <w:color w:val="000000"/>
          <w:lang w:val="en-US"/>
        </w:rPr>
        <w:t xml:space="preserve">, Howard, and </w:t>
      </w:r>
      <w:proofErr w:type="spellStart"/>
      <w:r w:rsidRPr="002B3619">
        <w:rPr>
          <w:color w:val="000000"/>
          <w:lang w:val="en-US"/>
        </w:rPr>
        <w:t>Laven</w:t>
      </w:r>
      <w:proofErr w:type="spellEnd"/>
      <w:r w:rsidRPr="002B3619">
        <w:rPr>
          <w:color w:val="000000"/>
          <w:lang w:val="en-US"/>
        </w:rPr>
        <w:t xml:space="preserve">, </w:t>
      </w:r>
      <w:r w:rsidRPr="002B3619">
        <w:rPr>
          <w:i/>
          <w:iCs/>
          <w:color w:val="000000"/>
          <w:lang w:val="en-US"/>
        </w:rPr>
        <w:t>The Sacred Home in Renaissance Italy</w:t>
      </w:r>
      <w:r w:rsidRPr="002B3619">
        <w:rPr>
          <w:color w:val="000000"/>
          <w:lang w:val="en-US"/>
        </w:rPr>
        <w:t>, 79.</w:t>
      </w:r>
    </w:p>
  </w:footnote>
  <w:footnote w:id="530">
    <w:p w14:paraId="3A346102" w14:textId="77777777" w:rsidR="00182EED" w:rsidRDefault="00182EED" w:rsidP="00094F64">
      <w:pPr>
        <w:pStyle w:val="FootnoteText"/>
      </w:pPr>
      <w:r w:rsidRPr="00591949">
        <w:rPr>
          <w:rStyle w:val="FootnoteReference"/>
        </w:rPr>
        <w:footnoteRef/>
      </w:r>
      <w:r>
        <w:t xml:space="preserve"> </w:t>
      </w:r>
      <w:r w:rsidRPr="00DB4164">
        <w:rPr>
          <w:color w:val="000000"/>
          <w:lang w:val="en-US"/>
        </w:rPr>
        <w:t xml:space="preserve">“Io </w:t>
      </w:r>
      <w:proofErr w:type="spellStart"/>
      <w:r w:rsidRPr="00DB4164">
        <w:rPr>
          <w:color w:val="000000"/>
          <w:lang w:val="en-US"/>
        </w:rPr>
        <w:t>l’ho</w:t>
      </w:r>
      <w:proofErr w:type="spellEnd"/>
      <w:r w:rsidRPr="00DB4164">
        <w:rPr>
          <w:color w:val="000000"/>
          <w:lang w:val="en-US"/>
        </w:rPr>
        <w:t xml:space="preserve"> ben visto al </w:t>
      </w:r>
      <w:proofErr w:type="spellStart"/>
      <w:r w:rsidRPr="00DB4164">
        <w:rPr>
          <w:color w:val="000000"/>
          <w:lang w:val="en-US"/>
        </w:rPr>
        <w:t>lume</w:t>
      </w:r>
      <w:proofErr w:type="spellEnd"/>
      <w:r w:rsidRPr="00DB4164">
        <w:rPr>
          <w:color w:val="000000"/>
          <w:lang w:val="en-US"/>
        </w:rPr>
        <w:t xml:space="preserve"> et col </w:t>
      </w:r>
      <w:proofErr w:type="spellStart"/>
      <w:r w:rsidRPr="00DB4164">
        <w:rPr>
          <w:color w:val="000000"/>
          <w:lang w:val="en-US"/>
        </w:rPr>
        <w:t>vetro</w:t>
      </w:r>
      <w:proofErr w:type="spellEnd"/>
      <w:r w:rsidRPr="00DB4164">
        <w:rPr>
          <w:color w:val="000000"/>
          <w:lang w:val="en-US"/>
        </w:rPr>
        <w:t xml:space="preserve"> et col </w:t>
      </w:r>
      <w:proofErr w:type="spellStart"/>
      <w:r w:rsidRPr="00DB4164">
        <w:rPr>
          <w:color w:val="000000"/>
          <w:lang w:val="en-US"/>
        </w:rPr>
        <w:t>specchio</w:t>
      </w:r>
      <w:proofErr w:type="spellEnd"/>
      <w:r>
        <w:rPr>
          <w:color w:val="000000"/>
          <w:lang w:val="en-US"/>
        </w:rPr>
        <w:t>.</w:t>
      </w:r>
      <w:r w:rsidRPr="00DB4164">
        <w:rPr>
          <w:color w:val="000000"/>
          <w:lang w:val="en-US"/>
        </w:rPr>
        <w:t xml:space="preserve">” </w:t>
      </w:r>
      <w:r>
        <w:rPr>
          <w:color w:val="000000"/>
          <w:lang w:val="en-US"/>
        </w:rPr>
        <w:t>Q</w:t>
      </w:r>
      <w:r w:rsidRPr="00DB4164">
        <w:rPr>
          <w:color w:val="000000"/>
          <w:lang w:val="en-US"/>
        </w:rPr>
        <w:t xml:space="preserve">uoted in Maria </w:t>
      </w:r>
      <w:proofErr w:type="spellStart"/>
      <w:r w:rsidRPr="00DB4164">
        <w:rPr>
          <w:color w:val="000000"/>
          <w:lang w:val="en-US"/>
        </w:rPr>
        <w:t>Forcellino</w:t>
      </w:r>
      <w:proofErr w:type="spellEnd"/>
      <w:r w:rsidRPr="00DB4164">
        <w:rPr>
          <w:color w:val="000000"/>
          <w:lang w:val="en-US"/>
        </w:rPr>
        <w:t xml:space="preserve">, “Vittoria Colonna and Michelangelo: Drawings and Paintings,” in </w:t>
      </w:r>
      <w:r w:rsidRPr="00DB4164">
        <w:rPr>
          <w:i/>
          <w:iCs/>
          <w:color w:val="000000"/>
          <w:lang w:val="en-US"/>
        </w:rPr>
        <w:t>A Companion to Vittoria Colonna</w:t>
      </w:r>
      <w:r w:rsidRPr="00DB4164">
        <w:rPr>
          <w:color w:val="000000"/>
          <w:lang w:val="en-US"/>
        </w:rPr>
        <w:t>, ed</w:t>
      </w:r>
      <w:r>
        <w:rPr>
          <w:color w:val="000000"/>
          <w:lang w:val="en-US"/>
        </w:rPr>
        <w:t>s</w:t>
      </w:r>
      <w:r w:rsidRPr="00DB4164">
        <w:rPr>
          <w:color w:val="000000"/>
          <w:lang w:val="en-US"/>
        </w:rPr>
        <w:t xml:space="preserve"> Abigail </w:t>
      </w:r>
      <w:proofErr w:type="spellStart"/>
      <w:r w:rsidRPr="00DB4164">
        <w:rPr>
          <w:color w:val="000000"/>
          <w:lang w:val="en-US"/>
        </w:rPr>
        <w:t>Brundin</w:t>
      </w:r>
      <w:proofErr w:type="spellEnd"/>
      <w:r w:rsidRPr="00DB4164">
        <w:rPr>
          <w:color w:val="000000"/>
          <w:lang w:val="en-US"/>
        </w:rPr>
        <w:t xml:space="preserve">, Tatiana </w:t>
      </w:r>
      <w:proofErr w:type="spellStart"/>
      <w:r w:rsidRPr="00DB4164">
        <w:rPr>
          <w:color w:val="000000"/>
          <w:lang w:val="en-US"/>
        </w:rPr>
        <w:t>Crivelli</w:t>
      </w:r>
      <w:proofErr w:type="spellEnd"/>
      <w:r w:rsidRPr="00DB4164">
        <w:rPr>
          <w:color w:val="000000"/>
          <w:lang w:val="en-US"/>
        </w:rPr>
        <w:t xml:space="preserve">, and Maria Serena </w:t>
      </w:r>
      <w:proofErr w:type="spellStart"/>
      <w:r w:rsidRPr="00DB4164">
        <w:rPr>
          <w:color w:val="000000"/>
          <w:lang w:val="en-US"/>
        </w:rPr>
        <w:t>Sapegno</w:t>
      </w:r>
      <w:proofErr w:type="spellEnd"/>
      <w:r w:rsidRPr="00DB4164">
        <w:rPr>
          <w:color w:val="000000"/>
          <w:lang w:val="en-US"/>
        </w:rPr>
        <w:t xml:space="preserve"> (Leiden and Boston: Brill, 2016), 291, n.69.</w:t>
      </w:r>
      <w:r>
        <w:rPr>
          <w:color w:val="000000"/>
          <w:lang w:val="en-US"/>
        </w:rPr>
        <w:t xml:space="preserve"> See also </w:t>
      </w:r>
      <w:proofErr w:type="spellStart"/>
      <w:r w:rsidRPr="002B3619">
        <w:rPr>
          <w:color w:val="000000"/>
          <w:lang w:val="en-US"/>
        </w:rPr>
        <w:t>Brundin</w:t>
      </w:r>
      <w:proofErr w:type="spellEnd"/>
      <w:r w:rsidRPr="002B3619">
        <w:rPr>
          <w:color w:val="000000"/>
          <w:lang w:val="en-US"/>
        </w:rPr>
        <w:t xml:space="preserve">, Howard, and </w:t>
      </w:r>
      <w:proofErr w:type="spellStart"/>
      <w:r w:rsidRPr="002B3619">
        <w:rPr>
          <w:color w:val="000000"/>
          <w:lang w:val="en-US"/>
        </w:rPr>
        <w:t>Laven</w:t>
      </w:r>
      <w:proofErr w:type="spellEnd"/>
      <w:r w:rsidRPr="002B3619">
        <w:rPr>
          <w:color w:val="000000"/>
          <w:lang w:val="en-US"/>
        </w:rPr>
        <w:t xml:space="preserve">, </w:t>
      </w:r>
      <w:r w:rsidRPr="002B3619">
        <w:rPr>
          <w:i/>
          <w:iCs/>
          <w:color w:val="000000"/>
          <w:lang w:val="en-US"/>
        </w:rPr>
        <w:t>The Sacred Home in Renaissance Italy</w:t>
      </w:r>
      <w:r w:rsidRPr="00DB4164">
        <w:rPr>
          <w:color w:val="000000"/>
          <w:lang w:val="en-US"/>
        </w:rPr>
        <w:t>, 109</w:t>
      </w:r>
      <w:r>
        <w:rPr>
          <w:color w:val="000000"/>
          <w:lang w:val="en-US"/>
        </w:rPr>
        <w:t>.</w:t>
      </w:r>
    </w:p>
  </w:footnote>
  <w:footnote w:id="531">
    <w:p w14:paraId="067A533A" w14:textId="77777777" w:rsidR="00182EED" w:rsidRDefault="00182EED" w:rsidP="00094F64">
      <w:pPr>
        <w:pStyle w:val="FootnoteText"/>
      </w:pPr>
      <w:r w:rsidRPr="00591949">
        <w:rPr>
          <w:rStyle w:val="FootnoteReference"/>
        </w:rPr>
        <w:footnoteRef/>
      </w:r>
      <w:r>
        <w:t xml:space="preserve"> </w:t>
      </w:r>
      <w:proofErr w:type="spellStart"/>
      <w:r w:rsidRPr="00DB4164">
        <w:rPr>
          <w:color w:val="000000"/>
          <w:lang w:val="en-US"/>
        </w:rPr>
        <w:t>DePrano</w:t>
      </w:r>
      <w:proofErr w:type="spellEnd"/>
      <w:r w:rsidRPr="00DB4164">
        <w:rPr>
          <w:color w:val="000000"/>
          <w:lang w:val="en-US"/>
        </w:rPr>
        <w:t xml:space="preserve">, </w:t>
      </w:r>
      <w:r w:rsidRPr="00DB4164">
        <w:rPr>
          <w:i/>
          <w:iCs/>
          <w:color w:val="000000"/>
          <w:lang w:val="en-US"/>
        </w:rPr>
        <w:t>Art Patronage, Family, and Gender in Renaissance Florence</w:t>
      </w:r>
      <w:r w:rsidRPr="00DB4164">
        <w:rPr>
          <w:color w:val="000000"/>
          <w:lang w:val="en-US"/>
        </w:rPr>
        <w:t>, 254.</w:t>
      </w:r>
    </w:p>
  </w:footnote>
  <w:footnote w:id="532">
    <w:p w14:paraId="1DD78388" w14:textId="77777777" w:rsidR="00182EED" w:rsidRDefault="00182EED" w:rsidP="00094F64">
      <w:pPr>
        <w:pStyle w:val="FootnoteText"/>
      </w:pPr>
      <w:r w:rsidRPr="00591949">
        <w:rPr>
          <w:rStyle w:val="FootnoteReference"/>
        </w:rPr>
        <w:footnoteRef/>
      </w:r>
      <w:r>
        <w:t xml:space="preserve"> </w:t>
      </w:r>
      <w:r w:rsidRPr="00DB4164">
        <w:rPr>
          <w:color w:val="000000"/>
          <w:lang w:val="en-US"/>
        </w:rPr>
        <w:t xml:space="preserve">“1 Nostra Signora </w:t>
      </w:r>
      <w:proofErr w:type="spellStart"/>
      <w:r w:rsidRPr="00DB4164">
        <w:rPr>
          <w:color w:val="000000"/>
          <w:lang w:val="en-US"/>
        </w:rPr>
        <w:t>tonda</w:t>
      </w:r>
      <w:proofErr w:type="spellEnd"/>
      <w:r w:rsidRPr="00DB4164">
        <w:rPr>
          <w:color w:val="000000"/>
          <w:lang w:val="en-US"/>
        </w:rPr>
        <w:t xml:space="preserve">, di sopra, </w:t>
      </w:r>
      <w:proofErr w:type="spellStart"/>
      <w:r w:rsidRPr="00DB4164">
        <w:rPr>
          <w:color w:val="000000"/>
          <w:lang w:val="en-US"/>
        </w:rPr>
        <w:t>dorata</w:t>
      </w:r>
      <w:proofErr w:type="spellEnd"/>
      <w:r w:rsidRPr="00DB4164">
        <w:rPr>
          <w:color w:val="000000"/>
          <w:lang w:val="en-US"/>
        </w:rPr>
        <w:t xml:space="preserve"> </w:t>
      </w:r>
      <w:proofErr w:type="spellStart"/>
      <w:r w:rsidRPr="00DB4164">
        <w:rPr>
          <w:color w:val="000000"/>
          <w:lang w:val="en-US"/>
        </w:rPr>
        <w:t>intorno</w:t>
      </w:r>
      <w:proofErr w:type="spellEnd"/>
      <w:r w:rsidRPr="00DB4164">
        <w:rPr>
          <w:color w:val="000000"/>
          <w:lang w:val="en-US"/>
        </w:rPr>
        <w:t xml:space="preserve"> </w:t>
      </w:r>
      <w:proofErr w:type="spellStart"/>
      <w:r w:rsidRPr="00DB4164">
        <w:rPr>
          <w:color w:val="000000"/>
          <w:lang w:val="en-US"/>
        </w:rPr>
        <w:t>cho’l</w:t>
      </w:r>
      <w:proofErr w:type="spellEnd"/>
      <w:r w:rsidRPr="00DB4164">
        <w:rPr>
          <w:color w:val="000000"/>
          <w:lang w:val="en-US"/>
        </w:rPr>
        <w:t xml:space="preserve"> </w:t>
      </w:r>
      <w:proofErr w:type="spellStart"/>
      <w:r w:rsidRPr="00DB4164">
        <w:rPr>
          <w:color w:val="000000"/>
          <w:lang w:val="en-US"/>
        </w:rPr>
        <w:t>figliuolo</w:t>
      </w:r>
      <w:proofErr w:type="spellEnd"/>
      <w:r w:rsidRPr="00DB4164">
        <w:rPr>
          <w:color w:val="000000"/>
          <w:lang w:val="en-US"/>
        </w:rPr>
        <w:t xml:space="preserve"> e Santo Giovanni.” Quoted in Olson, “Lost and Partially Found,” 49, 64 n.126; see also Jonathan Katz Nelson, “Putting Botticelli and Filippino in Their Place,” in </w:t>
      </w:r>
      <w:proofErr w:type="spellStart"/>
      <w:r w:rsidRPr="00DB4164">
        <w:rPr>
          <w:i/>
          <w:iCs/>
          <w:color w:val="000000"/>
          <w:lang w:val="en-US"/>
        </w:rPr>
        <w:t>Invisibile</w:t>
      </w:r>
      <w:proofErr w:type="spellEnd"/>
      <w:r w:rsidRPr="00DB4164">
        <w:rPr>
          <w:i/>
          <w:iCs/>
          <w:color w:val="000000"/>
          <w:lang w:val="en-US"/>
        </w:rPr>
        <w:t xml:space="preserve"> </w:t>
      </w:r>
      <w:proofErr w:type="spellStart"/>
      <w:r w:rsidRPr="00DB4164">
        <w:rPr>
          <w:i/>
          <w:iCs/>
          <w:color w:val="000000"/>
          <w:lang w:val="en-US"/>
        </w:rPr>
        <w:t>agli</w:t>
      </w:r>
      <w:proofErr w:type="spellEnd"/>
      <w:r w:rsidRPr="00DB4164">
        <w:rPr>
          <w:i/>
          <w:iCs/>
          <w:color w:val="000000"/>
          <w:lang w:val="en-US"/>
        </w:rPr>
        <w:t xml:space="preserve"> </w:t>
      </w:r>
      <w:proofErr w:type="spellStart"/>
      <w:r w:rsidRPr="00DB4164">
        <w:rPr>
          <w:i/>
          <w:iCs/>
          <w:color w:val="000000"/>
          <w:lang w:val="en-US"/>
        </w:rPr>
        <w:t>occhi</w:t>
      </w:r>
      <w:proofErr w:type="spellEnd"/>
      <w:r w:rsidRPr="00DB4164">
        <w:rPr>
          <w:i/>
          <w:iCs/>
          <w:color w:val="000000"/>
          <w:lang w:val="en-US"/>
        </w:rPr>
        <w:t xml:space="preserve">: </w:t>
      </w:r>
      <w:proofErr w:type="spellStart"/>
      <w:r w:rsidRPr="00DB4164">
        <w:rPr>
          <w:i/>
          <w:iCs/>
          <w:color w:val="000000"/>
          <w:lang w:val="en-US"/>
        </w:rPr>
        <w:t>atti</w:t>
      </w:r>
      <w:proofErr w:type="spellEnd"/>
      <w:r w:rsidRPr="00DB4164">
        <w:rPr>
          <w:i/>
          <w:iCs/>
          <w:color w:val="000000"/>
          <w:lang w:val="en-US"/>
        </w:rPr>
        <w:t xml:space="preserve"> </w:t>
      </w:r>
      <w:proofErr w:type="spellStart"/>
      <w:r w:rsidRPr="00DB4164">
        <w:rPr>
          <w:i/>
          <w:iCs/>
          <w:color w:val="000000"/>
          <w:lang w:val="en-US"/>
        </w:rPr>
        <w:t>della</w:t>
      </w:r>
      <w:proofErr w:type="spellEnd"/>
      <w:r w:rsidRPr="00DB4164">
        <w:rPr>
          <w:i/>
          <w:iCs/>
          <w:color w:val="000000"/>
          <w:lang w:val="en-US"/>
        </w:rPr>
        <w:t xml:space="preserve"> </w:t>
      </w:r>
      <w:proofErr w:type="spellStart"/>
      <w:r w:rsidRPr="00DB4164">
        <w:rPr>
          <w:i/>
          <w:iCs/>
          <w:color w:val="000000"/>
          <w:lang w:val="en-US"/>
        </w:rPr>
        <w:t>giornata</w:t>
      </w:r>
      <w:proofErr w:type="spellEnd"/>
      <w:r w:rsidRPr="00DB4164">
        <w:rPr>
          <w:i/>
          <w:iCs/>
          <w:color w:val="000000"/>
          <w:lang w:val="en-US"/>
        </w:rPr>
        <w:t xml:space="preserve"> di studio in </w:t>
      </w:r>
      <w:proofErr w:type="spellStart"/>
      <w:r w:rsidRPr="00DB4164">
        <w:rPr>
          <w:i/>
          <w:iCs/>
          <w:color w:val="000000"/>
          <w:lang w:val="en-US"/>
        </w:rPr>
        <w:t>ricordo</w:t>
      </w:r>
      <w:proofErr w:type="spellEnd"/>
      <w:r w:rsidRPr="00DB4164">
        <w:rPr>
          <w:i/>
          <w:iCs/>
          <w:color w:val="000000"/>
          <w:lang w:val="en-US"/>
        </w:rPr>
        <w:t xml:space="preserve"> di Lisa </w:t>
      </w:r>
      <w:proofErr w:type="spellStart"/>
      <w:r w:rsidRPr="00DB4164">
        <w:rPr>
          <w:i/>
          <w:iCs/>
          <w:color w:val="000000"/>
          <w:lang w:val="en-US"/>
        </w:rPr>
        <w:t>Venturini</w:t>
      </w:r>
      <w:proofErr w:type="spellEnd"/>
      <w:r w:rsidRPr="00DB4164">
        <w:rPr>
          <w:color w:val="000000"/>
          <w:lang w:val="en-US"/>
        </w:rPr>
        <w:t xml:space="preserve">, ed. Nicoletta </w:t>
      </w:r>
      <w:proofErr w:type="spellStart"/>
      <w:r w:rsidRPr="00DB4164">
        <w:rPr>
          <w:color w:val="000000"/>
          <w:lang w:val="en-US"/>
        </w:rPr>
        <w:t>Baldini</w:t>
      </w:r>
      <w:proofErr w:type="spellEnd"/>
      <w:r w:rsidRPr="00DB4164">
        <w:rPr>
          <w:color w:val="000000"/>
          <w:lang w:val="en-US"/>
        </w:rPr>
        <w:t xml:space="preserve"> (Florence: Fondazione di </w:t>
      </w:r>
      <w:proofErr w:type="spellStart"/>
      <w:r w:rsidRPr="00DB4164">
        <w:rPr>
          <w:color w:val="000000"/>
          <w:lang w:val="en-US"/>
        </w:rPr>
        <w:t>studi</w:t>
      </w:r>
      <w:proofErr w:type="spellEnd"/>
      <w:r w:rsidRPr="00DB4164">
        <w:rPr>
          <w:color w:val="000000"/>
          <w:lang w:val="en-US"/>
        </w:rPr>
        <w:t xml:space="preserve"> di </w:t>
      </w:r>
      <w:proofErr w:type="spellStart"/>
      <w:r w:rsidRPr="00DB4164">
        <w:rPr>
          <w:color w:val="000000"/>
          <w:lang w:val="en-US"/>
        </w:rPr>
        <w:t>storia</w:t>
      </w:r>
      <w:proofErr w:type="spellEnd"/>
      <w:r w:rsidRPr="00DB4164">
        <w:rPr>
          <w:color w:val="000000"/>
          <w:lang w:val="en-US"/>
        </w:rPr>
        <w:t xml:space="preserve"> </w:t>
      </w:r>
      <w:proofErr w:type="spellStart"/>
      <w:r w:rsidRPr="00DB4164">
        <w:rPr>
          <w:color w:val="000000"/>
          <w:lang w:val="en-US"/>
        </w:rPr>
        <w:t>dell’arte</w:t>
      </w:r>
      <w:proofErr w:type="spellEnd"/>
      <w:r w:rsidRPr="00DB4164">
        <w:rPr>
          <w:color w:val="000000"/>
          <w:lang w:val="en-US"/>
        </w:rPr>
        <w:t xml:space="preserve"> Roberto </w:t>
      </w:r>
      <w:proofErr w:type="spellStart"/>
      <w:r w:rsidRPr="00DB4164">
        <w:rPr>
          <w:color w:val="000000"/>
          <w:lang w:val="en-US"/>
        </w:rPr>
        <w:t>Longhi</w:t>
      </w:r>
      <w:proofErr w:type="spellEnd"/>
      <w:r w:rsidRPr="00DB4164">
        <w:rPr>
          <w:color w:val="000000"/>
          <w:lang w:val="en-US"/>
        </w:rPr>
        <w:t>, 2007), 53–63.</w:t>
      </w:r>
    </w:p>
  </w:footnote>
  <w:footnote w:id="533">
    <w:p w14:paraId="6FDDB95E" w14:textId="77777777" w:rsidR="00182EED" w:rsidRDefault="00182EED" w:rsidP="00094F64">
      <w:pPr>
        <w:pStyle w:val="FootnoteText"/>
      </w:pPr>
      <w:r w:rsidRPr="00591949">
        <w:rPr>
          <w:rStyle w:val="FootnoteReference"/>
        </w:rPr>
        <w:footnoteRef/>
      </w:r>
      <w:r>
        <w:t xml:space="preserve"> </w:t>
      </w:r>
      <w:r w:rsidRPr="001720D3">
        <w:rPr>
          <w:color w:val="000000"/>
          <w:lang w:val="en-US"/>
        </w:rPr>
        <w:t xml:space="preserve">Peta </w:t>
      </w:r>
      <w:proofErr w:type="spellStart"/>
      <w:r w:rsidRPr="001720D3">
        <w:rPr>
          <w:color w:val="000000"/>
          <w:lang w:val="en-US"/>
        </w:rPr>
        <w:t>Motture</w:t>
      </w:r>
      <w:proofErr w:type="spellEnd"/>
      <w:r w:rsidRPr="001720D3">
        <w:rPr>
          <w:color w:val="000000"/>
          <w:lang w:val="en-US"/>
        </w:rPr>
        <w:t xml:space="preserve"> and Luke Syson, “Art in the Casa,” in </w:t>
      </w:r>
      <w:r w:rsidRPr="001720D3">
        <w:rPr>
          <w:i/>
          <w:iCs/>
          <w:color w:val="000000"/>
          <w:lang w:val="en-US"/>
        </w:rPr>
        <w:t>At Home in Renaissance Italy</w:t>
      </w:r>
      <w:r w:rsidRPr="001720D3">
        <w:rPr>
          <w:color w:val="000000"/>
          <w:lang w:val="en-US"/>
        </w:rPr>
        <w:t xml:space="preserve">, ed. Marta </w:t>
      </w:r>
      <w:proofErr w:type="spellStart"/>
      <w:r w:rsidRPr="001720D3">
        <w:rPr>
          <w:color w:val="000000"/>
          <w:lang w:val="en-US"/>
        </w:rPr>
        <w:t>Ajmar-Wollheim</w:t>
      </w:r>
      <w:proofErr w:type="spellEnd"/>
      <w:r w:rsidRPr="001720D3">
        <w:rPr>
          <w:color w:val="000000"/>
          <w:lang w:val="en-US"/>
        </w:rPr>
        <w:t xml:space="preserve"> and Flora Dennis (London: V&amp;A Publications, 2006), 278; Geraldine A. Johnson, “Art or Artefact? Madonna and Child Reliefs in the Early Renaissance,” in </w:t>
      </w:r>
      <w:r w:rsidRPr="001720D3">
        <w:rPr>
          <w:i/>
          <w:iCs/>
          <w:color w:val="000000"/>
          <w:lang w:val="en-US"/>
        </w:rPr>
        <w:t>The Sculpted Object, 1400-1700</w:t>
      </w:r>
      <w:r w:rsidRPr="001720D3">
        <w:rPr>
          <w:color w:val="000000"/>
          <w:lang w:val="en-US"/>
        </w:rPr>
        <w:t xml:space="preserve">, ed. Stuart Currie and Peta </w:t>
      </w:r>
      <w:proofErr w:type="spellStart"/>
      <w:r w:rsidRPr="001720D3">
        <w:rPr>
          <w:color w:val="000000"/>
          <w:lang w:val="en-US"/>
        </w:rPr>
        <w:t>Motture</w:t>
      </w:r>
      <w:proofErr w:type="spellEnd"/>
      <w:r w:rsidRPr="001720D3">
        <w:rPr>
          <w:color w:val="000000"/>
          <w:lang w:val="en-US"/>
        </w:rPr>
        <w:t xml:space="preserve"> (</w:t>
      </w:r>
      <w:proofErr w:type="spellStart"/>
      <w:r w:rsidRPr="001720D3">
        <w:rPr>
          <w:color w:val="000000"/>
          <w:lang w:val="en-US"/>
        </w:rPr>
        <w:t>Aldershot</w:t>
      </w:r>
      <w:proofErr w:type="spellEnd"/>
      <w:r w:rsidRPr="001720D3">
        <w:rPr>
          <w:color w:val="000000"/>
          <w:lang w:val="en-US"/>
        </w:rPr>
        <w:t xml:space="preserve">; Brookfield, VT: </w:t>
      </w:r>
      <w:proofErr w:type="spellStart"/>
      <w:r w:rsidRPr="001720D3">
        <w:rPr>
          <w:color w:val="000000"/>
          <w:lang w:val="en-US"/>
        </w:rPr>
        <w:t>Scolar</w:t>
      </w:r>
      <w:proofErr w:type="spellEnd"/>
      <w:r w:rsidRPr="001720D3">
        <w:rPr>
          <w:color w:val="000000"/>
          <w:lang w:val="en-US"/>
        </w:rPr>
        <w:t xml:space="preserve"> Press; Ashgate, 1997), 4.</w:t>
      </w:r>
    </w:p>
  </w:footnote>
  <w:footnote w:id="534">
    <w:p w14:paraId="281D377F" w14:textId="77777777" w:rsidR="00182EED" w:rsidRDefault="00182EED" w:rsidP="00094F64">
      <w:pPr>
        <w:pStyle w:val="FootnoteText"/>
      </w:pPr>
      <w:r w:rsidRPr="00591949">
        <w:rPr>
          <w:rStyle w:val="FootnoteReference"/>
        </w:rPr>
        <w:footnoteRef/>
      </w:r>
      <w:r>
        <w:t xml:space="preserve"> </w:t>
      </w:r>
      <w:proofErr w:type="spellStart"/>
      <w:r w:rsidRPr="003B3380">
        <w:rPr>
          <w:color w:val="000000"/>
          <w:lang w:val="en-US"/>
        </w:rPr>
        <w:t>Casu</w:t>
      </w:r>
      <w:proofErr w:type="spellEnd"/>
      <w:r w:rsidRPr="003B3380">
        <w:rPr>
          <w:color w:val="000000"/>
          <w:lang w:val="en-US"/>
        </w:rPr>
        <w:t xml:space="preserve">, “Speculum </w:t>
      </w:r>
      <w:proofErr w:type="spellStart"/>
      <w:r w:rsidRPr="003B3380">
        <w:rPr>
          <w:color w:val="000000"/>
          <w:lang w:val="en-US"/>
        </w:rPr>
        <w:t>Principis</w:t>
      </w:r>
      <w:proofErr w:type="spellEnd"/>
      <w:r w:rsidRPr="003B3380">
        <w:rPr>
          <w:color w:val="000000"/>
          <w:lang w:val="en-US"/>
        </w:rPr>
        <w:t>,” 39–40.</w:t>
      </w:r>
    </w:p>
  </w:footnote>
  <w:footnote w:id="535">
    <w:p w14:paraId="03E6CFCB" w14:textId="77777777" w:rsidR="00182EED" w:rsidRDefault="00182EED" w:rsidP="00094F64">
      <w:pPr>
        <w:pStyle w:val="FootnoteText"/>
      </w:pPr>
      <w:r w:rsidRPr="00591949">
        <w:rPr>
          <w:rStyle w:val="FootnoteReference"/>
        </w:rPr>
        <w:footnoteRef/>
      </w:r>
      <w:r>
        <w:t xml:space="preserve"> </w:t>
      </w:r>
      <w:r>
        <w:rPr>
          <w:noProof/>
        </w:rPr>
        <w:t>Ibid., 40.</w:t>
      </w:r>
    </w:p>
  </w:footnote>
  <w:footnote w:id="536">
    <w:p w14:paraId="48BE4B41" w14:textId="77777777" w:rsidR="00182EED" w:rsidRDefault="00182EED" w:rsidP="00094F64">
      <w:pPr>
        <w:pStyle w:val="FootnoteText"/>
      </w:pPr>
      <w:r w:rsidRPr="00591949">
        <w:rPr>
          <w:rStyle w:val="FootnoteReference"/>
        </w:rPr>
        <w:footnoteRef/>
      </w:r>
      <w:r>
        <w:t xml:space="preserve"> </w:t>
      </w:r>
      <w:r w:rsidRPr="003B3380">
        <w:rPr>
          <w:color w:val="000000"/>
          <w:lang w:val="en-US"/>
        </w:rPr>
        <w:t xml:space="preserve">Olson, </w:t>
      </w:r>
      <w:r w:rsidRPr="003B3380">
        <w:rPr>
          <w:i/>
          <w:iCs/>
          <w:color w:val="000000"/>
          <w:lang w:val="en-US"/>
        </w:rPr>
        <w:t>The Florentine Tondo</w:t>
      </w:r>
      <w:r w:rsidRPr="003B3380">
        <w:rPr>
          <w:color w:val="000000"/>
          <w:lang w:val="en-US"/>
        </w:rPr>
        <w:t>, 101; Anthony Radcliffe and Charles Avery, “The ‘</w:t>
      </w:r>
      <w:proofErr w:type="spellStart"/>
      <w:r w:rsidRPr="003B3380">
        <w:rPr>
          <w:color w:val="000000"/>
          <w:lang w:val="en-US"/>
        </w:rPr>
        <w:t>Chellini</w:t>
      </w:r>
      <w:proofErr w:type="spellEnd"/>
      <w:r w:rsidRPr="003B3380">
        <w:rPr>
          <w:color w:val="000000"/>
          <w:lang w:val="en-US"/>
        </w:rPr>
        <w:t xml:space="preserve"> Madonna’ by Donatello,” </w:t>
      </w:r>
      <w:r w:rsidRPr="003B3380">
        <w:rPr>
          <w:i/>
          <w:iCs/>
          <w:color w:val="000000"/>
          <w:lang w:val="en-US"/>
        </w:rPr>
        <w:t>The Burlington Magazine</w:t>
      </w:r>
      <w:r w:rsidRPr="003B3380">
        <w:rPr>
          <w:color w:val="000000"/>
          <w:lang w:val="en-US"/>
        </w:rPr>
        <w:t xml:space="preserve"> 118, no. 879 (1976): 383; Giancarlo </w:t>
      </w:r>
      <w:proofErr w:type="spellStart"/>
      <w:r w:rsidRPr="003B3380">
        <w:rPr>
          <w:color w:val="000000"/>
          <w:lang w:val="en-US"/>
        </w:rPr>
        <w:t>Gentilini</w:t>
      </w:r>
      <w:proofErr w:type="spellEnd"/>
      <w:r w:rsidRPr="003B3380">
        <w:rPr>
          <w:color w:val="000000"/>
          <w:lang w:val="en-US"/>
        </w:rPr>
        <w:t xml:space="preserve">, ed., </w:t>
      </w:r>
      <w:r w:rsidRPr="003B3380">
        <w:rPr>
          <w:i/>
          <w:iCs/>
          <w:color w:val="000000"/>
          <w:lang w:val="en-US"/>
        </w:rPr>
        <w:t xml:space="preserve">I Della Robbia: La </w:t>
      </w:r>
      <w:proofErr w:type="spellStart"/>
      <w:r w:rsidRPr="003B3380">
        <w:rPr>
          <w:i/>
          <w:iCs/>
          <w:color w:val="000000"/>
          <w:lang w:val="en-US"/>
        </w:rPr>
        <w:t>Scultura</w:t>
      </w:r>
      <w:proofErr w:type="spellEnd"/>
      <w:r w:rsidRPr="003B3380">
        <w:rPr>
          <w:i/>
          <w:iCs/>
          <w:color w:val="000000"/>
          <w:lang w:val="en-US"/>
        </w:rPr>
        <w:t xml:space="preserve"> </w:t>
      </w:r>
      <w:proofErr w:type="spellStart"/>
      <w:r w:rsidRPr="003B3380">
        <w:rPr>
          <w:i/>
          <w:iCs/>
          <w:color w:val="000000"/>
          <w:lang w:val="en-US"/>
        </w:rPr>
        <w:t>Invetriata</w:t>
      </w:r>
      <w:proofErr w:type="spellEnd"/>
      <w:r w:rsidRPr="003B3380">
        <w:rPr>
          <w:i/>
          <w:iCs/>
          <w:color w:val="000000"/>
          <w:lang w:val="en-US"/>
        </w:rPr>
        <w:t xml:space="preserve"> </w:t>
      </w:r>
      <w:proofErr w:type="spellStart"/>
      <w:r w:rsidRPr="003B3380">
        <w:rPr>
          <w:i/>
          <w:iCs/>
          <w:color w:val="000000"/>
          <w:lang w:val="en-US"/>
        </w:rPr>
        <w:t>nel</w:t>
      </w:r>
      <w:proofErr w:type="spellEnd"/>
      <w:r w:rsidRPr="003B3380">
        <w:rPr>
          <w:i/>
          <w:iCs/>
          <w:color w:val="000000"/>
          <w:lang w:val="en-US"/>
        </w:rPr>
        <w:t xml:space="preserve"> </w:t>
      </w:r>
      <w:proofErr w:type="spellStart"/>
      <w:r w:rsidRPr="003B3380">
        <w:rPr>
          <w:i/>
          <w:iCs/>
          <w:color w:val="000000"/>
          <w:lang w:val="en-US"/>
        </w:rPr>
        <w:t>Rinascimento</w:t>
      </w:r>
      <w:proofErr w:type="spellEnd"/>
      <w:r w:rsidRPr="003B3380">
        <w:rPr>
          <w:color w:val="000000"/>
          <w:lang w:val="en-US"/>
        </w:rPr>
        <w:t xml:space="preserve"> (Florence: Cantini, 1992), 22, 146, note 22.</w:t>
      </w:r>
    </w:p>
  </w:footnote>
  <w:footnote w:id="537">
    <w:p w14:paraId="4759D268" w14:textId="77777777" w:rsidR="00182EED" w:rsidRDefault="00182EED" w:rsidP="00094F64">
      <w:pPr>
        <w:pStyle w:val="FootnoteText"/>
      </w:pPr>
      <w:r w:rsidRPr="00591949">
        <w:rPr>
          <w:rStyle w:val="FootnoteReference"/>
        </w:rPr>
        <w:footnoteRef/>
      </w:r>
      <w:r>
        <w:t xml:space="preserve"> </w:t>
      </w:r>
      <w:r w:rsidRPr="007F5978">
        <w:rPr>
          <w:color w:val="000000"/>
          <w:lang w:val="en-US"/>
        </w:rPr>
        <w:t xml:space="preserve">Luke Syson, “Representing Domestic Interiors,” in </w:t>
      </w:r>
      <w:r w:rsidRPr="007F5978">
        <w:rPr>
          <w:i/>
          <w:iCs/>
          <w:color w:val="000000"/>
          <w:lang w:val="en-US"/>
        </w:rPr>
        <w:t>At Home in Renaissance Italy</w:t>
      </w:r>
      <w:r w:rsidRPr="007F5978">
        <w:rPr>
          <w:color w:val="000000"/>
          <w:lang w:val="en-US"/>
        </w:rPr>
        <w:t xml:space="preserve">, ed. Marta </w:t>
      </w:r>
      <w:proofErr w:type="spellStart"/>
      <w:r w:rsidRPr="007F5978">
        <w:rPr>
          <w:color w:val="000000"/>
          <w:lang w:val="en-US"/>
        </w:rPr>
        <w:t>Ajmar-Wollheim</w:t>
      </w:r>
      <w:proofErr w:type="spellEnd"/>
      <w:r w:rsidRPr="007F5978">
        <w:rPr>
          <w:color w:val="000000"/>
          <w:lang w:val="en-US"/>
        </w:rPr>
        <w:t xml:space="preserve"> and Flora Dennis (London: V&amp;A Publications, 2006), 100.</w:t>
      </w:r>
    </w:p>
  </w:footnote>
  <w:footnote w:id="538">
    <w:p w14:paraId="5BE9B8CB" w14:textId="77777777" w:rsidR="00182EED" w:rsidRDefault="00182EED" w:rsidP="00094F64">
      <w:pPr>
        <w:pStyle w:val="FootnoteText"/>
      </w:pPr>
      <w:r w:rsidRPr="00591949">
        <w:rPr>
          <w:rStyle w:val="FootnoteReference"/>
        </w:rPr>
        <w:footnoteRef/>
      </w:r>
      <w:r>
        <w:t xml:space="preserve"> </w:t>
      </w:r>
      <w:r w:rsidRPr="003B3380">
        <w:rPr>
          <w:color w:val="000000"/>
          <w:lang w:val="en-US"/>
        </w:rPr>
        <w:t xml:space="preserve">Caroline </w:t>
      </w:r>
      <w:proofErr w:type="spellStart"/>
      <w:r w:rsidRPr="003B3380">
        <w:rPr>
          <w:color w:val="000000"/>
          <w:lang w:val="en-US"/>
        </w:rPr>
        <w:t>Corisande</w:t>
      </w:r>
      <w:proofErr w:type="spellEnd"/>
      <w:r w:rsidRPr="003B3380">
        <w:rPr>
          <w:color w:val="000000"/>
          <w:lang w:val="en-US"/>
        </w:rPr>
        <w:t xml:space="preserve"> Anderson, “The Material Culture of Domestic Religion in Early Modern Florence, c.1480 - c.1650” (University of York, 2007), 105.</w:t>
      </w:r>
    </w:p>
  </w:footnote>
  <w:footnote w:id="539">
    <w:p w14:paraId="30633BDB" w14:textId="77777777" w:rsidR="00182EED" w:rsidRDefault="00182EED" w:rsidP="00094F64">
      <w:pPr>
        <w:pStyle w:val="FootnoteText"/>
      </w:pPr>
      <w:r w:rsidRPr="00591949">
        <w:rPr>
          <w:rStyle w:val="FootnoteReference"/>
        </w:rPr>
        <w:footnoteRef/>
      </w:r>
      <w:r>
        <w:t xml:space="preserve"> </w:t>
      </w:r>
      <w:r w:rsidRPr="003B3380">
        <w:rPr>
          <w:color w:val="000000"/>
          <w:lang w:val="en-US"/>
        </w:rPr>
        <w:t>Shephard, “A Mirror for Princes,” 104–5.</w:t>
      </w:r>
    </w:p>
  </w:footnote>
  <w:footnote w:id="540">
    <w:p w14:paraId="69FC20EA" w14:textId="77777777" w:rsidR="00182EED" w:rsidRDefault="00182EED" w:rsidP="00094F64">
      <w:pPr>
        <w:pStyle w:val="FootnoteText"/>
      </w:pPr>
      <w:r w:rsidRPr="00591949">
        <w:rPr>
          <w:rStyle w:val="FootnoteReference"/>
        </w:rPr>
        <w:footnoteRef/>
      </w:r>
      <w:r>
        <w:t xml:space="preserve"> </w:t>
      </w:r>
      <w:r>
        <w:rPr>
          <w:noProof/>
        </w:rPr>
        <w:t>Ibid.</w:t>
      </w:r>
    </w:p>
  </w:footnote>
  <w:footnote w:id="541">
    <w:p w14:paraId="0887A17B" w14:textId="77777777" w:rsidR="00182EED" w:rsidRDefault="00182EED" w:rsidP="00094F64">
      <w:pPr>
        <w:pStyle w:val="FootnoteText"/>
      </w:pPr>
      <w:r w:rsidRPr="00591949">
        <w:rPr>
          <w:rStyle w:val="FootnoteReference"/>
        </w:rPr>
        <w:footnoteRef/>
      </w:r>
      <w:r>
        <w:t xml:space="preserve"> </w:t>
      </w:r>
      <w:r w:rsidRPr="003B3380">
        <w:rPr>
          <w:color w:val="000000"/>
          <w:lang w:val="en-US"/>
        </w:rPr>
        <w:t>“</w:t>
      </w:r>
      <w:r>
        <w:rPr>
          <w:color w:val="000000"/>
          <w:lang w:val="en-US"/>
        </w:rPr>
        <w:t>N</w:t>
      </w:r>
      <w:r w:rsidRPr="003B3380">
        <w:rPr>
          <w:color w:val="000000"/>
          <w:lang w:val="en-US"/>
        </w:rPr>
        <w:t xml:space="preserve">ella </w:t>
      </w:r>
      <w:proofErr w:type="spellStart"/>
      <w:r w:rsidRPr="003B3380">
        <w:rPr>
          <w:color w:val="000000"/>
          <w:lang w:val="en-US"/>
        </w:rPr>
        <w:t>giovaneza</w:t>
      </w:r>
      <w:proofErr w:type="spellEnd"/>
      <w:r w:rsidRPr="003B3380">
        <w:rPr>
          <w:color w:val="000000"/>
          <w:lang w:val="en-US"/>
        </w:rPr>
        <w:t xml:space="preserve">, </w:t>
      </w:r>
      <w:proofErr w:type="spellStart"/>
      <w:r w:rsidRPr="003B3380">
        <w:rPr>
          <w:color w:val="000000"/>
          <w:lang w:val="en-US"/>
        </w:rPr>
        <w:t>quando</w:t>
      </w:r>
      <w:proofErr w:type="spellEnd"/>
      <w:r w:rsidRPr="003B3380">
        <w:rPr>
          <w:color w:val="000000"/>
          <w:lang w:val="en-US"/>
        </w:rPr>
        <w:t xml:space="preserve"> </w:t>
      </w:r>
      <w:proofErr w:type="spellStart"/>
      <w:r w:rsidRPr="003B3380">
        <w:rPr>
          <w:color w:val="000000"/>
          <w:lang w:val="en-US"/>
        </w:rPr>
        <w:t>già</w:t>
      </w:r>
      <w:proofErr w:type="spellEnd"/>
      <w:r w:rsidRPr="003B3380">
        <w:rPr>
          <w:color w:val="000000"/>
          <w:lang w:val="en-US"/>
        </w:rPr>
        <w:t xml:space="preserve"> </w:t>
      </w:r>
      <w:proofErr w:type="spellStart"/>
      <w:r w:rsidRPr="003B3380">
        <w:rPr>
          <w:color w:val="000000"/>
          <w:lang w:val="en-US"/>
        </w:rPr>
        <w:t>si</w:t>
      </w:r>
      <w:proofErr w:type="spellEnd"/>
      <w:r w:rsidRPr="003B3380">
        <w:rPr>
          <w:color w:val="000000"/>
          <w:lang w:val="en-US"/>
        </w:rPr>
        <w:t xml:space="preserve"> </w:t>
      </w:r>
      <w:proofErr w:type="spellStart"/>
      <w:r w:rsidRPr="003B3380">
        <w:rPr>
          <w:color w:val="000000"/>
          <w:lang w:val="en-US"/>
        </w:rPr>
        <w:t>conosce</w:t>
      </w:r>
      <w:proofErr w:type="spellEnd"/>
      <w:r w:rsidRPr="003B3380">
        <w:rPr>
          <w:color w:val="000000"/>
          <w:lang w:val="en-US"/>
        </w:rPr>
        <w:t xml:space="preserve"> </w:t>
      </w:r>
      <w:proofErr w:type="spellStart"/>
      <w:r w:rsidRPr="003B3380">
        <w:rPr>
          <w:color w:val="000000"/>
          <w:lang w:val="en-US"/>
        </w:rPr>
        <w:t>il</w:t>
      </w:r>
      <w:proofErr w:type="spellEnd"/>
      <w:r w:rsidRPr="003B3380">
        <w:rPr>
          <w:color w:val="000000"/>
          <w:lang w:val="en-US"/>
        </w:rPr>
        <w:t xml:space="preserve"> bene e </w:t>
      </w:r>
      <w:proofErr w:type="spellStart"/>
      <w:r w:rsidRPr="003B3380">
        <w:rPr>
          <w:color w:val="000000"/>
          <w:lang w:val="en-US"/>
        </w:rPr>
        <w:t>il</w:t>
      </w:r>
      <w:proofErr w:type="spellEnd"/>
      <w:r w:rsidRPr="003B3380">
        <w:rPr>
          <w:color w:val="000000"/>
          <w:lang w:val="en-US"/>
        </w:rPr>
        <w:t xml:space="preserve"> male, </w:t>
      </w:r>
      <w:proofErr w:type="spellStart"/>
      <w:r w:rsidRPr="003B3380">
        <w:rPr>
          <w:color w:val="000000"/>
          <w:lang w:val="en-US"/>
        </w:rPr>
        <w:t>dicono</w:t>
      </w:r>
      <w:proofErr w:type="spellEnd"/>
      <w:r w:rsidRPr="003B3380">
        <w:rPr>
          <w:color w:val="000000"/>
          <w:lang w:val="en-US"/>
        </w:rPr>
        <w:t xml:space="preserve"> </w:t>
      </w:r>
      <w:proofErr w:type="spellStart"/>
      <w:r w:rsidRPr="003B3380">
        <w:rPr>
          <w:color w:val="000000"/>
          <w:lang w:val="en-US"/>
        </w:rPr>
        <w:t>cominciare</w:t>
      </w:r>
      <w:proofErr w:type="spellEnd"/>
      <w:r w:rsidRPr="003B3380">
        <w:rPr>
          <w:color w:val="000000"/>
          <w:lang w:val="en-US"/>
        </w:rPr>
        <w:t xml:space="preserve"> le </w:t>
      </w:r>
      <w:proofErr w:type="spellStart"/>
      <w:r w:rsidRPr="003B3380">
        <w:rPr>
          <w:color w:val="000000"/>
          <w:lang w:val="en-US"/>
        </w:rPr>
        <w:t>dua</w:t>
      </w:r>
      <w:proofErr w:type="spellEnd"/>
      <w:r w:rsidRPr="003B3380">
        <w:rPr>
          <w:color w:val="000000"/>
          <w:lang w:val="en-US"/>
        </w:rPr>
        <w:t xml:space="preserve"> vie del Y, </w:t>
      </w:r>
      <w:proofErr w:type="spellStart"/>
      <w:r w:rsidRPr="003B3380">
        <w:rPr>
          <w:color w:val="000000"/>
          <w:lang w:val="en-US"/>
        </w:rPr>
        <w:t>cioè</w:t>
      </w:r>
      <w:proofErr w:type="spellEnd"/>
      <w:r w:rsidRPr="003B3380">
        <w:rPr>
          <w:color w:val="000000"/>
          <w:lang w:val="en-US"/>
        </w:rPr>
        <w:t xml:space="preserve"> </w:t>
      </w:r>
      <w:proofErr w:type="spellStart"/>
      <w:r w:rsidRPr="003B3380">
        <w:rPr>
          <w:color w:val="000000"/>
          <w:lang w:val="en-US"/>
        </w:rPr>
        <w:t>della</w:t>
      </w:r>
      <w:proofErr w:type="spellEnd"/>
      <w:r w:rsidRPr="003B3380">
        <w:rPr>
          <w:color w:val="000000"/>
          <w:lang w:val="en-US"/>
        </w:rPr>
        <w:t xml:space="preserve"> nostra vita, in </w:t>
      </w:r>
      <w:proofErr w:type="spellStart"/>
      <w:r w:rsidRPr="003B3380">
        <w:rPr>
          <w:color w:val="000000"/>
          <w:lang w:val="en-US"/>
        </w:rPr>
        <w:t>nel</w:t>
      </w:r>
      <w:proofErr w:type="spellEnd"/>
      <w:r w:rsidRPr="003B3380">
        <w:rPr>
          <w:color w:val="000000"/>
          <w:lang w:val="en-US"/>
        </w:rPr>
        <w:t xml:space="preserve"> quale tempo o </w:t>
      </w:r>
      <w:proofErr w:type="spellStart"/>
      <w:r w:rsidRPr="003B3380">
        <w:rPr>
          <w:color w:val="000000"/>
          <w:lang w:val="en-US"/>
        </w:rPr>
        <w:t>gl’uomini</w:t>
      </w:r>
      <w:proofErr w:type="spellEnd"/>
      <w:r w:rsidRPr="003B3380">
        <w:rPr>
          <w:color w:val="000000"/>
          <w:lang w:val="en-US"/>
        </w:rPr>
        <w:t xml:space="preserve"> </w:t>
      </w:r>
      <w:proofErr w:type="spellStart"/>
      <w:r w:rsidRPr="003B3380">
        <w:rPr>
          <w:color w:val="000000"/>
          <w:lang w:val="en-US"/>
        </w:rPr>
        <w:t>seguitano</w:t>
      </w:r>
      <w:proofErr w:type="spellEnd"/>
      <w:r w:rsidRPr="003B3380">
        <w:rPr>
          <w:color w:val="000000"/>
          <w:lang w:val="en-US"/>
        </w:rPr>
        <w:t xml:space="preserve"> la via </w:t>
      </w:r>
      <w:proofErr w:type="spellStart"/>
      <w:r w:rsidRPr="003B3380">
        <w:rPr>
          <w:color w:val="000000"/>
          <w:lang w:val="en-US"/>
        </w:rPr>
        <w:t>più</w:t>
      </w:r>
      <w:proofErr w:type="spellEnd"/>
      <w:r w:rsidRPr="003B3380">
        <w:rPr>
          <w:color w:val="000000"/>
          <w:lang w:val="en-US"/>
        </w:rPr>
        <w:t xml:space="preserve"> </w:t>
      </w:r>
      <w:proofErr w:type="spellStart"/>
      <w:r w:rsidRPr="003B3380">
        <w:rPr>
          <w:color w:val="000000"/>
          <w:lang w:val="en-US"/>
        </w:rPr>
        <w:t>ritta</w:t>
      </w:r>
      <w:proofErr w:type="spellEnd"/>
      <w:r w:rsidRPr="003B3380">
        <w:rPr>
          <w:color w:val="000000"/>
          <w:lang w:val="en-US"/>
        </w:rPr>
        <w:t xml:space="preserve">, </w:t>
      </w:r>
      <w:proofErr w:type="spellStart"/>
      <w:r w:rsidRPr="003B3380">
        <w:rPr>
          <w:color w:val="000000"/>
          <w:lang w:val="en-US"/>
        </w:rPr>
        <w:t>cioè</w:t>
      </w:r>
      <w:proofErr w:type="spellEnd"/>
      <w:r w:rsidRPr="003B3380">
        <w:rPr>
          <w:color w:val="000000"/>
          <w:lang w:val="en-US"/>
        </w:rPr>
        <w:t xml:space="preserve"> </w:t>
      </w:r>
      <w:proofErr w:type="spellStart"/>
      <w:r w:rsidRPr="003B3380">
        <w:rPr>
          <w:color w:val="000000"/>
          <w:lang w:val="en-US"/>
        </w:rPr>
        <w:t>delle</w:t>
      </w:r>
      <w:proofErr w:type="spellEnd"/>
      <w:r w:rsidRPr="003B3380">
        <w:rPr>
          <w:color w:val="000000"/>
          <w:lang w:val="en-US"/>
        </w:rPr>
        <w:t xml:space="preserve"> </w:t>
      </w:r>
      <w:proofErr w:type="spellStart"/>
      <w:r w:rsidRPr="003B3380">
        <w:rPr>
          <w:color w:val="000000"/>
          <w:lang w:val="en-US"/>
        </w:rPr>
        <w:t>virtù</w:t>
      </w:r>
      <w:proofErr w:type="spellEnd"/>
      <w:r w:rsidRPr="003B3380">
        <w:rPr>
          <w:color w:val="000000"/>
          <w:lang w:val="en-US"/>
        </w:rPr>
        <w:t xml:space="preserve">, o </w:t>
      </w:r>
      <w:proofErr w:type="spellStart"/>
      <w:r w:rsidRPr="003B3380">
        <w:rPr>
          <w:color w:val="000000"/>
          <w:lang w:val="en-US"/>
        </w:rPr>
        <w:t>veramente</w:t>
      </w:r>
      <w:proofErr w:type="spellEnd"/>
      <w:r w:rsidRPr="003B3380">
        <w:rPr>
          <w:color w:val="000000"/>
          <w:lang w:val="en-US"/>
        </w:rPr>
        <w:t xml:space="preserve"> se ne </w:t>
      </w:r>
      <w:proofErr w:type="spellStart"/>
      <w:r w:rsidRPr="003B3380">
        <w:rPr>
          <w:color w:val="000000"/>
          <w:lang w:val="en-US"/>
        </w:rPr>
        <w:t>vanno</w:t>
      </w:r>
      <w:proofErr w:type="spellEnd"/>
      <w:r w:rsidRPr="003B3380">
        <w:rPr>
          <w:color w:val="000000"/>
          <w:lang w:val="en-US"/>
        </w:rPr>
        <w:t xml:space="preserve"> per la via </w:t>
      </w:r>
      <w:proofErr w:type="spellStart"/>
      <w:r w:rsidRPr="003B3380">
        <w:rPr>
          <w:color w:val="000000"/>
          <w:lang w:val="en-US"/>
        </w:rPr>
        <w:t>piana</w:t>
      </w:r>
      <w:proofErr w:type="spellEnd"/>
      <w:r w:rsidRPr="003B3380">
        <w:rPr>
          <w:color w:val="000000"/>
          <w:lang w:val="en-US"/>
        </w:rPr>
        <w:t xml:space="preserve"> et </w:t>
      </w:r>
      <w:proofErr w:type="spellStart"/>
      <w:r w:rsidRPr="003B3380">
        <w:rPr>
          <w:color w:val="000000"/>
          <w:lang w:val="en-US"/>
        </w:rPr>
        <w:t>più</w:t>
      </w:r>
      <w:proofErr w:type="spellEnd"/>
      <w:r w:rsidRPr="003B3380">
        <w:rPr>
          <w:color w:val="000000"/>
          <w:lang w:val="en-US"/>
        </w:rPr>
        <w:t xml:space="preserve"> </w:t>
      </w:r>
      <w:proofErr w:type="spellStart"/>
      <w:r w:rsidRPr="003B3380">
        <w:rPr>
          <w:color w:val="000000"/>
          <w:lang w:val="en-US"/>
        </w:rPr>
        <w:t>bassa</w:t>
      </w:r>
      <w:proofErr w:type="spellEnd"/>
      <w:r w:rsidRPr="003B3380">
        <w:rPr>
          <w:color w:val="000000"/>
          <w:lang w:val="en-US"/>
        </w:rPr>
        <w:t xml:space="preserve"> de’ </w:t>
      </w:r>
      <w:proofErr w:type="spellStart"/>
      <w:r w:rsidRPr="003B3380">
        <w:rPr>
          <w:color w:val="000000"/>
          <w:lang w:val="en-US"/>
        </w:rPr>
        <w:t>vitii</w:t>
      </w:r>
      <w:proofErr w:type="spellEnd"/>
      <w:r w:rsidRPr="003B3380">
        <w:rPr>
          <w:color w:val="000000"/>
          <w:lang w:val="en-US"/>
        </w:rPr>
        <w:t xml:space="preserve">.” Matteo Palmieri, </w:t>
      </w:r>
      <w:r w:rsidRPr="003B3380">
        <w:rPr>
          <w:i/>
          <w:iCs/>
          <w:color w:val="000000"/>
          <w:lang w:val="en-US"/>
        </w:rPr>
        <w:t xml:space="preserve">Vita </w:t>
      </w:r>
      <w:proofErr w:type="spellStart"/>
      <w:r w:rsidRPr="003B3380">
        <w:rPr>
          <w:i/>
          <w:iCs/>
          <w:color w:val="000000"/>
          <w:lang w:val="en-US"/>
        </w:rPr>
        <w:t>Civile</w:t>
      </w:r>
      <w:proofErr w:type="spellEnd"/>
      <w:r w:rsidRPr="003B3380">
        <w:rPr>
          <w:color w:val="000000"/>
          <w:lang w:val="en-US"/>
        </w:rPr>
        <w:t xml:space="preserve">, ed. Gino </w:t>
      </w:r>
      <w:proofErr w:type="spellStart"/>
      <w:r w:rsidRPr="003B3380">
        <w:rPr>
          <w:color w:val="000000"/>
          <w:lang w:val="en-US"/>
        </w:rPr>
        <w:t>Belloni</w:t>
      </w:r>
      <w:proofErr w:type="spellEnd"/>
      <w:r w:rsidRPr="003B3380">
        <w:rPr>
          <w:color w:val="000000"/>
          <w:lang w:val="en-US"/>
        </w:rPr>
        <w:t xml:space="preserve"> (Florence: </w:t>
      </w:r>
      <w:proofErr w:type="spellStart"/>
      <w:r w:rsidRPr="003B3380">
        <w:rPr>
          <w:color w:val="000000"/>
          <w:lang w:val="en-US"/>
        </w:rPr>
        <w:t>Sansoni</w:t>
      </w:r>
      <w:proofErr w:type="spellEnd"/>
      <w:r w:rsidRPr="003B3380">
        <w:rPr>
          <w:color w:val="000000"/>
          <w:lang w:val="en-US"/>
        </w:rPr>
        <w:t>, 1982), 32.</w:t>
      </w:r>
    </w:p>
  </w:footnote>
  <w:footnote w:id="542">
    <w:p w14:paraId="564A9172" w14:textId="77777777" w:rsidR="00182EED" w:rsidRDefault="00182EED" w:rsidP="00094F64">
      <w:pPr>
        <w:pStyle w:val="FootnoteText"/>
      </w:pPr>
      <w:r w:rsidRPr="00591949">
        <w:rPr>
          <w:rStyle w:val="FootnoteReference"/>
        </w:rPr>
        <w:footnoteRef/>
      </w:r>
      <w:r>
        <w:t xml:space="preserve"> </w:t>
      </w:r>
      <w:r w:rsidRPr="001720D3">
        <w:rPr>
          <w:color w:val="000000"/>
          <w:lang w:val="en-US"/>
        </w:rPr>
        <w:t xml:space="preserve">Anderson, “The Material Culture of Domestic Religion in Early Modern Florence, c.1480 - c.1650,” 106; Luke Syson and Dora Thornton, </w:t>
      </w:r>
      <w:r w:rsidRPr="001720D3">
        <w:rPr>
          <w:i/>
          <w:iCs/>
          <w:color w:val="000000"/>
          <w:lang w:val="en-US"/>
        </w:rPr>
        <w:t>Objects of Virtue: Art in Renaissance Italy</w:t>
      </w:r>
      <w:r w:rsidRPr="001720D3">
        <w:rPr>
          <w:color w:val="000000"/>
          <w:lang w:val="en-US"/>
        </w:rPr>
        <w:t xml:space="preserve"> (London: The British Museum Press, 2001), 51–52; John Pope-Hennessy, “A </w:t>
      </w:r>
      <w:proofErr w:type="spellStart"/>
      <w:r w:rsidRPr="001720D3">
        <w:rPr>
          <w:color w:val="000000"/>
          <w:lang w:val="en-US"/>
        </w:rPr>
        <w:t>Cartapesta</w:t>
      </w:r>
      <w:proofErr w:type="spellEnd"/>
      <w:r w:rsidRPr="001720D3">
        <w:rPr>
          <w:color w:val="000000"/>
          <w:lang w:val="en-US"/>
        </w:rPr>
        <w:t xml:space="preserve"> Mirror Frame,” </w:t>
      </w:r>
      <w:r w:rsidRPr="001720D3">
        <w:rPr>
          <w:i/>
          <w:iCs/>
          <w:color w:val="000000"/>
          <w:lang w:val="en-US"/>
        </w:rPr>
        <w:t>The Burlington Magazine</w:t>
      </w:r>
      <w:r w:rsidRPr="001720D3">
        <w:rPr>
          <w:color w:val="000000"/>
          <w:lang w:val="en-US"/>
        </w:rPr>
        <w:t xml:space="preserve"> 92, no. 571 (October 1950): 291.</w:t>
      </w:r>
    </w:p>
  </w:footnote>
  <w:footnote w:id="543">
    <w:p w14:paraId="05BAB13D" w14:textId="77777777" w:rsidR="00182EED" w:rsidRDefault="00182EED" w:rsidP="00094F64">
      <w:pPr>
        <w:pStyle w:val="FootnoteText"/>
      </w:pPr>
      <w:r w:rsidRPr="00591949">
        <w:rPr>
          <w:rStyle w:val="FootnoteReference"/>
        </w:rPr>
        <w:footnoteRef/>
      </w:r>
      <w:r>
        <w:t xml:space="preserve"> </w:t>
      </w:r>
      <w:r w:rsidRPr="001720D3">
        <w:rPr>
          <w:color w:val="000000"/>
          <w:lang w:val="en-US"/>
        </w:rPr>
        <w:t xml:space="preserve">“In his omnibus </w:t>
      </w:r>
      <w:proofErr w:type="spellStart"/>
      <w:r w:rsidRPr="001720D3">
        <w:rPr>
          <w:color w:val="000000"/>
          <w:lang w:val="en-US"/>
        </w:rPr>
        <w:t>interna</w:t>
      </w:r>
      <w:proofErr w:type="spellEnd"/>
      <w:r w:rsidRPr="001720D3">
        <w:rPr>
          <w:color w:val="000000"/>
          <w:lang w:val="en-US"/>
        </w:rPr>
        <w:t xml:space="preserve"> </w:t>
      </w:r>
      <w:proofErr w:type="spellStart"/>
      <w:r w:rsidRPr="001720D3">
        <w:rPr>
          <w:color w:val="000000"/>
          <w:lang w:val="en-US"/>
        </w:rPr>
        <w:t>perfectio</w:t>
      </w:r>
      <w:proofErr w:type="spellEnd"/>
      <w:r w:rsidRPr="001720D3">
        <w:rPr>
          <w:color w:val="000000"/>
          <w:lang w:val="en-US"/>
        </w:rPr>
        <w:t xml:space="preserve"> </w:t>
      </w:r>
      <w:proofErr w:type="spellStart"/>
      <w:r w:rsidRPr="001720D3">
        <w:rPr>
          <w:color w:val="000000"/>
          <w:lang w:val="en-US"/>
        </w:rPr>
        <w:t>producit</w:t>
      </w:r>
      <w:proofErr w:type="spellEnd"/>
      <w:r w:rsidRPr="001720D3">
        <w:rPr>
          <w:color w:val="000000"/>
          <w:lang w:val="en-US"/>
        </w:rPr>
        <w:t xml:space="preserve"> externa. </w:t>
      </w:r>
      <w:proofErr w:type="spellStart"/>
      <w:r w:rsidRPr="001720D3">
        <w:rPr>
          <w:color w:val="000000"/>
          <w:lang w:val="en-US"/>
        </w:rPr>
        <w:t>Illam</w:t>
      </w:r>
      <w:proofErr w:type="spellEnd"/>
      <w:r w:rsidRPr="001720D3">
        <w:rPr>
          <w:color w:val="000000"/>
          <w:lang w:val="en-US"/>
        </w:rPr>
        <w:t xml:space="preserve"> </w:t>
      </w:r>
      <w:proofErr w:type="spellStart"/>
      <w:r w:rsidRPr="001720D3">
        <w:rPr>
          <w:color w:val="000000"/>
          <w:lang w:val="en-US"/>
        </w:rPr>
        <w:t>bonitatem</w:t>
      </w:r>
      <w:proofErr w:type="spellEnd"/>
      <w:r w:rsidRPr="001720D3">
        <w:rPr>
          <w:color w:val="000000"/>
          <w:lang w:val="en-US"/>
        </w:rPr>
        <w:t xml:space="preserve">, </w:t>
      </w:r>
      <w:proofErr w:type="spellStart"/>
      <w:r w:rsidRPr="001720D3">
        <w:rPr>
          <w:color w:val="000000"/>
          <w:lang w:val="en-US"/>
        </w:rPr>
        <w:t>hanc</w:t>
      </w:r>
      <w:proofErr w:type="spellEnd"/>
      <w:r w:rsidRPr="001720D3">
        <w:rPr>
          <w:color w:val="000000"/>
          <w:lang w:val="en-US"/>
        </w:rPr>
        <w:t xml:space="preserve"> </w:t>
      </w:r>
      <w:proofErr w:type="spellStart"/>
      <w:r w:rsidRPr="001720D3">
        <w:rPr>
          <w:color w:val="000000"/>
          <w:lang w:val="en-US"/>
        </w:rPr>
        <w:t>pulchritudinem</w:t>
      </w:r>
      <w:proofErr w:type="spellEnd"/>
      <w:r w:rsidRPr="001720D3">
        <w:rPr>
          <w:color w:val="000000"/>
          <w:lang w:val="en-US"/>
        </w:rPr>
        <w:t xml:space="preserve"> possum </w:t>
      </w:r>
      <w:proofErr w:type="spellStart"/>
      <w:r w:rsidRPr="001720D3">
        <w:rPr>
          <w:color w:val="000000"/>
          <w:lang w:val="en-US"/>
        </w:rPr>
        <w:t>appellare</w:t>
      </w:r>
      <w:proofErr w:type="spellEnd"/>
      <w:r w:rsidRPr="001720D3">
        <w:rPr>
          <w:color w:val="000000"/>
          <w:lang w:val="en-US"/>
        </w:rPr>
        <w:t xml:space="preserve">. </w:t>
      </w:r>
      <w:proofErr w:type="spellStart"/>
      <w:r w:rsidRPr="001720D3">
        <w:rPr>
          <w:color w:val="000000"/>
          <w:lang w:val="en-US"/>
        </w:rPr>
        <w:t>Quocirca</w:t>
      </w:r>
      <w:proofErr w:type="spellEnd"/>
      <w:r w:rsidRPr="001720D3">
        <w:rPr>
          <w:color w:val="000000"/>
          <w:lang w:val="en-US"/>
        </w:rPr>
        <w:t xml:space="preserve"> </w:t>
      </w:r>
      <w:proofErr w:type="spellStart"/>
      <w:r w:rsidRPr="001720D3">
        <w:rPr>
          <w:color w:val="000000"/>
          <w:lang w:val="en-US"/>
        </w:rPr>
        <w:t>bonitatis</w:t>
      </w:r>
      <w:proofErr w:type="spellEnd"/>
      <w:r w:rsidRPr="001720D3">
        <w:rPr>
          <w:color w:val="000000"/>
          <w:lang w:val="en-US"/>
        </w:rPr>
        <w:t xml:space="preserve"> </w:t>
      </w:r>
      <w:proofErr w:type="spellStart"/>
      <w:r w:rsidRPr="001720D3">
        <w:rPr>
          <w:color w:val="000000"/>
          <w:lang w:val="en-US"/>
        </w:rPr>
        <w:t>florem</w:t>
      </w:r>
      <w:proofErr w:type="spellEnd"/>
      <w:r w:rsidRPr="001720D3">
        <w:rPr>
          <w:color w:val="000000"/>
          <w:lang w:val="en-US"/>
        </w:rPr>
        <w:t xml:space="preserve"> </w:t>
      </w:r>
      <w:proofErr w:type="spellStart"/>
      <w:r w:rsidRPr="001720D3">
        <w:rPr>
          <w:color w:val="000000"/>
          <w:lang w:val="en-US"/>
        </w:rPr>
        <w:t>quendam</w:t>
      </w:r>
      <w:proofErr w:type="spellEnd"/>
      <w:r w:rsidRPr="001720D3">
        <w:rPr>
          <w:color w:val="000000"/>
          <w:lang w:val="en-US"/>
        </w:rPr>
        <w:t xml:space="preserve"> </w:t>
      </w:r>
      <w:proofErr w:type="spellStart"/>
      <w:r w:rsidRPr="001720D3">
        <w:rPr>
          <w:color w:val="000000"/>
          <w:lang w:val="en-US"/>
        </w:rPr>
        <w:t>esse</w:t>
      </w:r>
      <w:proofErr w:type="spellEnd"/>
      <w:r w:rsidRPr="001720D3">
        <w:rPr>
          <w:color w:val="000000"/>
          <w:lang w:val="en-US"/>
        </w:rPr>
        <w:t xml:space="preserve"> </w:t>
      </w:r>
      <w:proofErr w:type="spellStart"/>
      <w:r w:rsidRPr="001720D3">
        <w:rPr>
          <w:color w:val="000000"/>
          <w:lang w:val="en-US"/>
        </w:rPr>
        <w:t>pulchritudinem</w:t>
      </w:r>
      <w:proofErr w:type="spellEnd"/>
      <w:r w:rsidRPr="001720D3">
        <w:rPr>
          <w:color w:val="000000"/>
          <w:lang w:val="en-US"/>
        </w:rPr>
        <w:t xml:space="preserve"> </w:t>
      </w:r>
      <w:proofErr w:type="spellStart"/>
      <w:r w:rsidRPr="001720D3">
        <w:rPr>
          <w:color w:val="000000"/>
          <w:lang w:val="en-US"/>
        </w:rPr>
        <w:t>volumus</w:t>
      </w:r>
      <w:proofErr w:type="spellEnd"/>
      <w:r w:rsidRPr="001720D3">
        <w:rPr>
          <w:color w:val="000000"/>
          <w:lang w:val="en-US"/>
        </w:rPr>
        <w:t xml:space="preserve">, </w:t>
      </w:r>
      <w:proofErr w:type="spellStart"/>
      <w:r w:rsidRPr="001720D3">
        <w:rPr>
          <w:color w:val="000000"/>
          <w:lang w:val="en-US"/>
        </w:rPr>
        <w:t>cuius</w:t>
      </w:r>
      <w:proofErr w:type="spellEnd"/>
      <w:r w:rsidRPr="001720D3">
        <w:rPr>
          <w:color w:val="000000"/>
          <w:lang w:val="en-US"/>
        </w:rPr>
        <w:t xml:space="preserve"> </w:t>
      </w:r>
      <w:proofErr w:type="spellStart"/>
      <w:r w:rsidRPr="001720D3">
        <w:rPr>
          <w:color w:val="000000"/>
          <w:lang w:val="en-US"/>
        </w:rPr>
        <w:t>floris</w:t>
      </w:r>
      <w:proofErr w:type="spellEnd"/>
      <w:r w:rsidRPr="001720D3">
        <w:rPr>
          <w:color w:val="000000"/>
          <w:lang w:val="en-US"/>
        </w:rPr>
        <w:t xml:space="preserve"> </w:t>
      </w:r>
      <w:proofErr w:type="spellStart"/>
      <w:r w:rsidRPr="001720D3">
        <w:rPr>
          <w:color w:val="000000"/>
          <w:lang w:val="en-US"/>
        </w:rPr>
        <w:t>illecebris</w:t>
      </w:r>
      <w:proofErr w:type="spellEnd"/>
      <w:r w:rsidRPr="001720D3">
        <w:rPr>
          <w:color w:val="000000"/>
          <w:lang w:val="en-US"/>
        </w:rPr>
        <w:t xml:space="preserve">, quasi esca </w:t>
      </w:r>
      <w:proofErr w:type="spellStart"/>
      <w:r w:rsidRPr="001720D3">
        <w:rPr>
          <w:color w:val="000000"/>
          <w:lang w:val="en-US"/>
        </w:rPr>
        <w:t>quadam</w:t>
      </w:r>
      <w:proofErr w:type="spellEnd"/>
      <w:r w:rsidRPr="001720D3">
        <w:rPr>
          <w:color w:val="000000"/>
          <w:lang w:val="en-US"/>
        </w:rPr>
        <w:t xml:space="preserve">, </w:t>
      </w:r>
      <w:proofErr w:type="spellStart"/>
      <w:r w:rsidRPr="001720D3">
        <w:rPr>
          <w:color w:val="000000"/>
          <w:lang w:val="en-US"/>
        </w:rPr>
        <w:t>latens</w:t>
      </w:r>
      <w:proofErr w:type="spellEnd"/>
      <w:r w:rsidRPr="001720D3">
        <w:rPr>
          <w:color w:val="000000"/>
          <w:lang w:val="en-US"/>
        </w:rPr>
        <w:t xml:space="preserve"> </w:t>
      </w:r>
      <w:proofErr w:type="spellStart"/>
      <w:r w:rsidRPr="001720D3">
        <w:rPr>
          <w:color w:val="000000"/>
          <w:lang w:val="en-US"/>
        </w:rPr>
        <w:t>interius</w:t>
      </w:r>
      <w:proofErr w:type="spellEnd"/>
      <w:r w:rsidRPr="001720D3">
        <w:rPr>
          <w:color w:val="000000"/>
          <w:lang w:val="en-US"/>
        </w:rPr>
        <w:t xml:space="preserve"> </w:t>
      </w:r>
      <w:proofErr w:type="spellStart"/>
      <w:r w:rsidRPr="001720D3">
        <w:rPr>
          <w:color w:val="000000"/>
          <w:lang w:val="en-US"/>
        </w:rPr>
        <w:t>bonitas</w:t>
      </w:r>
      <w:proofErr w:type="spellEnd"/>
      <w:r w:rsidRPr="001720D3">
        <w:rPr>
          <w:color w:val="000000"/>
          <w:lang w:val="en-US"/>
        </w:rPr>
        <w:t xml:space="preserve"> </w:t>
      </w:r>
      <w:proofErr w:type="spellStart"/>
      <w:r w:rsidRPr="001720D3">
        <w:rPr>
          <w:color w:val="000000"/>
          <w:lang w:val="en-US"/>
        </w:rPr>
        <w:t>allicit</w:t>
      </w:r>
      <w:proofErr w:type="spellEnd"/>
      <w:r w:rsidRPr="001720D3">
        <w:rPr>
          <w:color w:val="000000"/>
          <w:lang w:val="en-US"/>
        </w:rPr>
        <w:t xml:space="preserve"> </w:t>
      </w:r>
      <w:proofErr w:type="spellStart"/>
      <w:r w:rsidRPr="001720D3">
        <w:rPr>
          <w:color w:val="000000"/>
          <w:lang w:val="en-US"/>
        </w:rPr>
        <w:t>intuentes</w:t>
      </w:r>
      <w:proofErr w:type="spellEnd"/>
      <w:r w:rsidRPr="001720D3">
        <w:rPr>
          <w:color w:val="000000"/>
          <w:lang w:val="en-US"/>
        </w:rPr>
        <w:t xml:space="preserve">. Quoniam </w:t>
      </w:r>
      <w:proofErr w:type="spellStart"/>
      <w:r w:rsidRPr="001720D3">
        <w:rPr>
          <w:color w:val="000000"/>
          <w:lang w:val="en-US"/>
        </w:rPr>
        <w:t>vero</w:t>
      </w:r>
      <w:proofErr w:type="spellEnd"/>
      <w:r w:rsidRPr="001720D3">
        <w:rPr>
          <w:color w:val="000000"/>
          <w:lang w:val="en-US"/>
        </w:rPr>
        <w:t xml:space="preserve"> </w:t>
      </w:r>
      <w:proofErr w:type="spellStart"/>
      <w:r w:rsidRPr="001720D3">
        <w:rPr>
          <w:color w:val="000000"/>
          <w:lang w:val="en-US"/>
        </w:rPr>
        <w:t>nostrae</w:t>
      </w:r>
      <w:proofErr w:type="spellEnd"/>
      <w:r w:rsidRPr="001720D3">
        <w:rPr>
          <w:color w:val="000000"/>
          <w:lang w:val="en-US"/>
        </w:rPr>
        <w:t xml:space="preserve"> mentis </w:t>
      </w:r>
      <w:proofErr w:type="spellStart"/>
      <w:r w:rsidRPr="001720D3">
        <w:rPr>
          <w:color w:val="000000"/>
          <w:lang w:val="en-US"/>
        </w:rPr>
        <w:t>cognitio</w:t>
      </w:r>
      <w:proofErr w:type="spellEnd"/>
      <w:r w:rsidRPr="001720D3">
        <w:rPr>
          <w:color w:val="000000"/>
          <w:lang w:val="en-US"/>
        </w:rPr>
        <w:t xml:space="preserve"> a </w:t>
      </w:r>
      <w:proofErr w:type="spellStart"/>
      <w:r w:rsidRPr="001720D3">
        <w:rPr>
          <w:color w:val="000000"/>
          <w:lang w:val="en-US"/>
        </w:rPr>
        <w:t>sensibus</w:t>
      </w:r>
      <w:proofErr w:type="spellEnd"/>
      <w:r w:rsidRPr="001720D3">
        <w:rPr>
          <w:color w:val="000000"/>
          <w:lang w:val="en-US"/>
        </w:rPr>
        <w:t xml:space="preserve"> </w:t>
      </w:r>
      <w:proofErr w:type="spellStart"/>
      <w:r w:rsidRPr="001720D3">
        <w:rPr>
          <w:color w:val="000000"/>
          <w:lang w:val="en-US"/>
        </w:rPr>
        <w:t>ducit</w:t>
      </w:r>
      <w:proofErr w:type="spellEnd"/>
      <w:r w:rsidRPr="001720D3">
        <w:rPr>
          <w:color w:val="000000"/>
          <w:lang w:val="en-US"/>
        </w:rPr>
        <w:t xml:space="preserve"> </w:t>
      </w:r>
      <w:proofErr w:type="spellStart"/>
      <w:r w:rsidRPr="001720D3">
        <w:rPr>
          <w:color w:val="000000"/>
          <w:lang w:val="en-US"/>
        </w:rPr>
        <w:t>originem</w:t>
      </w:r>
      <w:proofErr w:type="spellEnd"/>
      <w:r w:rsidRPr="001720D3">
        <w:rPr>
          <w:color w:val="000000"/>
          <w:lang w:val="en-US"/>
        </w:rPr>
        <w:t xml:space="preserve">, </w:t>
      </w:r>
      <w:proofErr w:type="spellStart"/>
      <w:r w:rsidRPr="001720D3">
        <w:rPr>
          <w:color w:val="000000"/>
          <w:lang w:val="en-US"/>
        </w:rPr>
        <w:t>bonitatem</w:t>
      </w:r>
      <w:proofErr w:type="spellEnd"/>
      <w:r w:rsidRPr="001720D3">
        <w:rPr>
          <w:color w:val="000000"/>
          <w:lang w:val="en-US"/>
        </w:rPr>
        <w:t xml:space="preserve"> </w:t>
      </w:r>
      <w:proofErr w:type="spellStart"/>
      <w:r w:rsidRPr="001720D3">
        <w:rPr>
          <w:color w:val="000000"/>
          <w:lang w:val="en-US"/>
        </w:rPr>
        <w:t>ipsam</w:t>
      </w:r>
      <w:proofErr w:type="spellEnd"/>
      <w:r w:rsidRPr="001720D3">
        <w:rPr>
          <w:color w:val="000000"/>
          <w:lang w:val="en-US"/>
        </w:rPr>
        <w:t xml:space="preserve"> in rerum </w:t>
      </w:r>
      <w:proofErr w:type="spellStart"/>
      <w:r w:rsidRPr="001720D3">
        <w:rPr>
          <w:color w:val="000000"/>
          <w:lang w:val="en-US"/>
        </w:rPr>
        <w:t>penetralibus</w:t>
      </w:r>
      <w:proofErr w:type="spellEnd"/>
      <w:r w:rsidRPr="001720D3">
        <w:rPr>
          <w:color w:val="000000"/>
          <w:lang w:val="en-US"/>
        </w:rPr>
        <w:t xml:space="preserve"> </w:t>
      </w:r>
      <w:proofErr w:type="spellStart"/>
      <w:r w:rsidRPr="001720D3">
        <w:rPr>
          <w:color w:val="000000"/>
          <w:lang w:val="en-US"/>
        </w:rPr>
        <w:t>insitam</w:t>
      </w:r>
      <w:proofErr w:type="spellEnd"/>
      <w:r w:rsidRPr="001720D3">
        <w:rPr>
          <w:color w:val="000000"/>
          <w:lang w:val="en-US"/>
        </w:rPr>
        <w:t xml:space="preserve"> </w:t>
      </w:r>
      <w:proofErr w:type="spellStart"/>
      <w:r w:rsidRPr="001720D3">
        <w:rPr>
          <w:color w:val="000000"/>
          <w:lang w:val="en-US"/>
        </w:rPr>
        <w:t>nec</w:t>
      </w:r>
      <w:proofErr w:type="spellEnd"/>
      <w:r w:rsidRPr="001720D3">
        <w:rPr>
          <w:color w:val="000000"/>
          <w:lang w:val="en-US"/>
        </w:rPr>
        <w:t xml:space="preserve"> </w:t>
      </w:r>
      <w:proofErr w:type="spellStart"/>
      <w:r w:rsidRPr="001720D3">
        <w:rPr>
          <w:color w:val="000000"/>
          <w:lang w:val="en-US"/>
        </w:rPr>
        <w:t>intelligeremus</w:t>
      </w:r>
      <w:proofErr w:type="spellEnd"/>
      <w:r w:rsidRPr="001720D3">
        <w:rPr>
          <w:color w:val="000000"/>
          <w:lang w:val="en-US"/>
        </w:rPr>
        <w:t xml:space="preserve"> </w:t>
      </w:r>
      <w:proofErr w:type="spellStart"/>
      <w:r w:rsidRPr="001720D3">
        <w:rPr>
          <w:color w:val="000000"/>
          <w:lang w:val="en-US"/>
        </w:rPr>
        <w:t>umquam</w:t>
      </w:r>
      <w:proofErr w:type="spellEnd"/>
      <w:r w:rsidRPr="001720D3">
        <w:rPr>
          <w:color w:val="000000"/>
          <w:lang w:val="en-US"/>
        </w:rPr>
        <w:t xml:space="preserve">, </w:t>
      </w:r>
      <w:proofErr w:type="spellStart"/>
      <w:r w:rsidRPr="001720D3">
        <w:rPr>
          <w:color w:val="000000"/>
          <w:lang w:val="en-US"/>
        </w:rPr>
        <w:t>neque</w:t>
      </w:r>
      <w:proofErr w:type="spellEnd"/>
      <w:r w:rsidRPr="001720D3">
        <w:rPr>
          <w:color w:val="000000"/>
          <w:lang w:val="en-US"/>
        </w:rPr>
        <w:t xml:space="preserve"> </w:t>
      </w:r>
      <w:proofErr w:type="spellStart"/>
      <w:r w:rsidRPr="001720D3">
        <w:rPr>
          <w:color w:val="000000"/>
          <w:lang w:val="en-US"/>
        </w:rPr>
        <w:t>appeteremus</w:t>
      </w:r>
      <w:proofErr w:type="spellEnd"/>
      <w:r w:rsidRPr="001720D3">
        <w:rPr>
          <w:color w:val="000000"/>
          <w:lang w:val="en-US"/>
        </w:rPr>
        <w:t xml:space="preserve">, nisi ad </w:t>
      </w:r>
      <w:proofErr w:type="spellStart"/>
      <w:r w:rsidRPr="001720D3">
        <w:rPr>
          <w:color w:val="000000"/>
          <w:lang w:val="en-US"/>
        </w:rPr>
        <w:t>eam</w:t>
      </w:r>
      <w:proofErr w:type="spellEnd"/>
      <w:r w:rsidRPr="001720D3">
        <w:rPr>
          <w:color w:val="000000"/>
          <w:lang w:val="en-US"/>
        </w:rPr>
        <w:t xml:space="preserve"> </w:t>
      </w:r>
      <w:proofErr w:type="spellStart"/>
      <w:r w:rsidRPr="001720D3">
        <w:rPr>
          <w:color w:val="000000"/>
          <w:lang w:val="en-US"/>
        </w:rPr>
        <w:t>speciei</w:t>
      </w:r>
      <w:proofErr w:type="spellEnd"/>
      <w:r w:rsidRPr="001720D3">
        <w:rPr>
          <w:color w:val="000000"/>
          <w:lang w:val="en-US"/>
        </w:rPr>
        <w:t xml:space="preserve"> </w:t>
      </w:r>
      <w:proofErr w:type="spellStart"/>
      <w:r w:rsidRPr="001720D3">
        <w:rPr>
          <w:color w:val="000000"/>
          <w:lang w:val="en-US"/>
        </w:rPr>
        <w:t>exterioris</w:t>
      </w:r>
      <w:proofErr w:type="spellEnd"/>
      <w:r w:rsidRPr="001720D3">
        <w:rPr>
          <w:color w:val="000000"/>
          <w:lang w:val="en-US"/>
        </w:rPr>
        <w:t xml:space="preserve"> </w:t>
      </w:r>
      <w:proofErr w:type="spellStart"/>
      <w:r w:rsidRPr="001720D3">
        <w:rPr>
          <w:color w:val="000000"/>
          <w:lang w:val="en-US"/>
        </w:rPr>
        <w:t>indiciis</w:t>
      </w:r>
      <w:proofErr w:type="spellEnd"/>
      <w:r w:rsidRPr="001720D3">
        <w:rPr>
          <w:color w:val="000000"/>
          <w:lang w:val="en-US"/>
        </w:rPr>
        <w:t xml:space="preserve"> </w:t>
      </w:r>
      <w:proofErr w:type="spellStart"/>
      <w:r w:rsidRPr="001720D3">
        <w:rPr>
          <w:color w:val="000000"/>
          <w:lang w:val="en-US"/>
        </w:rPr>
        <w:t>manifestis</w:t>
      </w:r>
      <w:proofErr w:type="spellEnd"/>
      <w:r w:rsidRPr="001720D3">
        <w:rPr>
          <w:color w:val="000000"/>
          <w:lang w:val="en-US"/>
        </w:rPr>
        <w:t xml:space="preserve"> </w:t>
      </w:r>
      <w:proofErr w:type="spellStart"/>
      <w:r w:rsidRPr="001720D3">
        <w:rPr>
          <w:color w:val="000000"/>
          <w:lang w:val="en-US"/>
        </w:rPr>
        <w:t>proveheremur</w:t>
      </w:r>
      <w:proofErr w:type="spellEnd"/>
      <w:r w:rsidRPr="001720D3">
        <w:rPr>
          <w:color w:val="000000"/>
          <w:lang w:val="en-US"/>
        </w:rPr>
        <w:t xml:space="preserve">.” </w:t>
      </w:r>
      <w:proofErr w:type="spellStart"/>
      <w:r w:rsidRPr="001720D3">
        <w:rPr>
          <w:i/>
          <w:iCs/>
          <w:color w:val="000000"/>
          <w:lang w:val="en-US"/>
        </w:rPr>
        <w:t>Marsilio</w:t>
      </w:r>
      <w:proofErr w:type="spellEnd"/>
      <w:r w:rsidRPr="001720D3">
        <w:rPr>
          <w:i/>
          <w:iCs/>
          <w:color w:val="000000"/>
          <w:lang w:val="en-US"/>
        </w:rPr>
        <w:t xml:space="preserve"> Ficino’s Commentary on Plato’s Symposium</w:t>
      </w:r>
      <w:r w:rsidRPr="001720D3">
        <w:rPr>
          <w:color w:val="000000"/>
          <w:lang w:val="en-US"/>
        </w:rPr>
        <w:t xml:space="preserve">, </w:t>
      </w:r>
      <w:r>
        <w:rPr>
          <w:color w:val="000000"/>
          <w:lang w:val="en-US"/>
        </w:rPr>
        <w:t>ed. and t</w:t>
      </w:r>
      <w:r w:rsidRPr="001720D3">
        <w:rPr>
          <w:color w:val="000000"/>
          <w:lang w:val="en-US"/>
        </w:rPr>
        <w:t xml:space="preserve">rans. Sears Reynolds Jayne (Columbia: University of Missouri, 1944), </w:t>
      </w:r>
      <w:proofErr w:type="spellStart"/>
      <w:r w:rsidRPr="001720D3">
        <w:rPr>
          <w:color w:val="000000"/>
          <w:lang w:val="en-US"/>
        </w:rPr>
        <w:t>Oratio</w:t>
      </w:r>
      <w:proofErr w:type="spellEnd"/>
      <w:r w:rsidRPr="001720D3">
        <w:rPr>
          <w:color w:val="000000"/>
          <w:lang w:val="en-US"/>
        </w:rPr>
        <w:t xml:space="preserve"> Quinta, capitulum I, 64; English translation from ibid., Fifth Speech, chapter 1, 164-165; see also Syson and Thornton, </w:t>
      </w:r>
      <w:r w:rsidRPr="001720D3">
        <w:rPr>
          <w:i/>
          <w:iCs/>
          <w:color w:val="000000"/>
          <w:lang w:val="en-US"/>
        </w:rPr>
        <w:t>Objects of Virtue</w:t>
      </w:r>
      <w:r w:rsidRPr="001720D3">
        <w:rPr>
          <w:color w:val="000000"/>
          <w:lang w:val="en-US"/>
        </w:rPr>
        <w:t>, 51.</w:t>
      </w:r>
    </w:p>
  </w:footnote>
  <w:footnote w:id="544">
    <w:p w14:paraId="662E1712" w14:textId="77777777" w:rsidR="00182EED" w:rsidRDefault="00182EED" w:rsidP="00094F64">
      <w:pPr>
        <w:pStyle w:val="FootnoteText"/>
      </w:pPr>
      <w:r w:rsidRPr="00591949">
        <w:rPr>
          <w:rStyle w:val="FootnoteReference"/>
        </w:rPr>
        <w:footnoteRef/>
      </w:r>
      <w:r>
        <w:t xml:space="preserve"> </w:t>
      </w:r>
      <w:r w:rsidRPr="001720D3">
        <w:rPr>
          <w:color w:val="000000"/>
          <w:lang w:val="en-US"/>
        </w:rPr>
        <w:t xml:space="preserve">On </w:t>
      </w:r>
      <w:proofErr w:type="spellStart"/>
      <w:r w:rsidRPr="001720D3">
        <w:rPr>
          <w:color w:val="000000"/>
          <w:lang w:val="en-US"/>
        </w:rPr>
        <w:t>Baldassarre</w:t>
      </w:r>
      <w:proofErr w:type="spellEnd"/>
      <w:r w:rsidRPr="001720D3">
        <w:rPr>
          <w:color w:val="000000"/>
          <w:lang w:val="en-US"/>
        </w:rPr>
        <w:t xml:space="preserve"> </w:t>
      </w:r>
      <w:proofErr w:type="spellStart"/>
      <w:r w:rsidRPr="001720D3">
        <w:rPr>
          <w:color w:val="000000"/>
          <w:lang w:val="en-US"/>
        </w:rPr>
        <w:t>degli</w:t>
      </w:r>
      <w:proofErr w:type="spellEnd"/>
      <w:r w:rsidRPr="001720D3">
        <w:rPr>
          <w:color w:val="000000"/>
          <w:lang w:val="en-US"/>
        </w:rPr>
        <w:t xml:space="preserve"> </w:t>
      </w:r>
      <w:proofErr w:type="spellStart"/>
      <w:r w:rsidRPr="001720D3">
        <w:rPr>
          <w:color w:val="000000"/>
          <w:lang w:val="en-US"/>
        </w:rPr>
        <w:t>Embriachi’s</w:t>
      </w:r>
      <w:proofErr w:type="spellEnd"/>
      <w:r w:rsidRPr="001720D3">
        <w:rPr>
          <w:color w:val="000000"/>
          <w:lang w:val="en-US"/>
        </w:rPr>
        <w:t xml:space="preserve"> mirrors see Ellen </w:t>
      </w:r>
      <w:proofErr w:type="spellStart"/>
      <w:r w:rsidRPr="001720D3">
        <w:rPr>
          <w:color w:val="000000"/>
          <w:lang w:val="en-US"/>
        </w:rPr>
        <w:t>Callmann</w:t>
      </w:r>
      <w:proofErr w:type="spellEnd"/>
      <w:r w:rsidRPr="001720D3">
        <w:rPr>
          <w:color w:val="000000"/>
          <w:lang w:val="en-US"/>
        </w:rPr>
        <w:t xml:space="preserve">, </w:t>
      </w:r>
      <w:r w:rsidRPr="001720D3">
        <w:rPr>
          <w:i/>
          <w:iCs/>
          <w:color w:val="000000"/>
          <w:lang w:val="en-US"/>
        </w:rPr>
        <w:t>Beyond Nobility: Art for the Private Citizen in the Early Renaissance</w:t>
      </w:r>
      <w:r w:rsidRPr="001720D3">
        <w:rPr>
          <w:color w:val="000000"/>
          <w:lang w:val="en-US"/>
        </w:rPr>
        <w:t xml:space="preserve"> (Allentown: Allentown Art Museum, 1980), entry 70: 72-74; on the MET mirror see ibid., entry 69: 71-72.</w:t>
      </w:r>
    </w:p>
  </w:footnote>
  <w:footnote w:id="545">
    <w:p w14:paraId="11380A4C" w14:textId="77777777" w:rsidR="00182EED" w:rsidRDefault="00182EED" w:rsidP="00094F64">
      <w:pPr>
        <w:pStyle w:val="FootnoteText"/>
      </w:pPr>
      <w:r w:rsidRPr="00591949">
        <w:rPr>
          <w:rStyle w:val="FootnoteReference"/>
        </w:rPr>
        <w:footnoteRef/>
      </w:r>
      <w:r>
        <w:t xml:space="preserve"> </w:t>
      </w:r>
      <w:r w:rsidRPr="001720D3">
        <w:rPr>
          <w:color w:val="000000"/>
          <w:lang w:val="en-US"/>
        </w:rPr>
        <w:t xml:space="preserve">Olson, </w:t>
      </w:r>
      <w:r w:rsidRPr="001720D3">
        <w:rPr>
          <w:i/>
          <w:iCs/>
          <w:color w:val="000000"/>
          <w:lang w:val="en-US"/>
        </w:rPr>
        <w:t>The Florentine Tondo</w:t>
      </w:r>
      <w:r w:rsidRPr="001720D3">
        <w:rPr>
          <w:color w:val="000000"/>
          <w:lang w:val="en-US"/>
        </w:rPr>
        <w:t>, 96.</w:t>
      </w:r>
    </w:p>
  </w:footnote>
  <w:footnote w:id="546">
    <w:p w14:paraId="2DEFC9A5" w14:textId="77777777" w:rsidR="00182EED" w:rsidRPr="000F1071" w:rsidRDefault="00182EED" w:rsidP="00094F64">
      <w:pPr>
        <w:pStyle w:val="FootnoteText"/>
      </w:pPr>
      <w:r w:rsidRPr="00591949">
        <w:rPr>
          <w:rStyle w:val="FootnoteReference"/>
        </w:rPr>
        <w:footnoteRef/>
      </w:r>
      <w:r w:rsidRPr="000F1071">
        <w:t xml:space="preserve"> “</w:t>
      </w:r>
      <w:proofErr w:type="spellStart"/>
      <w:r w:rsidRPr="000F1071">
        <w:t>Candor</w:t>
      </w:r>
      <w:proofErr w:type="spellEnd"/>
      <w:r w:rsidRPr="000F1071">
        <w:t xml:space="preserve"> </w:t>
      </w:r>
      <w:proofErr w:type="spellStart"/>
      <w:r w:rsidRPr="000F1071">
        <w:t>est</w:t>
      </w:r>
      <w:proofErr w:type="spellEnd"/>
      <w:r w:rsidRPr="000F1071">
        <w:t xml:space="preserve"> </w:t>
      </w:r>
      <w:proofErr w:type="spellStart"/>
      <w:r w:rsidRPr="000F1071">
        <w:t>enim</w:t>
      </w:r>
      <w:proofErr w:type="spellEnd"/>
      <w:r w:rsidRPr="000F1071">
        <w:t xml:space="preserve"> </w:t>
      </w:r>
      <w:proofErr w:type="spellStart"/>
      <w:r w:rsidRPr="000F1071">
        <w:t>lucis</w:t>
      </w:r>
      <w:proofErr w:type="spellEnd"/>
      <w:r w:rsidRPr="000F1071">
        <w:t xml:space="preserve"> </w:t>
      </w:r>
      <w:proofErr w:type="spellStart"/>
      <w:r w:rsidRPr="000F1071">
        <w:t>aeternae</w:t>
      </w:r>
      <w:proofErr w:type="spellEnd"/>
      <w:r w:rsidRPr="000F1071">
        <w:t xml:space="preserve">, et speculum sine macula Dei </w:t>
      </w:r>
      <w:proofErr w:type="spellStart"/>
      <w:r w:rsidRPr="000F1071">
        <w:t>majestatis</w:t>
      </w:r>
      <w:proofErr w:type="spellEnd"/>
      <w:r w:rsidRPr="000F1071">
        <w:t xml:space="preserve">, et imago </w:t>
      </w:r>
      <w:proofErr w:type="spellStart"/>
      <w:r w:rsidRPr="000F1071">
        <w:t>bonitatis</w:t>
      </w:r>
      <w:proofErr w:type="spellEnd"/>
      <w:r w:rsidRPr="000F1071">
        <w:t xml:space="preserve"> </w:t>
      </w:r>
      <w:proofErr w:type="spellStart"/>
      <w:r w:rsidRPr="000F1071">
        <w:t>illius</w:t>
      </w:r>
      <w:proofErr w:type="spellEnd"/>
      <w:r w:rsidRPr="000F1071">
        <w:t xml:space="preserve">.” Wisdom, 7:26, Biblia Sacra </w:t>
      </w:r>
      <w:proofErr w:type="spellStart"/>
      <w:r w:rsidRPr="000F1071">
        <w:t>Vulgata</w:t>
      </w:r>
      <w:proofErr w:type="spellEnd"/>
      <w:r w:rsidRPr="000F1071">
        <w:t>. English version from Common English Bible.</w:t>
      </w:r>
    </w:p>
  </w:footnote>
  <w:footnote w:id="547">
    <w:p w14:paraId="63179615" w14:textId="77777777" w:rsidR="00182EED" w:rsidRDefault="00182EED" w:rsidP="00094F64">
      <w:pPr>
        <w:pStyle w:val="FootnoteText"/>
      </w:pPr>
      <w:r w:rsidRPr="00591949">
        <w:rPr>
          <w:rStyle w:val="FootnoteReference"/>
        </w:rPr>
        <w:footnoteRef/>
      </w:r>
      <w:r>
        <w:t xml:space="preserve"> </w:t>
      </w:r>
      <w:r w:rsidRPr="001720D3">
        <w:rPr>
          <w:color w:val="000000"/>
          <w:lang w:val="en-US"/>
        </w:rPr>
        <w:t>“O[</w:t>
      </w:r>
      <w:proofErr w:type="spellStart"/>
      <w:r w:rsidRPr="001720D3">
        <w:rPr>
          <w:color w:val="000000"/>
          <w:lang w:val="en-US"/>
        </w:rPr>
        <w:t>mn</w:t>
      </w:r>
      <w:proofErr w:type="spellEnd"/>
      <w:r w:rsidRPr="001720D3">
        <w:rPr>
          <w:color w:val="000000"/>
          <w:lang w:val="en-US"/>
        </w:rPr>
        <w:t>]</w:t>
      </w:r>
      <w:proofErr w:type="spellStart"/>
      <w:r w:rsidRPr="001720D3">
        <w:rPr>
          <w:color w:val="000000"/>
          <w:lang w:val="en-US"/>
        </w:rPr>
        <w:t>ia</w:t>
      </w:r>
      <w:proofErr w:type="spellEnd"/>
      <w:r w:rsidRPr="001720D3">
        <w:rPr>
          <w:color w:val="000000"/>
          <w:lang w:val="en-US"/>
        </w:rPr>
        <w:t xml:space="preserve"> e[</w:t>
      </w:r>
      <w:proofErr w:type="spellStart"/>
      <w:r w:rsidRPr="001720D3">
        <w:rPr>
          <w:color w:val="000000"/>
          <w:lang w:val="en-US"/>
        </w:rPr>
        <w:t>ni</w:t>
      </w:r>
      <w:proofErr w:type="spellEnd"/>
      <w:r w:rsidRPr="001720D3">
        <w:rPr>
          <w:color w:val="000000"/>
          <w:lang w:val="en-US"/>
        </w:rPr>
        <w:t xml:space="preserve">]m que </w:t>
      </w:r>
      <w:proofErr w:type="spellStart"/>
      <w:r w:rsidRPr="001720D3">
        <w:rPr>
          <w:color w:val="000000"/>
          <w:lang w:val="en-US"/>
        </w:rPr>
        <w:t>su</w:t>
      </w:r>
      <w:proofErr w:type="spellEnd"/>
      <w:r w:rsidRPr="001720D3">
        <w:rPr>
          <w:color w:val="000000"/>
          <w:lang w:val="en-US"/>
        </w:rPr>
        <w:t xml:space="preserve">[n]t in </w:t>
      </w:r>
      <w:proofErr w:type="spellStart"/>
      <w:r w:rsidRPr="001720D3">
        <w:rPr>
          <w:color w:val="000000"/>
          <w:lang w:val="en-US"/>
        </w:rPr>
        <w:t>speculo</w:t>
      </w:r>
      <w:proofErr w:type="spellEnd"/>
      <w:r w:rsidRPr="001720D3">
        <w:rPr>
          <w:color w:val="000000"/>
          <w:lang w:val="en-US"/>
        </w:rPr>
        <w:t xml:space="preserve"> </w:t>
      </w:r>
      <w:proofErr w:type="spellStart"/>
      <w:r w:rsidRPr="001720D3">
        <w:rPr>
          <w:color w:val="000000"/>
          <w:lang w:val="en-US"/>
        </w:rPr>
        <w:t>reluce</w:t>
      </w:r>
      <w:proofErr w:type="spellEnd"/>
      <w:r w:rsidRPr="001720D3">
        <w:rPr>
          <w:color w:val="000000"/>
          <w:lang w:val="en-US"/>
        </w:rPr>
        <w:t>[n]t. Sic in b[</w:t>
      </w:r>
      <w:proofErr w:type="spellStart"/>
      <w:r w:rsidRPr="001720D3">
        <w:rPr>
          <w:color w:val="000000"/>
          <w:lang w:val="en-US"/>
        </w:rPr>
        <w:t>ea</w:t>
      </w:r>
      <w:proofErr w:type="spellEnd"/>
      <w:r w:rsidRPr="001720D3">
        <w:rPr>
          <w:color w:val="000000"/>
          <w:lang w:val="en-US"/>
        </w:rPr>
        <w:t xml:space="preserve">]ta </w:t>
      </w:r>
      <w:proofErr w:type="spellStart"/>
      <w:r w:rsidRPr="001720D3">
        <w:rPr>
          <w:color w:val="000000"/>
          <w:lang w:val="en-US"/>
        </w:rPr>
        <w:t>virgine</w:t>
      </w:r>
      <w:proofErr w:type="spellEnd"/>
      <w:r w:rsidRPr="001720D3">
        <w:rPr>
          <w:color w:val="000000"/>
          <w:lang w:val="en-US"/>
        </w:rPr>
        <w:t xml:space="preserve"> </w:t>
      </w:r>
      <w:proofErr w:type="spellStart"/>
      <w:r w:rsidRPr="001720D3">
        <w:rPr>
          <w:color w:val="000000"/>
          <w:lang w:val="en-US"/>
        </w:rPr>
        <w:t>tanq</w:t>
      </w:r>
      <w:proofErr w:type="spellEnd"/>
      <w:r w:rsidRPr="001720D3">
        <w:rPr>
          <w:color w:val="000000"/>
          <w:lang w:val="en-US"/>
        </w:rPr>
        <w:t>[</w:t>
      </w:r>
      <w:proofErr w:type="spellStart"/>
      <w:r w:rsidRPr="001720D3">
        <w:rPr>
          <w:color w:val="000000"/>
          <w:lang w:val="en-US"/>
        </w:rPr>
        <w:t>ue</w:t>
      </w:r>
      <w:proofErr w:type="spellEnd"/>
      <w:r w:rsidRPr="001720D3">
        <w:rPr>
          <w:color w:val="000000"/>
          <w:lang w:val="en-US"/>
        </w:rPr>
        <w:t xml:space="preserve">] in </w:t>
      </w:r>
      <w:proofErr w:type="spellStart"/>
      <w:r w:rsidRPr="001720D3">
        <w:rPr>
          <w:color w:val="000000"/>
          <w:lang w:val="en-US"/>
        </w:rPr>
        <w:t>speculo</w:t>
      </w:r>
      <w:proofErr w:type="spellEnd"/>
      <w:r w:rsidRPr="001720D3">
        <w:rPr>
          <w:color w:val="000000"/>
          <w:lang w:val="en-US"/>
        </w:rPr>
        <w:t xml:space="preserve"> </w:t>
      </w:r>
      <w:proofErr w:type="spellStart"/>
      <w:r w:rsidRPr="001720D3">
        <w:rPr>
          <w:color w:val="000000"/>
          <w:lang w:val="en-US"/>
        </w:rPr>
        <w:t>dei</w:t>
      </w:r>
      <w:proofErr w:type="spellEnd"/>
      <w:r w:rsidRPr="001720D3">
        <w:rPr>
          <w:color w:val="000000"/>
          <w:lang w:val="en-US"/>
        </w:rPr>
        <w:t xml:space="preserve"> debe[n]t o[</w:t>
      </w:r>
      <w:proofErr w:type="spellStart"/>
      <w:r w:rsidRPr="001720D3">
        <w:rPr>
          <w:color w:val="000000"/>
          <w:lang w:val="en-US"/>
        </w:rPr>
        <w:t>mn</w:t>
      </w:r>
      <w:proofErr w:type="spellEnd"/>
      <w:r w:rsidRPr="001720D3">
        <w:rPr>
          <w:color w:val="000000"/>
          <w:lang w:val="en-US"/>
        </w:rPr>
        <w:t xml:space="preserve">]es </w:t>
      </w:r>
      <w:proofErr w:type="spellStart"/>
      <w:r w:rsidRPr="001720D3">
        <w:rPr>
          <w:color w:val="000000"/>
          <w:lang w:val="en-US"/>
        </w:rPr>
        <w:t>suas</w:t>
      </w:r>
      <w:proofErr w:type="spellEnd"/>
      <w:r w:rsidRPr="001720D3">
        <w:rPr>
          <w:color w:val="000000"/>
          <w:lang w:val="en-US"/>
        </w:rPr>
        <w:t xml:space="preserve"> </w:t>
      </w:r>
      <w:proofErr w:type="spellStart"/>
      <w:r w:rsidRPr="001720D3">
        <w:rPr>
          <w:color w:val="000000"/>
          <w:lang w:val="en-US"/>
        </w:rPr>
        <w:t>impuritates</w:t>
      </w:r>
      <w:proofErr w:type="spellEnd"/>
      <w:r w:rsidRPr="001720D3">
        <w:rPr>
          <w:color w:val="000000"/>
          <w:lang w:val="en-US"/>
        </w:rPr>
        <w:t xml:space="preserve"> et </w:t>
      </w:r>
      <w:proofErr w:type="spellStart"/>
      <w:r w:rsidRPr="001720D3">
        <w:rPr>
          <w:color w:val="000000"/>
          <w:lang w:val="en-US"/>
        </w:rPr>
        <w:t>maculas</w:t>
      </w:r>
      <w:proofErr w:type="spellEnd"/>
      <w:r w:rsidRPr="001720D3">
        <w:rPr>
          <w:color w:val="000000"/>
          <w:lang w:val="en-US"/>
        </w:rPr>
        <w:t xml:space="preserve"> </w:t>
      </w:r>
      <w:proofErr w:type="spellStart"/>
      <w:r w:rsidRPr="001720D3">
        <w:rPr>
          <w:color w:val="000000"/>
          <w:lang w:val="en-US"/>
        </w:rPr>
        <w:t>videre</w:t>
      </w:r>
      <w:proofErr w:type="spellEnd"/>
      <w:r w:rsidRPr="001720D3">
        <w:rPr>
          <w:color w:val="000000"/>
          <w:lang w:val="en-US"/>
        </w:rPr>
        <w:t xml:space="preserve"> et </w:t>
      </w:r>
      <w:proofErr w:type="spellStart"/>
      <w:r w:rsidRPr="001720D3">
        <w:rPr>
          <w:color w:val="000000"/>
          <w:lang w:val="en-US"/>
        </w:rPr>
        <w:t>eas</w:t>
      </w:r>
      <w:proofErr w:type="spellEnd"/>
      <w:r w:rsidRPr="001720D3">
        <w:rPr>
          <w:color w:val="000000"/>
          <w:lang w:val="en-US"/>
        </w:rPr>
        <w:t xml:space="preserve"> </w:t>
      </w:r>
      <w:proofErr w:type="spellStart"/>
      <w:r w:rsidRPr="001720D3">
        <w:rPr>
          <w:color w:val="000000"/>
          <w:lang w:val="en-US"/>
        </w:rPr>
        <w:t>mundare</w:t>
      </w:r>
      <w:proofErr w:type="spellEnd"/>
      <w:r w:rsidRPr="001720D3">
        <w:rPr>
          <w:color w:val="000000"/>
          <w:lang w:val="en-US"/>
        </w:rPr>
        <w:t xml:space="preserve"> et </w:t>
      </w:r>
      <w:proofErr w:type="spellStart"/>
      <w:r w:rsidRPr="001720D3">
        <w:rPr>
          <w:color w:val="000000"/>
          <w:lang w:val="en-US"/>
        </w:rPr>
        <w:t>corrigere</w:t>
      </w:r>
      <w:proofErr w:type="spellEnd"/>
      <w:r w:rsidRPr="001720D3">
        <w:rPr>
          <w:color w:val="000000"/>
          <w:lang w:val="en-US"/>
        </w:rPr>
        <w:t xml:space="preserve">. Nam </w:t>
      </w:r>
      <w:proofErr w:type="spellStart"/>
      <w:r w:rsidRPr="001720D3">
        <w:rPr>
          <w:color w:val="000000"/>
          <w:lang w:val="en-US"/>
        </w:rPr>
        <w:t>superbi</w:t>
      </w:r>
      <w:proofErr w:type="spellEnd"/>
      <w:r w:rsidRPr="001720D3">
        <w:rPr>
          <w:color w:val="000000"/>
          <w:lang w:val="en-US"/>
        </w:rPr>
        <w:t xml:space="preserve"> </w:t>
      </w:r>
      <w:proofErr w:type="spellStart"/>
      <w:r w:rsidRPr="001720D3">
        <w:rPr>
          <w:color w:val="000000"/>
          <w:lang w:val="en-US"/>
        </w:rPr>
        <w:t>ibi</w:t>
      </w:r>
      <w:proofErr w:type="spellEnd"/>
      <w:r w:rsidRPr="001720D3">
        <w:rPr>
          <w:color w:val="000000"/>
          <w:lang w:val="en-US"/>
        </w:rPr>
        <w:t xml:space="preserve"> </w:t>
      </w:r>
      <w:proofErr w:type="spellStart"/>
      <w:r w:rsidRPr="001720D3">
        <w:rPr>
          <w:color w:val="000000"/>
          <w:lang w:val="en-US"/>
        </w:rPr>
        <w:t>cognoscent</w:t>
      </w:r>
      <w:proofErr w:type="spellEnd"/>
      <w:r w:rsidRPr="001720D3">
        <w:rPr>
          <w:color w:val="000000"/>
          <w:lang w:val="en-US"/>
        </w:rPr>
        <w:t xml:space="preserve"> </w:t>
      </w:r>
      <w:proofErr w:type="spellStart"/>
      <w:r w:rsidRPr="001720D3">
        <w:rPr>
          <w:color w:val="000000"/>
          <w:lang w:val="en-US"/>
        </w:rPr>
        <w:t>suas</w:t>
      </w:r>
      <w:proofErr w:type="spellEnd"/>
      <w:r w:rsidRPr="001720D3">
        <w:rPr>
          <w:color w:val="000000"/>
          <w:lang w:val="en-US"/>
        </w:rPr>
        <w:t xml:space="preserve"> </w:t>
      </w:r>
      <w:proofErr w:type="spellStart"/>
      <w:r w:rsidRPr="001720D3">
        <w:rPr>
          <w:color w:val="000000"/>
          <w:lang w:val="en-US"/>
        </w:rPr>
        <w:t>maculas</w:t>
      </w:r>
      <w:proofErr w:type="spellEnd"/>
      <w:r w:rsidRPr="001720D3">
        <w:rPr>
          <w:color w:val="000000"/>
          <w:lang w:val="en-US"/>
        </w:rPr>
        <w:t xml:space="preserve"> </w:t>
      </w:r>
      <w:proofErr w:type="spellStart"/>
      <w:r w:rsidRPr="001720D3">
        <w:rPr>
          <w:color w:val="000000"/>
          <w:lang w:val="en-US"/>
        </w:rPr>
        <w:t>respiciendo</w:t>
      </w:r>
      <w:proofErr w:type="spellEnd"/>
      <w:r w:rsidRPr="001720D3">
        <w:rPr>
          <w:color w:val="000000"/>
          <w:lang w:val="en-US"/>
        </w:rPr>
        <w:t xml:space="preserve"> </w:t>
      </w:r>
      <w:proofErr w:type="spellStart"/>
      <w:r w:rsidRPr="001720D3">
        <w:rPr>
          <w:color w:val="000000"/>
          <w:lang w:val="en-US"/>
        </w:rPr>
        <w:t>ibi</w:t>
      </w:r>
      <w:proofErr w:type="spellEnd"/>
      <w:r w:rsidRPr="001720D3">
        <w:rPr>
          <w:color w:val="000000"/>
          <w:lang w:val="en-US"/>
        </w:rPr>
        <w:t xml:space="preserve"> </w:t>
      </w:r>
      <w:proofErr w:type="spellStart"/>
      <w:r w:rsidRPr="001720D3">
        <w:rPr>
          <w:color w:val="000000"/>
          <w:lang w:val="en-US"/>
        </w:rPr>
        <w:t>ad</w:t>
      </w:r>
      <w:proofErr w:type="spellEnd"/>
      <w:r w:rsidRPr="001720D3">
        <w:rPr>
          <w:color w:val="000000"/>
          <w:lang w:val="en-US"/>
        </w:rPr>
        <w:t xml:space="preserve"> </w:t>
      </w:r>
      <w:proofErr w:type="spellStart"/>
      <w:r w:rsidRPr="001720D3">
        <w:rPr>
          <w:color w:val="000000"/>
          <w:lang w:val="en-US"/>
        </w:rPr>
        <w:t>sua</w:t>
      </w:r>
      <w:proofErr w:type="spellEnd"/>
      <w:r w:rsidRPr="001720D3">
        <w:rPr>
          <w:color w:val="000000"/>
          <w:lang w:val="en-US"/>
        </w:rPr>
        <w:t xml:space="preserve">[m] </w:t>
      </w:r>
      <w:proofErr w:type="spellStart"/>
      <w:r w:rsidRPr="001720D3">
        <w:rPr>
          <w:color w:val="000000"/>
          <w:lang w:val="en-US"/>
        </w:rPr>
        <w:t>humilitatem</w:t>
      </w:r>
      <w:proofErr w:type="spellEnd"/>
      <w:r w:rsidRPr="001720D3">
        <w:rPr>
          <w:color w:val="000000"/>
          <w:lang w:val="en-US"/>
        </w:rPr>
        <w:t xml:space="preserve">[m]. </w:t>
      </w:r>
      <w:proofErr w:type="spellStart"/>
      <w:r w:rsidRPr="001720D3">
        <w:rPr>
          <w:color w:val="000000"/>
          <w:lang w:val="en-US"/>
        </w:rPr>
        <w:t>Avari</w:t>
      </w:r>
      <w:proofErr w:type="spellEnd"/>
      <w:r w:rsidRPr="001720D3">
        <w:rPr>
          <w:color w:val="000000"/>
          <w:lang w:val="en-US"/>
        </w:rPr>
        <w:t xml:space="preserve"> </w:t>
      </w:r>
      <w:proofErr w:type="spellStart"/>
      <w:r w:rsidRPr="001720D3">
        <w:rPr>
          <w:color w:val="000000"/>
          <w:lang w:val="en-US"/>
        </w:rPr>
        <w:t>respiciendo</w:t>
      </w:r>
      <w:proofErr w:type="spellEnd"/>
      <w:r w:rsidRPr="001720D3">
        <w:rPr>
          <w:color w:val="000000"/>
          <w:lang w:val="en-US"/>
        </w:rPr>
        <w:t xml:space="preserve"> </w:t>
      </w:r>
      <w:proofErr w:type="spellStart"/>
      <w:r w:rsidRPr="001720D3">
        <w:rPr>
          <w:color w:val="000000"/>
          <w:lang w:val="en-US"/>
        </w:rPr>
        <w:t>ad</w:t>
      </w:r>
      <w:proofErr w:type="spellEnd"/>
      <w:r w:rsidRPr="001720D3">
        <w:rPr>
          <w:color w:val="000000"/>
          <w:lang w:val="en-US"/>
        </w:rPr>
        <w:t xml:space="preserve"> </w:t>
      </w:r>
      <w:proofErr w:type="spellStart"/>
      <w:r w:rsidRPr="001720D3">
        <w:rPr>
          <w:color w:val="000000"/>
          <w:lang w:val="en-US"/>
        </w:rPr>
        <w:t>suam</w:t>
      </w:r>
      <w:proofErr w:type="spellEnd"/>
      <w:r w:rsidRPr="001720D3">
        <w:rPr>
          <w:color w:val="000000"/>
          <w:lang w:val="en-US"/>
        </w:rPr>
        <w:t xml:space="preserve"> </w:t>
      </w:r>
      <w:proofErr w:type="spellStart"/>
      <w:r w:rsidRPr="001720D3">
        <w:rPr>
          <w:color w:val="000000"/>
          <w:lang w:val="en-US"/>
        </w:rPr>
        <w:t>paupertate</w:t>
      </w:r>
      <w:proofErr w:type="spellEnd"/>
      <w:r w:rsidRPr="001720D3">
        <w:rPr>
          <w:color w:val="000000"/>
          <w:lang w:val="en-US"/>
        </w:rPr>
        <w:t xml:space="preserve">[m]. </w:t>
      </w:r>
      <w:proofErr w:type="spellStart"/>
      <w:r w:rsidRPr="001720D3">
        <w:rPr>
          <w:color w:val="000000"/>
          <w:lang w:val="en-US"/>
        </w:rPr>
        <w:t>Luxuriosi</w:t>
      </w:r>
      <w:proofErr w:type="spellEnd"/>
      <w:r w:rsidRPr="001720D3">
        <w:rPr>
          <w:color w:val="000000"/>
          <w:lang w:val="en-US"/>
        </w:rPr>
        <w:t xml:space="preserve"> </w:t>
      </w:r>
      <w:proofErr w:type="spellStart"/>
      <w:r w:rsidRPr="001720D3">
        <w:rPr>
          <w:color w:val="000000"/>
          <w:lang w:val="en-US"/>
        </w:rPr>
        <w:t>respiciendo</w:t>
      </w:r>
      <w:proofErr w:type="spellEnd"/>
      <w:r w:rsidRPr="001720D3">
        <w:rPr>
          <w:color w:val="000000"/>
          <w:lang w:val="en-US"/>
        </w:rPr>
        <w:t xml:space="preserve"> </w:t>
      </w:r>
      <w:proofErr w:type="spellStart"/>
      <w:r w:rsidRPr="001720D3">
        <w:rPr>
          <w:color w:val="000000"/>
          <w:lang w:val="en-US"/>
        </w:rPr>
        <w:t>ad</w:t>
      </w:r>
      <w:proofErr w:type="spellEnd"/>
      <w:r w:rsidRPr="001720D3">
        <w:rPr>
          <w:color w:val="000000"/>
          <w:lang w:val="en-US"/>
        </w:rPr>
        <w:t xml:space="preserve"> </w:t>
      </w:r>
      <w:proofErr w:type="spellStart"/>
      <w:r w:rsidRPr="001720D3">
        <w:rPr>
          <w:color w:val="000000"/>
          <w:lang w:val="en-US"/>
        </w:rPr>
        <w:t>sua</w:t>
      </w:r>
      <w:proofErr w:type="spellEnd"/>
      <w:r w:rsidRPr="001720D3">
        <w:rPr>
          <w:color w:val="000000"/>
          <w:lang w:val="en-US"/>
        </w:rPr>
        <w:t xml:space="preserve">[m] </w:t>
      </w:r>
      <w:proofErr w:type="spellStart"/>
      <w:r w:rsidRPr="001720D3">
        <w:rPr>
          <w:color w:val="000000"/>
          <w:lang w:val="en-US"/>
        </w:rPr>
        <w:t>virginitate</w:t>
      </w:r>
      <w:proofErr w:type="spellEnd"/>
      <w:r w:rsidRPr="001720D3">
        <w:rPr>
          <w:color w:val="000000"/>
          <w:lang w:val="en-US"/>
        </w:rPr>
        <w:t xml:space="preserve">[m].” Jacobus de </w:t>
      </w:r>
      <w:proofErr w:type="spellStart"/>
      <w:r w:rsidRPr="001720D3">
        <w:rPr>
          <w:color w:val="000000"/>
          <w:lang w:val="en-US"/>
        </w:rPr>
        <w:t>Voragine</w:t>
      </w:r>
      <w:proofErr w:type="spellEnd"/>
      <w:r w:rsidRPr="001720D3">
        <w:rPr>
          <w:color w:val="000000"/>
          <w:lang w:val="en-US"/>
        </w:rPr>
        <w:t xml:space="preserve">, </w:t>
      </w:r>
      <w:proofErr w:type="spellStart"/>
      <w:r w:rsidRPr="001720D3">
        <w:rPr>
          <w:i/>
          <w:iCs/>
          <w:color w:val="000000"/>
          <w:lang w:val="en-US"/>
        </w:rPr>
        <w:t>Mariale</w:t>
      </w:r>
      <w:proofErr w:type="spellEnd"/>
      <w:r w:rsidRPr="001720D3">
        <w:rPr>
          <w:i/>
          <w:iCs/>
          <w:color w:val="000000"/>
          <w:lang w:val="en-US"/>
        </w:rPr>
        <w:t xml:space="preserve"> </w:t>
      </w:r>
      <w:proofErr w:type="spellStart"/>
      <w:r w:rsidRPr="001720D3">
        <w:rPr>
          <w:i/>
          <w:iCs/>
          <w:color w:val="000000"/>
          <w:lang w:val="en-US"/>
        </w:rPr>
        <w:t>Sive</w:t>
      </w:r>
      <w:proofErr w:type="spellEnd"/>
      <w:r w:rsidRPr="001720D3">
        <w:rPr>
          <w:i/>
          <w:iCs/>
          <w:color w:val="000000"/>
          <w:lang w:val="en-US"/>
        </w:rPr>
        <w:t xml:space="preserve"> </w:t>
      </w:r>
      <w:proofErr w:type="spellStart"/>
      <w:r w:rsidRPr="001720D3">
        <w:rPr>
          <w:i/>
          <w:iCs/>
          <w:color w:val="000000"/>
          <w:lang w:val="en-US"/>
        </w:rPr>
        <w:t>Sermones</w:t>
      </w:r>
      <w:proofErr w:type="spellEnd"/>
      <w:r w:rsidRPr="001720D3">
        <w:rPr>
          <w:i/>
          <w:iCs/>
          <w:color w:val="000000"/>
          <w:lang w:val="en-US"/>
        </w:rPr>
        <w:t xml:space="preserve"> de </w:t>
      </w:r>
      <w:proofErr w:type="spellStart"/>
      <w:r w:rsidRPr="001720D3">
        <w:rPr>
          <w:i/>
          <w:iCs/>
          <w:color w:val="000000"/>
          <w:lang w:val="en-US"/>
        </w:rPr>
        <w:t>Veata</w:t>
      </w:r>
      <w:proofErr w:type="spellEnd"/>
      <w:r w:rsidRPr="001720D3">
        <w:rPr>
          <w:i/>
          <w:iCs/>
          <w:color w:val="000000"/>
          <w:lang w:val="en-US"/>
        </w:rPr>
        <w:t xml:space="preserve"> Maria </w:t>
      </w:r>
      <w:proofErr w:type="spellStart"/>
      <w:r w:rsidRPr="001720D3">
        <w:rPr>
          <w:i/>
          <w:iCs/>
          <w:color w:val="000000"/>
          <w:lang w:val="en-US"/>
        </w:rPr>
        <w:t>Virgine</w:t>
      </w:r>
      <w:proofErr w:type="spellEnd"/>
      <w:r w:rsidRPr="001720D3">
        <w:rPr>
          <w:color w:val="000000"/>
          <w:lang w:val="en-US"/>
        </w:rPr>
        <w:t xml:space="preserve"> (Paris, 1503), </w:t>
      </w:r>
      <w:proofErr w:type="spellStart"/>
      <w:r w:rsidRPr="001720D3">
        <w:rPr>
          <w:color w:val="000000"/>
          <w:lang w:val="en-US"/>
        </w:rPr>
        <w:t>sermo</w:t>
      </w:r>
      <w:proofErr w:type="spellEnd"/>
      <w:r w:rsidRPr="001720D3">
        <w:rPr>
          <w:color w:val="000000"/>
          <w:lang w:val="en-US"/>
        </w:rPr>
        <w:t xml:space="preserve"> VII, f. 83; English translation from Ernest Cushing Richardson, ed., </w:t>
      </w:r>
      <w:r w:rsidRPr="001720D3">
        <w:rPr>
          <w:i/>
          <w:iCs/>
          <w:color w:val="000000"/>
          <w:lang w:val="en-US"/>
        </w:rPr>
        <w:t xml:space="preserve">Materials for a Life of Jacopo Da </w:t>
      </w:r>
      <w:proofErr w:type="spellStart"/>
      <w:r w:rsidRPr="001720D3">
        <w:rPr>
          <w:i/>
          <w:iCs/>
          <w:color w:val="000000"/>
          <w:lang w:val="en-US"/>
        </w:rPr>
        <w:t>Voragine</w:t>
      </w:r>
      <w:proofErr w:type="spellEnd"/>
      <w:r w:rsidRPr="001720D3">
        <w:rPr>
          <w:color w:val="000000"/>
          <w:lang w:val="en-US"/>
        </w:rPr>
        <w:t xml:space="preserve">, vol. 2 (New York: H.W. Wilson, 1935), 66; Partially quoted in Olson, </w:t>
      </w:r>
      <w:r w:rsidRPr="001720D3">
        <w:rPr>
          <w:i/>
          <w:iCs/>
          <w:color w:val="000000"/>
          <w:lang w:val="en-US"/>
        </w:rPr>
        <w:t>The Florentine Tondo</w:t>
      </w:r>
      <w:r w:rsidRPr="001720D3">
        <w:rPr>
          <w:color w:val="000000"/>
          <w:lang w:val="en-US"/>
        </w:rPr>
        <w:t>, 96, where it is incorrectly reported as being from the sixth sermon.</w:t>
      </w:r>
    </w:p>
  </w:footnote>
  <w:footnote w:id="548">
    <w:p w14:paraId="1AE586FD" w14:textId="77777777" w:rsidR="00182EED" w:rsidRDefault="00182EED" w:rsidP="00094F64">
      <w:pPr>
        <w:pStyle w:val="FootnoteText"/>
      </w:pPr>
      <w:r w:rsidRPr="00591949">
        <w:rPr>
          <w:rStyle w:val="FootnoteReference"/>
        </w:rPr>
        <w:footnoteRef/>
      </w:r>
      <w:r>
        <w:t xml:space="preserve"> </w:t>
      </w:r>
      <w:r w:rsidRPr="001720D3">
        <w:rPr>
          <w:color w:val="000000"/>
          <w:lang w:val="en-US"/>
        </w:rPr>
        <w:t xml:space="preserve">“Angelus </w:t>
      </w:r>
      <w:proofErr w:type="spellStart"/>
      <w:r w:rsidRPr="001720D3">
        <w:rPr>
          <w:color w:val="000000"/>
          <w:lang w:val="en-US"/>
        </w:rPr>
        <w:t>est</w:t>
      </w:r>
      <w:proofErr w:type="spellEnd"/>
      <w:r w:rsidRPr="001720D3">
        <w:rPr>
          <w:color w:val="000000"/>
          <w:lang w:val="en-US"/>
        </w:rPr>
        <w:t xml:space="preserve"> </w:t>
      </w:r>
      <w:proofErr w:type="spellStart"/>
      <w:r w:rsidRPr="001720D3">
        <w:rPr>
          <w:color w:val="000000"/>
          <w:lang w:val="en-US"/>
        </w:rPr>
        <w:t>manifestatio</w:t>
      </w:r>
      <w:proofErr w:type="spellEnd"/>
      <w:r w:rsidRPr="001720D3">
        <w:rPr>
          <w:color w:val="000000"/>
          <w:lang w:val="en-US"/>
        </w:rPr>
        <w:t xml:space="preserve"> </w:t>
      </w:r>
      <w:proofErr w:type="spellStart"/>
      <w:r w:rsidRPr="001720D3">
        <w:rPr>
          <w:color w:val="000000"/>
          <w:lang w:val="en-US"/>
        </w:rPr>
        <w:t>occulti</w:t>
      </w:r>
      <w:proofErr w:type="spellEnd"/>
      <w:r w:rsidRPr="001720D3">
        <w:rPr>
          <w:color w:val="000000"/>
          <w:lang w:val="en-US"/>
        </w:rPr>
        <w:t xml:space="preserve"> </w:t>
      </w:r>
      <w:proofErr w:type="spellStart"/>
      <w:r w:rsidRPr="001720D3">
        <w:rPr>
          <w:color w:val="000000"/>
          <w:lang w:val="en-US"/>
        </w:rPr>
        <w:t>luminis,speculum</w:t>
      </w:r>
      <w:proofErr w:type="spellEnd"/>
      <w:r w:rsidRPr="001720D3">
        <w:rPr>
          <w:color w:val="000000"/>
          <w:lang w:val="en-US"/>
        </w:rPr>
        <w:t xml:space="preserve"> </w:t>
      </w:r>
      <w:proofErr w:type="spellStart"/>
      <w:r w:rsidRPr="001720D3">
        <w:rPr>
          <w:color w:val="000000"/>
          <w:lang w:val="en-US"/>
        </w:rPr>
        <w:t>purum</w:t>
      </w:r>
      <w:proofErr w:type="spellEnd"/>
      <w:r w:rsidRPr="001720D3">
        <w:rPr>
          <w:color w:val="000000"/>
          <w:lang w:val="en-US"/>
        </w:rPr>
        <w:t xml:space="preserve">, </w:t>
      </w:r>
      <w:proofErr w:type="spellStart"/>
      <w:r w:rsidRPr="001720D3">
        <w:rPr>
          <w:color w:val="000000"/>
          <w:lang w:val="en-US"/>
        </w:rPr>
        <w:t>clarissimum</w:t>
      </w:r>
      <w:proofErr w:type="spellEnd"/>
      <w:r w:rsidRPr="001720D3">
        <w:rPr>
          <w:color w:val="000000"/>
          <w:lang w:val="en-US"/>
        </w:rPr>
        <w:t xml:space="preserve">, </w:t>
      </w:r>
      <w:proofErr w:type="spellStart"/>
      <w:r w:rsidRPr="001720D3">
        <w:rPr>
          <w:color w:val="000000"/>
          <w:lang w:val="en-US"/>
        </w:rPr>
        <w:t>incontaminatum</w:t>
      </w:r>
      <w:proofErr w:type="spellEnd"/>
      <w:r w:rsidRPr="001720D3">
        <w:rPr>
          <w:color w:val="000000"/>
          <w:lang w:val="en-US"/>
        </w:rPr>
        <w:t xml:space="preserve">, </w:t>
      </w:r>
      <w:proofErr w:type="spellStart"/>
      <w:r w:rsidRPr="001720D3">
        <w:rPr>
          <w:color w:val="000000"/>
          <w:lang w:val="en-US"/>
        </w:rPr>
        <w:t>incoinquinatum</w:t>
      </w:r>
      <w:proofErr w:type="spellEnd"/>
      <w:r w:rsidRPr="001720D3">
        <w:rPr>
          <w:color w:val="000000"/>
          <w:lang w:val="en-US"/>
        </w:rPr>
        <w:t xml:space="preserve">, </w:t>
      </w:r>
      <w:proofErr w:type="spellStart"/>
      <w:r w:rsidRPr="001720D3">
        <w:rPr>
          <w:color w:val="000000"/>
          <w:lang w:val="en-US"/>
        </w:rPr>
        <w:t>immaculatum</w:t>
      </w:r>
      <w:proofErr w:type="spellEnd"/>
      <w:r w:rsidRPr="001720D3">
        <w:rPr>
          <w:color w:val="000000"/>
          <w:lang w:val="en-US"/>
        </w:rPr>
        <w:t xml:space="preserve">, </w:t>
      </w:r>
      <w:proofErr w:type="spellStart"/>
      <w:r w:rsidRPr="001720D3">
        <w:rPr>
          <w:color w:val="000000"/>
          <w:lang w:val="en-US"/>
        </w:rPr>
        <w:t>suscipiens</w:t>
      </w:r>
      <w:proofErr w:type="spellEnd"/>
      <w:r w:rsidRPr="001720D3">
        <w:rPr>
          <w:color w:val="000000"/>
          <w:lang w:val="en-US"/>
        </w:rPr>
        <w:t xml:space="preserve">, </w:t>
      </w:r>
      <w:proofErr w:type="spellStart"/>
      <w:r w:rsidRPr="001720D3">
        <w:rPr>
          <w:color w:val="000000"/>
          <w:lang w:val="en-US"/>
        </w:rPr>
        <w:t>si</w:t>
      </w:r>
      <w:proofErr w:type="spellEnd"/>
      <w:r w:rsidRPr="001720D3">
        <w:rPr>
          <w:color w:val="000000"/>
          <w:lang w:val="en-US"/>
        </w:rPr>
        <w:t xml:space="preserve"> </w:t>
      </w:r>
      <w:proofErr w:type="spellStart"/>
      <w:r w:rsidRPr="001720D3">
        <w:rPr>
          <w:color w:val="000000"/>
          <w:lang w:val="en-US"/>
        </w:rPr>
        <w:t>fas</w:t>
      </w:r>
      <w:proofErr w:type="spellEnd"/>
      <w:r w:rsidRPr="001720D3">
        <w:rPr>
          <w:color w:val="000000"/>
          <w:lang w:val="en-US"/>
        </w:rPr>
        <w:t xml:space="preserve"> </w:t>
      </w:r>
      <w:proofErr w:type="spellStart"/>
      <w:r w:rsidRPr="001720D3">
        <w:rPr>
          <w:color w:val="000000"/>
          <w:lang w:val="en-US"/>
        </w:rPr>
        <w:t>est</w:t>
      </w:r>
      <w:proofErr w:type="spellEnd"/>
      <w:r w:rsidRPr="001720D3">
        <w:rPr>
          <w:color w:val="000000"/>
          <w:lang w:val="en-US"/>
        </w:rPr>
        <w:t xml:space="preserve"> </w:t>
      </w:r>
      <w:proofErr w:type="spellStart"/>
      <w:r w:rsidRPr="001720D3">
        <w:rPr>
          <w:color w:val="000000"/>
          <w:lang w:val="en-US"/>
        </w:rPr>
        <w:t>dicere</w:t>
      </w:r>
      <w:proofErr w:type="spellEnd"/>
      <w:r w:rsidRPr="001720D3">
        <w:rPr>
          <w:color w:val="000000"/>
          <w:lang w:val="en-US"/>
        </w:rPr>
        <w:t xml:space="preserve">, </w:t>
      </w:r>
      <w:proofErr w:type="spellStart"/>
      <w:r w:rsidRPr="001720D3">
        <w:rPr>
          <w:color w:val="000000"/>
          <w:lang w:val="en-US"/>
        </w:rPr>
        <w:t>pulchritudinem</w:t>
      </w:r>
      <w:proofErr w:type="spellEnd"/>
      <w:r w:rsidRPr="001720D3">
        <w:rPr>
          <w:color w:val="000000"/>
          <w:lang w:val="en-US"/>
        </w:rPr>
        <w:t xml:space="preserve"> Dei </w:t>
      </w:r>
      <w:proofErr w:type="spellStart"/>
      <w:r w:rsidRPr="001720D3">
        <w:rPr>
          <w:color w:val="000000"/>
          <w:lang w:val="en-US"/>
        </w:rPr>
        <w:t>boniformis</w:t>
      </w:r>
      <w:proofErr w:type="spellEnd"/>
      <w:r w:rsidRPr="001720D3">
        <w:rPr>
          <w:color w:val="000000"/>
          <w:lang w:val="en-US"/>
        </w:rPr>
        <w:t xml:space="preserve"> </w:t>
      </w:r>
      <w:proofErr w:type="spellStart"/>
      <w:r w:rsidRPr="001720D3">
        <w:rPr>
          <w:color w:val="000000"/>
          <w:lang w:val="en-US"/>
        </w:rPr>
        <w:t>Deiformitatis</w:t>
      </w:r>
      <w:proofErr w:type="spellEnd"/>
      <w:r w:rsidRPr="001720D3">
        <w:rPr>
          <w:color w:val="000000"/>
          <w:lang w:val="en-US"/>
        </w:rPr>
        <w:t xml:space="preserve">.” Jacobi a </w:t>
      </w:r>
      <w:proofErr w:type="spellStart"/>
      <w:r w:rsidRPr="001720D3">
        <w:rPr>
          <w:color w:val="000000"/>
          <w:lang w:val="en-US"/>
        </w:rPr>
        <w:t>Voragine</w:t>
      </w:r>
      <w:proofErr w:type="spellEnd"/>
      <w:r w:rsidRPr="001720D3">
        <w:rPr>
          <w:color w:val="000000"/>
          <w:lang w:val="en-US"/>
        </w:rPr>
        <w:t xml:space="preserve">, </w:t>
      </w:r>
      <w:proofErr w:type="spellStart"/>
      <w:r w:rsidRPr="001720D3">
        <w:rPr>
          <w:i/>
          <w:iCs/>
          <w:color w:val="000000"/>
          <w:lang w:val="en-US"/>
        </w:rPr>
        <w:t>Legenda</w:t>
      </w:r>
      <w:proofErr w:type="spellEnd"/>
      <w:r w:rsidRPr="001720D3">
        <w:rPr>
          <w:i/>
          <w:iCs/>
          <w:color w:val="000000"/>
          <w:lang w:val="en-US"/>
        </w:rPr>
        <w:t xml:space="preserve"> Aurea</w:t>
      </w:r>
      <w:r w:rsidRPr="001720D3">
        <w:rPr>
          <w:color w:val="000000"/>
          <w:lang w:val="en-US"/>
        </w:rPr>
        <w:t xml:space="preserve">, ed. </w:t>
      </w:r>
      <w:proofErr w:type="spellStart"/>
      <w:r w:rsidRPr="001720D3">
        <w:rPr>
          <w:color w:val="000000"/>
          <w:lang w:val="en-US"/>
        </w:rPr>
        <w:t>Graesse</w:t>
      </w:r>
      <w:proofErr w:type="spellEnd"/>
      <w:r w:rsidRPr="001720D3">
        <w:rPr>
          <w:color w:val="000000"/>
          <w:lang w:val="en-US"/>
        </w:rPr>
        <w:t xml:space="preserve"> (</w:t>
      </w:r>
      <w:proofErr w:type="spellStart"/>
      <w:r w:rsidRPr="001720D3">
        <w:rPr>
          <w:color w:val="000000"/>
          <w:lang w:val="en-US"/>
        </w:rPr>
        <w:t>Lipsiae</w:t>
      </w:r>
      <w:proofErr w:type="spellEnd"/>
      <w:r w:rsidRPr="001720D3">
        <w:rPr>
          <w:color w:val="000000"/>
          <w:lang w:val="en-US"/>
        </w:rPr>
        <w:t xml:space="preserve">: </w:t>
      </w:r>
      <w:proofErr w:type="spellStart"/>
      <w:r w:rsidRPr="001720D3">
        <w:rPr>
          <w:color w:val="000000"/>
          <w:lang w:val="en-US"/>
        </w:rPr>
        <w:t>Impensis</w:t>
      </w:r>
      <w:proofErr w:type="spellEnd"/>
      <w:r w:rsidRPr="001720D3">
        <w:rPr>
          <w:color w:val="000000"/>
          <w:lang w:val="en-US"/>
        </w:rPr>
        <w:t xml:space="preserve"> </w:t>
      </w:r>
      <w:proofErr w:type="spellStart"/>
      <w:r w:rsidRPr="001720D3">
        <w:rPr>
          <w:color w:val="000000"/>
          <w:lang w:val="en-US"/>
        </w:rPr>
        <w:t>Librariae</w:t>
      </w:r>
      <w:proofErr w:type="spellEnd"/>
      <w:r w:rsidRPr="001720D3">
        <w:rPr>
          <w:color w:val="000000"/>
          <w:lang w:val="en-US"/>
        </w:rPr>
        <w:t xml:space="preserve"> </w:t>
      </w:r>
      <w:proofErr w:type="spellStart"/>
      <w:r w:rsidRPr="001720D3">
        <w:rPr>
          <w:color w:val="000000"/>
          <w:lang w:val="en-US"/>
        </w:rPr>
        <w:t>Arnoldianae</w:t>
      </w:r>
      <w:proofErr w:type="spellEnd"/>
      <w:r w:rsidRPr="001720D3">
        <w:rPr>
          <w:color w:val="000000"/>
          <w:lang w:val="en-US"/>
        </w:rPr>
        <w:t xml:space="preserve">, 1801), 324; English translation from Jacobus de </w:t>
      </w:r>
      <w:proofErr w:type="spellStart"/>
      <w:r w:rsidRPr="001720D3">
        <w:rPr>
          <w:color w:val="000000"/>
          <w:lang w:val="en-US"/>
        </w:rPr>
        <w:t>Voragine</w:t>
      </w:r>
      <w:proofErr w:type="spellEnd"/>
      <w:r w:rsidRPr="001720D3">
        <w:rPr>
          <w:color w:val="000000"/>
          <w:lang w:val="en-US"/>
        </w:rPr>
        <w:t xml:space="preserve">, </w:t>
      </w:r>
      <w:r w:rsidRPr="001720D3">
        <w:rPr>
          <w:i/>
          <w:iCs/>
          <w:color w:val="000000"/>
          <w:lang w:val="en-US"/>
        </w:rPr>
        <w:t>The Golden Legend: Readings on the Saints</w:t>
      </w:r>
      <w:r w:rsidRPr="001720D3">
        <w:rPr>
          <w:color w:val="000000"/>
          <w:lang w:val="en-US"/>
        </w:rPr>
        <w:t>, trans. William Granger Ryan (Princeton: Princeton University Press, 2012), 296.</w:t>
      </w:r>
    </w:p>
  </w:footnote>
  <w:footnote w:id="549">
    <w:p w14:paraId="727845D7" w14:textId="77777777" w:rsidR="00182EED" w:rsidRDefault="00182EED" w:rsidP="00094F64">
      <w:pPr>
        <w:pStyle w:val="FootnoteText"/>
      </w:pPr>
      <w:r w:rsidRPr="00591949">
        <w:rPr>
          <w:rStyle w:val="FootnoteReference"/>
        </w:rPr>
        <w:footnoteRef/>
      </w:r>
      <w:r>
        <w:t xml:space="preserve"> </w:t>
      </w:r>
      <w:r w:rsidRPr="006E0FBD">
        <w:rPr>
          <w:color w:val="000000"/>
          <w:lang w:val="en-US"/>
        </w:rPr>
        <w:t xml:space="preserve">Olson, </w:t>
      </w:r>
      <w:r w:rsidRPr="006E0FBD">
        <w:rPr>
          <w:i/>
          <w:iCs/>
          <w:color w:val="000000"/>
          <w:lang w:val="en-US"/>
        </w:rPr>
        <w:t>The Florentine Tondo</w:t>
      </w:r>
      <w:r w:rsidRPr="006E0FBD">
        <w:rPr>
          <w:color w:val="000000"/>
          <w:lang w:val="en-US"/>
        </w:rPr>
        <w:t>, 96.</w:t>
      </w:r>
    </w:p>
  </w:footnote>
  <w:footnote w:id="550">
    <w:p w14:paraId="0B1C3036" w14:textId="77777777" w:rsidR="00182EED" w:rsidRDefault="00182EED" w:rsidP="00094F64">
      <w:pPr>
        <w:pStyle w:val="FootnoteText"/>
      </w:pPr>
      <w:r w:rsidRPr="00591949">
        <w:rPr>
          <w:rStyle w:val="FootnoteReference"/>
        </w:rPr>
        <w:footnoteRef/>
      </w:r>
      <w:r>
        <w:t xml:space="preserve"> </w:t>
      </w:r>
      <w:r w:rsidRPr="00B161FD">
        <w:rPr>
          <w:color w:val="000000"/>
          <w:lang w:val="en-US"/>
        </w:rPr>
        <w:t xml:space="preserve">“Tondi </w:t>
      </w:r>
      <w:proofErr w:type="spellStart"/>
      <w:r w:rsidRPr="00B161FD">
        <w:rPr>
          <w:color w:val="000000"/>
          <w:lang w:val="en-US"/>
        </w:rPr>
        <w:t>nei</w:t>
      </w:r>
      <w:proofErr w:type="spellEnd"/>
      <w:r w:rsidRPr="00B161FD">
        <w:rPr>
          <w:color w:val="000000"/>
          <w:lang w:val="en-US"/>
        </w:rPr>
        <w:t xml:space="preserve"> </w:t>
      </w:r>
      <w:proofErr w:type="spellStart"/>
      <w:r w:rsidRPr="00B161FD">
        <w:rPr>
          <w:color w:val="000000"/>
          <w:lang w:val="en-US"/>
        </w:rPr>
        <w:t>quali</w:t>
      </w:r>
      <w:proofErr w:type="spellEnd"/>
      <w:r w:rsidRPr="00B161FD">
        <w:rPr>
          <w:color w:val="000000"/>
          <w:lang w:val="en-US"/>
        </w:rPr>
        <w:t xml:space="preserve"> </w:t>
      </w:r>
      <w:proofErr w:type="spellStart"/>
      <w:r w:rsidRPr="00B161FD">
        <w:rPr>
          <w:color w:val="000000"/>
          <w:lang w:val="en-US"/>
        </w:rPr>
        <w:t>si</w:t>
      </w:r>
      <w:proofErr w:type="spellEnd"/>
      <w:r w:rsidRPr="00B161FD">
        <w:rPr>
          <w:color w:val="000000"/>
          <w:lang w:val="en-US"/>
        </w:rPr>
        <w:t xml:space="preserve"> porta da </w:t>
      </w:r>
      <w:proofErr w:type="spellStart"/>
      <w:r w:rsidRPr="00B161FD">
        <w:rPr>
          <w:color w:val="000000"/>
          <w:lang w:val="en-US"/>
        </w:rPr>
        <w:t>mangiare</w:t>
      </w:r>
      <w:proofErr w:type="spellEnd"/>
      <w:r w:rsidRPr="00B161FD">
        <w:rPr>
          <w:color w:val="000000"/>
          <w:lang w:val="en-US"/>
        </w:rPr>
        <w:t xml:space="preserve"> </w:t>
      </w:r>
      <w:proofErr w:type="spellStart"/>
      <w:r w:rsidRPr="00B161FD">
        <w:rPr>
          <w:color w:val="000000"/>
          <w:lang w:val="en-US"/>
        </w:rPr>
        <w:t>alle</w:t>
      </w:r>
      <w:proofErr w:type="spellEnd"/>
      <w:r w:rsidRPr="00B161FD">
        <w:rPr>
          <w:color w:val="000000"/>
          <w:lang w:val="en-US"/>
        </w:rPr>
        <w:t xml:space="preserve"> </w:t>
      </w:r>
      <w:proofErr w:type="spellStart"/>
      <w:r w:rsidRPr="00B161FD">
        <w:rPr>
          <w:color w:val="000000"/>
          <w:lang w:val="en-US"/>
        </w:rPr>
        <w:t>donne</w:t>
      </w:r>
      <w:proofErr w:type="spellEnd"/>
      <w:r w:rsidRPr="00B161FD">
        <w:rPr>
          <w:color w:val="000000"/>
          <w:lang w:val="en-US"/>
        </w:rPr>
        <w:t xml:space="preserve"> di parto.” Ibid. (</w:t>
      </w:r>
      <w:r w:rsidRPr="00B161FD">
        <w:rPr>
          <w:i/>
          <w:iCs/>
          <w:color w:val="000000"/>
          <w:lang w:val="en-US"/>
        </w:rPr>
        <w:t xml:space="preserve">Vita di Francesco </w:t>
      </w:r>
      <w:proofErr w:type="spellStart"/>
      <w:r w:rsidRPr="00B161FD">
        <w:rPr>
          <w:i/>
          <w:iCs/>
          <w:color w:val="000000"/>
          <w:lang w:val="en-US"/>
        </w:rPr>
        <w:t>detto</w:t>
      </w:r>
      <w:proofErr w:type="spellEnd"/>
      <w:r w:rsidRPr="00B161FD">
        <w:rPr>
          <w:i/>
          <w:iCs/>
          <w:color w:val="000000"/>
          <w:lang w:val="en-US"/>
        </w:rPr>
        <w:t xml:space="preserve"> de' </w:t>
      </w:r>
      <w:proofErr w:type="spellStart"/>
      <w:r w:rsidRPr="00B161FD">
        <w:rPr>
          <w:i/>
          <w:iCs/>
          <w:color w:val="000000"/>
          <w:lang w:val="en-US"/>
        </w:rPr>
        <w:t>Salviati</w:t>
      </w:r>
      <w:proofErr w:type="spellEnd"/>
      <w:r w:rsidRPr="00B161FD">
        <w:rPr>
          <w:color w:val="000000"/>
          <w:lang w:val="en-US"/>
        </w:rPr>
        <w:t>).</w:t>
      </w:r>
    </w:p>
  </w:footnote>
  <w:footnote w:id="551">
    <w:p w14:paraId="537238B2" w14:textId="59F5D8E1" w:rsidR="00182EED" w:rsidRDefault="00182EED" w:rsidP="00094F64">
      <w:pPr>
        <w:pStyle w:val="FootnoteText"/>
      </w:pPr>
      <w:r w:rsidRPr="00591949">
        <w:rPr>
          <w:rStyle w:val="FootnoteReference"/>
        </w:rPr>
        <w:footnoteRef/>
      </w:r>
      <w:r>
        <w:t xml:space="preserve"> </w:t>
      </w:r>
      <w:r w:rsidRPr="006E0FBD">
        <w:rPr>
          <w:color w:val="000000"/>
          <w:lang w:val="en-US"/>
        </w:rPr>
        <w:t xml:space="preserve">Cecilia de Carli, </w:t>
      </w:r>
      <w:r w:rsidRPr="006E0FBD">
        <w:rPr>
          <w:i/>
          <w:iCs/>
          <w:color w:val="000000"/>
          <w:lang w:val="en-US"/>
        </w:rPr>
        <w:t xml:space="preserve">I deschi da parto e la </w:t>
      </w:r>
      <w:proofErr w:type="spellStart"/>
      <w:r w:rsidRPr="006E0FBD">
        <w:rPr>
          <w:i/>
          <w:iCs/>
          <w:color w:val="000000"/>
          <w:lang w:val="en-US"/>
        </w:rPr>
        <w:t>pittura</w:t>
      </w:r>
      <w:proofErr w:type="spellEnd"/>
      <w:r w:rsidRPr="006E0FBD">
        <w:rPr>
          <w:i/>
          <w:iCs/>
          <w:color w:val="000000"/>
          <w:lang w:val="en-US"/>
        </w:rPr>
        <w:t xml:space="preserve"> del primo </w:t>
      </w:r>
      <w:proofErr w:type="spellStart"/>
      <w:r w:rsidRPr="006E0FBD">
        <w:rPr>
          <w:i/>
          <w:iCs/>
          <w:color w:val="000000"/>
          <w:lang w:val="en-US"/>
        </w:rPr>
        <w:t>Rinascimento</w:t>
      </w:r>
      <w:proofErr w:type="spellEnd"/>
      <w:r w:rsidRPr="006E0FBD">
        <w:rPr>
          <w:i/>
          <w:iCs/>
          <w:color w:val="000000"/>
          <w:lang w:val="en-US"/>
        </w:rPr>
        <w:t xml:space="preserve"> </w:t>
      </w:r>
      <w:proofErr w:type="spellStart"/>
      <w:r w:rsidRPr="006E0FBD">
        <w:rPr>
          <w:i/>
          <w:iCs/>
          <w:color w:val="000000"/>
          <w:lang w:val="en-US"/>
        </w:rPr>
        <w:t>toscano</w:t>
      </w:r>
      <w:proofErr w:type="spellEnd"/>
      <w:r w:rsidRPr="006E0FBD">
        <w:rPr>
          <w:color w:val="000000"/>
          <w:lang w:val="en-US"/>
        </w:rPr>
        <w:t xml:space="preserve"> (Turin: Umberto </w:t>
      </w:r>
      <w:proofErr w:type="spellStart"/>
      <w:r w:rsidRPr="006E0FBD">
        <w:rPr>
          <w:color w:val="000000"/>
          <w:lang w:val="en-US"/>
        </w:rPr>
        <w:t>Allemandi</w:t>
      </w:r>
      <w:proofErr w:type="spellEnd"/>
      <w:r w:rsidRPr="006E0FBD">
        <w:rPr>
          <w:color w:val="000000"/>
          <w:lang w:val="en-US"/>
        </w:rPr>
        <w:t xml:space="preserve">, 1997), 21–22; On </w:t>
      </w:r>
      <w:r w:rsidRPr="006E0FBD">
        <w:rPr>
          <w:i/>
          <w:iCs/>
          <w:color w:val="000000"/>
          <w:lang w:val="en-US"/>
        </w:rPr>
        <w:t>deschi da parto</w:t>
      </w:r>
      <w:r w:rsidRPr="006E0FBD">
        <w:rPr>
          <w:color w:val="000000"/>
          <w:lang w:val="en-US"/>
        </w:rPr>
        <w:t xml:space="preserve"> bearing messages for female viewers specifically, see Adrian W. B Randolph, “Gendering the Period Eye: Deschi Da Parto and Renaissance Visual Culture,” </w:t>
      </w:r>
      <w:r w:rsidRPr="006E0FBD">
        <w:rPr>
          <w:i/>
          <w:iCs/>
          <w:color w:val="000000"/>
          <w:lang w:val="en-US"/>
        </w:rPr>
        <w:t>Art History</w:t>
      </w:r>
      <w:r w:rsidRPr="006E0FBD">
        <w:rPr>
          <w:color w:val="000000"/>
          <w:lang w:val="en-US"/>
        </w:rPr>
        <w:t xml:space="preserve"> 27, no. 4 (2004): 545–47</w:t>
      </w:r>
      <w:r>
        <w:rPr>
          <w:color w:val="000000"/>
          <w:lang w:val="en-US"/>
        </w:rPr>
        <w:t xml:space="preserve">; Randolph, </w:t>
      </w:r>
      <w:r>
        <w:rPr>
          <w:i/>
          <w:iCs/>
          <w:color w:val="000000"/>
          <w:lang w:val="en-US"/>
        </w:rPr>
        <w:t>Touching Objects</w:t>
      </w:r>
      <w:r>
        <w:rPr>
          <w:color w:val="000000"/>
          <w:lang w:val="en-US"/>
        </w:rPr>
        <w:t>, 169-203.</w:t>
      </w:r>
    </w:p>
  </w:footnote>
  <w:footnote w:id="552">
    <w:p w14:paraId="5FF5DD87" w14:textId="77777777" w:rsidR="00182EED" w:rsidRDefault="00182EED" w:rsidP="00094F64">
      <w:pPr>
        <w:pStyle w:val="FootnoteText"/>
      </w:pPr>
      <w:r w:rsidRPr="00591949">
        <w:rPr>
          <w:rStyle w:val="FootnoteReference"/>
        </w:rPr>
        <w:footnoteRef/>
      </w:r>
      <w:r>
        <w:t xml:space="preserve"> </w:t>
      </w:r>
      <w:r w:rsidRPr="00CA1302">
        <w:rPr>
          <w:color w:val="000000"/>
          <w:lang w:val="en-US"/>
        </w:rPr>
        <w:t xml:space="preserve">Jacqueline Marie </w:t>
      </w:r>
      <w:proofErr w:type="spellStart"/>
      <w:r w:rsidRPr="00CA1302">
        <w:rPr>
          <w:color w:val="000000"/>
          <w:lang w:val="en-US"/>
        </w:rPr>
        <w:t>Musacchio</w:t>
      </w:r>
      <w:proofErr w:type="spellEnd"/>
      <w:r w:rsidRPr="00CA1302">
        <w:rPr>
          <w:color w:val="000000"/>
          <w:lang w:val="en-US"/>
        </w:rPr>
        <w:t xml:space="preserve">, </w:t>
      </w:r>
      <w:r w:rsidRPr="00CA1302">
        <w:rPr>
          <w:i/>
          <w:iCs/>
          <w:color w:val="000000"/>
          <w:lang w:val="en-US"/>
        </w:rPr>
        <w:t>The Art and Ritual of Childbirth in Renaissance Italy</w:t>
      </w:r>
      <w:r w:rsidRPr="00CA1302">
        <w:rPr>
          <w:color w:val="000000"/>
          <w:lang w:val="en-US"/>
        </w:rPr>
        <w:t xml:space="preserve"> (New Haven, Conn. and London: Yale University Press, 1999), 13–14.</w:t>
      </w:r>
    </w:p>
  </w:footnote>
  <w:footnote w:id="553">
    <w:p w14:paraId="76406E37" w14:textId="77777777" w:rsidR="00182EED" w:rsidRDefault="00182EED" w:rsidP="00094F64">
      <w:pPr>
        <w:pStyle w:val="FootnoteText"/>
      </w:pPr>
      <w:r w:rsidRPr="00591949">
        <w:rPr>
          <w:rStyle w:val="FootnoteReference"/>
        </w:rPr>
        <w:footnoteRef/>
      </w:r>
      <w:r>
        <w:t xml:space="preserve"> </w:t>
      </w:r>
      <w:r w:rsidRPr="00E544AD">
        <w:rPr>
          <w:color w:val="000000"/>
          <w:lang w:val="en-US"/>
        </w:rPr>
        <w:t xml:space="preserve">“Uno </w:t>
      </w:r>
      <w:proofErr w:type="spellStart"/>
      <w:r w:rsidRPr="00E544AD">
        <w:rPr>
          <w:color w:val="000000"/>
          <w:lang w:val="en-US"/>
        </w:rPr>
        <w:t>descho</w:t>
      </w:r>
      <w:proofErr w:type="spellEnd"/>
      <w:r w:rsidRPr="00E544AD">
        <w:rPr>
          <w:color w:val="000000"/>
          <w:lang w:val="en-US"/>
        </w:rPr>
        <w:t xml:space="preserve"> tondo da parto, </w:t>
      </w:r>
      <w:proofErr w:type="spellStart"/>
      <w:r w:rsidRPr="00E544AD">
        <w:rPr>
          <w:color w:val="000000"/>
          <w:lang w:val="en-US"/>
        </w:rPr>
        <w:t>dipintovi</w:t>
      </w:r>
      <w:proofErr w:type="spellEnd"/>
      <w:r w:rsidRPr="00E544AD">
        <w:rPr>
          <w:color w:val="000000"/>
          <w:lang w:val="en-US"/>
        </w:rPr>
        <w:t xml:space="preserve"> </w:t>
      </w:r>
      <w:proofErr w:type="spellStart"/>
      <w:r w:rsidRPr="00E544AD">
        <w:rPr>
          <w:color w:val="000000"/>
          <w:lang w:val="en-US"/>
        </w:rPr>
        <w:t>il</w:t>
      </w:r>
      <w:proofErr w:type="spellEnd"/>
      <w:r w:rsidRPr="00E544AD">
        <w:rPr>
          <w:color w:val="000000"/>
          <w:lang w:val="en-US"/>
        </w:rPr>
        <w:t xml:space="preserve"> </w:t>
      </w:r>
      <w:proofErr w:type="spellStart"/>
      <w:r w:rsidRPr="00E544AD">
        <w:rPr>
          <w:color w:val="000000"/>
          <w:lang w:val="en-US"/>
        </w:rPr>
        <w:t>Trionfo</w:t>
      </w:r>
      <w:proofErr w:type="spellEnd"/>
      <w:r w:rsidRPr="00E544AD">
        <w:rPr>
          <w:color w:val="000000"/>
          <w:lang w:val="en-US"/>
        </w:rPr>
        <w:t xml:space="preserve"> </w:t>
      </w:r>
      <w:proofErr w:type="spellStart"/>
      <w:r w:rsidRPr="00E544AD">
        <w:rPr>
          <w:color w:val="000000"/>
          <w:lang w:val="en-US"/>
        </w:rPr>
        <w:t>della</w:t>
      </w:r>
      <w:proofErr w:type="spellEnd"/>
      <w:r w:rsidRPr="00E544AD">
        <w:rPr>
          <w:color w:val="000000"/>
          <w:lang w:val="en-US"/>
        </w:rPr>
        <w:t xml:space="preserve"> </w:t>
      </w:r>
      <w:proofErr w:type="spellStart"/>
      <w:r w:rsidRPr="00E544AD">
        <w:rPr>
          <w:color w:val="000000"/>
          <w:lang w:val="en-US"/>
        </w:rPr>
        <w:t>Fama</w:t>
      </w:r>
      <w:proofErr w:type="spellEnd"/>
      <w:r w:rsidRPr="00E544AD">
        <w:rPr>
          <w:color w:val="000000"/>
          <w:lang w:val="en-US"/>
        </w:rPr>
        <w:t xml:space="preserve">.” Marco Spallanzani and Giovanna Gaeta </w:t>
      </w:r>
      <w:proofErr w:type="spellStart"/>
      <w:r w:rsidRPr="00E544AD">
        <w:rPr>
          <w:color w:val="000000"/>
          <w:lang w:val="en-US"/>
        </w:rPr>
        <w:t>Bertelà</w:t>
      </w:r>
      <w:proofErr w:type="spellEnd"/>
      <w:r w:rsidRPr="00E544AD">
        <w:rPr>
          <w:color w:val="000000"/>
          <w:lang w:val="en-US"/>
        </w:rPr>
        <w:t xml:space="preserve">, </w:t>
      </w:r>
      <w:r w:rsidRPr="00E544AD">
        <w:rPr>
          <w:i/>
          <w:iCs/>
          <w:color w:val="000000"/>
          <w:lang w:val="en-US"/>
        </w:rPr>
        <w:t xml:space="preserve">Libro </w:t>
      </w:r>
      <w:proofErr w:type="spellStart"/>
      <w:r w:rsidRPr="00E544AD">
        <w:rPr>
          <w:i/>
          <w:iCs/>
          <w:color w:val="000000"/>
          <w:lang w:val="en-US"/>
        </w:rPr>
        <w:t>d’inventario</w:t>
      </w:r>
      <w:proofErr w:type="spellEnd"/>
      <w:r w:rsidRPr="00E544AD">
        <w:rPr>
          <w:i/>
          <w:iCs/>
          <w:color w:val="000000"/>
          <w:lang w:val="en-US"/>
        </w:rPr>
        <w:t xml:space="preserve"> </w:t>
      </w:r>
      <w:proofErr w:type="spellStart"/>
      <w:r w:rsidRPr="00E544AD">
        <w:rPr>
          <w:i/>
          <w:iCs/>
          <w:color w:val="000000"/>
          <w:lang w:val="en-US"/>
        </w:rPr>
        <w:t>dei</w:t>
      </w:r>
      <w:proofErr w:type="spellEnd"/>
      <w:r w:rsidRPr="00E544AD">
        <w:rPr>
          <w:i/>
          <w:iCs/>
          <w:color w:val="000000"/>
          <w:lang w:val="en-US"/>
        </w:rPr>
        <w:t xml:space="preserve"> </w:t>
      </w:r>
      <w:proofErr w:type="spellStart"/>
      <w:r w:rsidRPr="00E544AD">
        <w:rPr>
          <w:i/>
          <w:iCs/>
          <w:color w:val="000000"/>
          <w:lang w:val="en-US"/>
        </w:rPr>
        <w:t>beni</w:t>
      </w:r>
      <w:proofErr w:type="spellEnd"/>
      <w:r w:rsidRPr="00E544AD">
        <w:rPr>
          <w:i/>
          <w:iCs/>
          <w:color w:val="000000"/>
          <w:lang w:val="en-US"/>
        </w:rPr>
        <w:t xml:space="preserve"> di Lorenzo </w:t>
      </w:r>
      <w:proofErr w:type="spellStart"/>
      <w:r w:rsidRPr="00E544AD">
        <w:rPr>
          <w:i/>
          <w:iCs/>
          <w:color w:val="000000"/>
          <w:lang w:val="en-US"/>
        </w:rPr>
        <w:t>il</w:t>
      </w:r>
      <w:proofErr w:type="spellEnd"/>
      <w:r w:rsidRPr="00E544AD">
        <w:rPr>
          <w:i/>
          <w:iCs/>
          <w:color w:val="000000"/>
          <w:lang w:val="en-US"/>
        </w:rPr>
        <w:t xml:space="preserve"> Magnifico</w:t>
      </w:r>
      <w:r w:rsidRPr="00E544AD">
        <w:rPr>
          <w:color w:val="000000"/>
          <w:lang w:val="en-US"/>
        </w:rPr>
        <w:t xml:space="preserve"> (Florence: Assoc. Amici del Bargello, 1992), 27; </w:t>
      </w:r>
      <w:proofErr w:type="spellStart"/>
      <w:r w:rsidRPr="00E544AD">
        <w:rPr>
          <w:color w:val="000000"/>
          <w:lang w:val="en-US"/>
        </w:rPr>
        <w:t>Musacchio</w:t>
      </w:r>
      <w:proofErr w:type="spellEnd"/>
      <w:r w:rsidRPr="00E544AD">
        <w:rPr>
          <w:color w:val="000000"/>
          <w:lang w:val="en-US"/>
        </w:rPr>
        <w:t xml:space="preserve">, </w:t>
      </w:r>
      <w:r w:rsidRPr="00E544AD">
        <w:rPr>
          <w:i/>
          <w:iCs/>
          <w:color w:val="000000"/>
          <w:lang w:val="en-US"/>
        </w:rPr>
        <w:t>The Art and Ritual of Childbirth in Renaissance Italy</w:t>
      </w:r>
      <w:r w:rsidRPr="00E544AD">
        <w:rPr>
          <w:color w:val="000000"/>
          <w:lang w:val="en-US"/>
        </w:rPr>
        <w:t xml:space="preserve">, 68; on Lorenzo </w:t>
      </w:r>
      <w:proofErr w:type="spellStart"/>
      <w:r w:rsidRPr="00E544AD">
        <w:rPr>
          <w:color w:val="000000"/>
          <w:lang w:val="en-US"/>
        </w:rPr>
        <w:t>il</w:t>
      </w:r>
      <w:proofErr w:type="spellEnd"/>
      <w:r w:rsidRPr="00E544AD">
        <w:rPr>
          <w:color w:val="000000"/>
          <w:lang w:val="en-US"/>
        </w:rPr>
        <w:t xml:space="preserve"> Magnifico’s </w:t>
      </w:r>
      <w:r w:rsidRPr="00E544AD">
        <w:rPr>
          <w:i/>
          <w:iCs/>
          <w:color w:val="000000"/>
          <w:lang w:val="en-US"/>
        </w:rPr>
        <w:t>desco</w:t>
      </w:r>
      <w:r w:rsidRPr="00E544AD">
        <w:rPr>
          <w:color w:val="000000"/>
          <w:lang w:val="en-US"/>
        </w:rPr>
        <w:t xml:space="preserve"> see Jacqueline Marie </w:t>
      </w:r>
      <w:proofErr w:type="spellStart"/>
      <w:r w:rsidRPr="00E544AD">
        <w:rPr>
          <w:color w:val="000000"/>
          <w:lang w:val="en-US"/>
        </w:rPr>
        <w:t>Musacchio</w:t>
      </w:r>
      <w:proofErr w:type="spellEnd"/>
      <w:r w:rsidRPr="00E544AD">
        <w:rPr>
          <w:color w:val="000000"/>
          <w:lang w:val="en-US"/>
        </w:rPr>
        <w:t xml:space="preserve">, “Entry 70,” in </w:t>
      </w:r>
      <w:r w:rsidRPr="00E544AD">
        <w:rPr>
          <w:i/>
          <w:iCs/>
          <w:color w:val="000000"/>
          <w:lang w:val="en-US"/>
        </w:rPr>
        <w:t>Art and Love in Renaissance Italy</w:t>
      </w:r>
      <w:r w:rsidRPr="00E544AD">
        <w:rPr>
          <w:color w:val="000000"/>
          <w:lang w:val="en-US"/>
        </w:rPr>
        <w:t>, ed. Andrea Bayer (New York, New Haven, Conn.; London: Metropolitan Museum of Art; Yale University Press, 2008), 154.</w:t>
      </w:r>
    </w:p>
  </w:footnote>
  <w:footnote w:id="554">
    <w:p w14:paraId="20D11C95" w14:textId="77777777" w:rsidR="00182EED" w:rsidRDefault="00182EED" w:rsidP="00094F64">
      <w:pPr>
        <w:pStyle w:val="FootnoteText"/>
      </w:pPr>
      <w:r w:rsidRPr="00591949">
        <w:rPr>
          <w:rStyle w:val="FootnoteReference"/>
        </w:rPr>
        <w:footnoteRef/>
      </w:r>
      <w:r>
        <w:t xml:space="preserve"> </w:t>
      </w:r>
      <w:r w:rsidRPr="00E544AD">
        <w:rPr>
          <w:color w:val="000000"/>
          <w:lang w:val="en-US"/>
        </w:rPr>
        <w:t xml:space="preserve">Olson, </w:t>
      </w:r>
      <w:r w:rsidRPr="00E544AD">
        <w:rPr>
          <w:i/>
          <w:iCs/>
          <w:color w:val="000000"/>
          <w:lang w:val="en-US"/>
        </w:rPr>
        <w:t>The Florentine Tondo</w:t>
      </w:r>
      <w:r w:rsidRPr="00E544AD">
        <w:rPr>
          <w:color w:val="000000"/>
          <w:lang w:val="en-US"/>
        </w:rPr>
        <w:t xml:space="preserve">, 28–29; on the function performed by </w:t>
      </w:r>
      <w:r w:rsidRPr="00E544AD">
        <w:rPr>
          <w:i/>
          <w:iCs/>
          <w:color w:val="000000"/>
          <w:lang w:val="en-US"/>
        </w:rPr>
        <w:t>deschi da parto</w:t>
      </w:r>
      <w:r w:rsidRPr="00E544AD">
        <w:rPr>
          <w:color w:val="000000"/>
          <w:lang w:val="en-US"/>
        </w:rPr>
        <w:t xml:space="preserve"> see de Carli, </w:t>
      </w:r>
      <w:r w:rsidRPr="00E544AD">
        <w:rPr>
          <w:i/>
          <w:iCs/>
          <w:color w:val="000000"/>
          <w:lang w:val="en-US"/>
        </w:rPr>
        <w:t xml:space="preserve">I deschi da parto e la </w:t>
      </w:r>
      <w:proofErr w:type="spellStart"/>
      <w:r w:rsidRPr="00E544AD">
        <w:rPr>
          <w:i/>
          <w:iCs/>
          <w:color w:val="000000"/>
          <w:lang w:val="en-US"/>
        </w:rPr>
        <w:t>pittura</w:t>
      </w:r>
      <w:proofErr w:type="spellEnd"/>
      <w:r w:rsidRPr="00E544AD">
        <w:rPr>
          <w:i/>
          <w:iCs/>
          <w:color w:val="000000"/>
          <w:lang w:val="en-US"/>
        </w:rPr>
        <w:t xml:space="preserve"> del primo </w:t>
      </w:r>
      <w:proofErr w:type="spellStart"/>
      <w:r w:rsidRPr="00E544AD">
        <w:rPr>
          <w:i/>
          <w:iCs/>
          <w:color w:val="000000"/>
          <w:lang w:val="en-US"/>
        </w:rPr>
        <w:t>Rinascimento</w:t>
      </w:r>
      <w:proofErr w:type="spellEnd"/>
      <w:r w:rsidRPr="00E544AD">
        <w:rPr>
          <w:i/>
          <w:iCs/>
          <w:color w:val="000000"/>
          <w:lang w:val="en-US"/>
        </w:rPr>
        <w:t xml:space="preserve"> </w:t>
      </w:r>
      <w:proofErr w:type="spellStart"/>
      <w:r w:rsidRPr="00E544AD">
        <w:rPr>
          <w:i/>
          <w:iCs/>
          <w:color w:val="000000"/>
          <w:lang w:val="en-US"/>
        </w:rPr>
        <w:t>toscano</w:t>
      </w:r>
      <w:proofErr w:type="spellEnd"/>
      <w:r w:rsidRPr="00E544AD">
        <w:rPr>
          <w:color w:val="000000"/>
          <w:lang w:val="en-US"/>
        </w:rPr>
        <w:t>, 13–15.</w:t>
      </w:r>
    </w:p>
  </w:footnote>
  <w:footnote w:id="555">
    <w:p w14:paraId="1142497D" w14:textId="77777777" w:rsidR="00182EED" w:rsidRDefault="00182EED" w:rsidP="00094F64">
      <w:pPr>
        <w:pStyle w:val="FootnoteText"/>
      </w:pPr>
      <w:r w:rsidRPr="00591949">
        <w:rPr>
          <w:rStyle w:val="FootnoteReference"/>
        </w:rPr>
        <w:footnoteRef/>
      </w:r>
      <w:r>
        <w:t xml:space="preserve"> </w:t>
      </w:r>
      <w:r w:rsidRPr="00E544AD">
        <w:rPr>
          <w:color w:val="000000"/>
          <w:lang w:val="en-US"/>
        </w:rPr>
        <w:t>Olson, “Lost and Partially Found,” 34.</w:t>
      </w:r>
    </w:p>
  </w:footnote>
  <w:footnote w:id="556">
    <w:p w14:paraId="3709ED38" w14:textId="77777777" w:rsidR="00182EED" w:rsidRDefault="00182EED" w:rsidP="00094F64">
      <w:pPr>
        <w:pStyle w:val="FootnoteText"/>
      </w:pPr>
      <w:r w:rsidRPr="00591949">
        <w:rPr>
          <w:rStyle w:val="FootnoteReference"/>
        </w:rPr>
        <w:footnoteRef/>
      </w:r>
      <w:r>
        <w:t xml:space="preserve"> </w:t>
      </w:r>
      <w:r w:rsidRPr="00E544AD">
        <w:rPr>
          <w:color w:val="000000"/>
          <w:lang w:val="en-US"/>
        </w:rPr>
        <w:t xml:space="preserve">de Carli, </w:t>
      </w:r>
      <w:r w:rsidRPr="00E544AD">
        <w:rPr>
          <w:i/>
          <w:iCs/>
          <w:color w:val="000000"/>
          <w:lang w:val="en-US"/>
        </w:rPr>
        <w:t xml:space="preserve">I deschi da parto e la </w:t>
      </w:r>
      <w:proofErr w:type="spellStart"/>
      <w:r w:rsidRPr="00E544AD">
        <w:rPr>
          <w:i/>
          <w:iCs/>
          <w:color w:val="000000"/>
          <w:lang w:val="en-US"/>
        </w:rPr>
        <w:t>pittura</w:t>
      </w:r>
      <w:proofErr w:type="spellEnd"/>
      <w:r w:rsidRPr="00E544AD">
        <w:rPr>
          <w:i/>
          <w:iCs/>
          <w:color w:val="000000"/>
          <w:lang w:val="en-US"/>
        </w:rPr>
        <w:t xml:space="preserve"> del primo </w:t>
      </w:r>
      <w:proofErr w:type="spellStart"/>
      <w:r w:rsidRPr="00E544AD">
        <w:rPr>
          <w:i/>
          <w:iCs/>
          <w:color w:val="000000"/>
          <w:lang w:val="en-US"/>
        </w:rPr>
        <w:t>Rinascimento</w:t>
      </w:r>
      <w:proofErr w:type="spellEnd"/>
      <w:r w:rsidRPr="00E544AD">
        <w:rPr>
          <w:i/>
          <w:iCs/>
          <w:color w:val="000000"/>
          <w:lang w:val="en-US"/>
        </w:rPr>
        <w:t xml:space="preserve"> </w:t>
      </w:r>
      <w:proofErr w:type="spellStart"/>
      <w:r w:rsidRPr="00E544AD">
        <w:rPr>
          <w:i/>
          <w:iCs/>
          <w:color w:val="000000"/>
          <w:lang w:val="en-US"/>
        </w:rPr>
        <w:t>toscano</w:t>
      </w:r>
      <w:proofErr w:type="spellEnd"/>
      <w:r w:rsidRPr="00E544AD">
        <w:rPr>
          <w:color w:val="000000"/>
          <w:lang w:val="en-US"/>
        </w:rPr>
        <w:t>, 17.</w:t>
      </w:r>
      <w:r>
        <w:rPr>
          <w:color w:val="000000"/>
          <w:lang w:val="en-US"/>
        </w:rPr>
        <w:t xml:space="preserve"> See also Chapter 4.3 of this thesis.</w:t>
      </w:r>
    </w:p>
  </w:footnote>
  <w:footnote w:id="557">
    <w:p w14:paraId="12DE48A6" w14:textId="77777777" w:rsidR="00182EED" w:rsidRDefault="00182EED" w:rsidP="00094F64">
      <w:pPr>
        <w:pStyle w:val="FootnoteText"/>
      </w:pPr>
      <w:r w:rsidRPr="00591949">
        <w:rPr>
          <w:rStyle w:val="FootnoteReference"/>
        </w:rPr>
        <w:footnoteRef/>
      </w:r>
      <w:r>
        <w:t xml:space="preserve"> </w:t>
      </w:r>
      <w:r w:rsidRPr="00E544AD">
        <w:rPr>
          <w:color w:val="000000"/>
          <w:lang w:val="en-US"/>
        </w:rPr>
        <w:t xml:space="preserve">Olson, </w:t>
      </w:r>
      <w:r w:rsidRPr="00E544AD">
        <w:rPr>
          <w:i/>
          <w:iCs/>
          <w:color w:val="000000"/>
          <w:lang w:val="en-US"/>
        </w:rPr>
        <w:t>The Florentine Tondo</w:t>
      </w:r>
      <w:r w:rsidRPr="00E544AD">
        <w:rPr>
          <w:color w:val="000000"/>
          <w:lang w:val="en-US"/>
        </w:rPr>
        <w:t>, 28.</w:t>
      </w:r>
    </w:p>
  </w:footnote>
  <w:footnote w:id="558">
    <w:p w14:paraId="7495D0D5" w14:textId="77777777" w:rsidR="00182EED" w:rsidRDefault="00182EED" w:rsidP="00094F64">
      <w:pPr>
        <w:pStyle w:val="FootnoteText"/>
      </w:pPr>
      <w:r w:rsidRPr="00591949">
        <w:rPr>
          <w:rStyle w:val="FootnoteReference"/>
        </w:rPr>
        <w:footnoteRef/>
      </w:r>
      <w:r>
        <w:t xml:space="preserve"> </w:t>
      </w:r>
      <w:r w:rsidRPr="00E544AD">
        <w:rPr>
          <w:color w:val="000000"/>
          <w:lang w:val="en-US"/>
        </w:rPr>
        <w:t xml:space="preserve">de Carli, </w:t>
      </w:r>
      <w:r w:rsidRPr="00E544AD">
        <w:rPr>
          <w:i/>
          <w:iCs/>
          <w:color w:val="000000"/>
          <w:lang w:val="en-US"/>
        </w:rPr>
        <w:t xml:space="preserve">I deschi da parto e la </w:t>
      </w:r>
      <w:proofErr w:type="spellStart"/>
      <w:r w:rsidRPr="00E544AD">
        <w:rPr>
          <w:i/>
          <w:iCs/>
          <w:color w:val="000000"/>
          <w:lang w:val="en-US"/>
        </w:rPr>
        <w:t>pittura</w:t>
      </w:r>
      <w:proofErr w:type="spellEnd"/>
      <w:r w:rsidRPr="00E544AD">
        <w:rPr>
          <w:i/>
          <w:iCs/>
          <w:color w:val="000000"/>
          <w:lang w:val="en-US"/>
        </w:rPr>
        <w:t xml:space="preserve"> del primo </w:t>
      </w:r>
      <w:proofErr w:type="spellStart"/>
      <w:r w:rsidRPr="00E544AD">
        <w:rPr>
          <w:i/>
          <w:iCs/>
          <w:color w:val="000000"/>
          <w:lang w:val="en-US"/>
        </w:rPr>
        <w:t>Rinascimento</w:t>
      </w:r>
      <w:proofErr w:type="spellEnd"/>
      <w:r w:rsidRPr="00E544AD">
        <w:rPr>
          <w:i/>
          <w:iCs/>
          <w:color w:val="000000"/>
          <w:lang w:val="en-US"/>
        </w:rPr>
        <w:t xml:space="preserve"> </w:t>
      </w:r>
      <w:proofErr w:type="spellStart"/>
      <w:r w:rsidRPr="00E544AD">
        <w:rPr>
          <w:i/>
          <w:iCs/>
          <w:color w:val="000000"/>
          <w:lang w:val="en-US"/>
        </w:rPr>
        <w:t>toscano</w:t>
      </w:r>
      <w:proofErr w:type="spellEnd"/>
      <w:r w:rsidRPr="00E544AD">
        <w:rPr>
          <w:color w:val="000000"/>
          <w:lang w:val="en-US"/>
        </w:rPr>
        <w:t xml:space="preserve">, entry 26, 122-123; see also Jacqueline Marie </w:t>
      </w:r>
      <w:proofErr w:type="spellStart"/>
      <w:r w:rsidRPr="00E544AD">
        <w:rPr>
          <w:color w:val="000000"/>
          <w:lang w:val="en-US"/>
        </w:rPr>
        <w:t>Musacchio</w:t>
      </w:r>
      <w:proofErr w:type="spellEnd"/>
      <w:r w:rsidRPr="00E544AD">
        <w:rPr>
          <w:color w:val="000000"/>
          <w:lang w:val="en-US"/>
        </w:rPr>
        <w:t xml:space="preserve">, “Conception and Birth,” in </w:t>
      </w:r>
      <w:r w:rsidRPr="00E544AD">
        <w:rPr>
          <w:i/>
          <w:iCs/>
          <w:color w:val="000000"/>
          <w:lang w:val="en-US"/>
        </w:rPr>
        <w:t>At Home in Renaissance Italy</w:t>
      </w:r>
      <w:r w:rsidRPr="00E544AD">
        <w:rPr>
          <w:color w:val="000000"/>
          <w:lang w:val="en-US"/>
        </w:rPr>
        <w:t xml:space="preserve">, ed. Marta </w:t>
      </w:r>
      <w:proofErr w:type="spellStart"/>
      <w:r w:rsidRPr="00E544AD">
        <w:rPr>
          <w:color w:val="000000"/>
          <w:lang w:val="en-US"/>
        </w:rPr>
        <w:t>Ajmar-Wollheim</w:t>
      </w:r>
      <w:proofErr w:type="spellEnd"/>
      <w:r w:rsidRPr="00E544AD">
        <w:rPr>
          <w:color w:val="000000"/>
          <w:lang w:val="en-US"/>
        </w:rPr>
        <w:t xml:space="preserve"> and Flora Dennis (London: V&amp;A Publications, 2006), 125.</w:t>
      </w:r>
    </w:p>
  </w:footnote>
  <w:footnote w:id="559">
    <w:p w14:paraId="327974FD" w14:textId="77777777" w:rsidR="00182EED" w:rsidRDefault="00182EED" w:rsidP="00094F64">
      <w:pPr>
        <w:pStyle w:val="FootnoteText"/>
      </w:pPr>
      <w:r w:rsidRPr="00591949">
        <w:rPr>
          <w:rStyle w:val="FootnoteReference"/>
        </w:rPr>
        <w:footnoteRef/>
      </w:r>
      <w:r>
        <w:t xml:space="preserve"> </w:t>
      </w:r>
      <w:r w:rsidRPr="00E544AD">
        <w:rPr>
          <w:color w:val="000000"/>
          <w:lang w:val="en-US"/>
        </w:rPr>
        <w:t xml:space="preserve">The attribution of this </w:t>
      </w:r>
      <w:r w:rsidRPr="00E544AD">
        <w:rPr>
          <w:i/>
          <w:iCs/>
          <w:color w:val="000000"/>
          <w:lang w:val="en-US"/>
        </w:rPr>
        <w:t>desco</w:t>
      </w:r>
      <w:r w:rsidRPr="00E544AD">
        <w:rPr>
          <w:color w:val="000000"/>
          <w:lang w:val="en-US"/>
        </w:rPr>
        <w:t xml:space="preserve"> to Lippo </w:t>
      </w:r>
      <w:proofErr w:type="spellStart"/>
      <w:r w:rsidRPr="00E544AD">
        <w:rPr>
          <w:color w:val="000000"/>
          <w:lang w:val="en-US"/>
        </w:rPr>
        <w:t>d’Andrea</w:t>
      </w:r>
      <w:proofErr w:type="spellEnd"/>
      <w:r w:rsidRPr="00E544AD">
        <w:rPr>
          <w:color w:val="000000"/>
          <w:lang w:val="en-US"/>
        </w:rPr>
        <w:t xml:space="preserve"> is given by Cecilia de Carli; see de Carli, </w:t>
      </w:r>
      <w:r w:rsidRPr="00E544AD">
        <w:rPr>
          <w:i/>
          <w:iCs/>
          <w:color w:val="000000"/>
          <w:lang w:val="en-US"/>
        </w:rPr>
        <w:t xml:space="preserve">I deschi da parto e la </w:t>
      </w:r>
      <w:proofErr w:type="spellStart"/>
      <w:r w:rsidRPr="00E544AD">
        <w:rPr>
          <w:i/>
          <w:iCs/>
          <w:color w:val="000000"/>
          <w:lang w:val="en-US"/>
        </w:rPr>
        <w:t>pittura</w:t>
      </w:r>
      <w:proofErr w:type="spellEnd"/>
      <w:r w:rsidRPr="00E544AD">
        <w:rPr>
          <w:i/>
          <w:iCs/>
          <w:color w:val="000000"/>
          <w:lang w:val="en-US"/>
        </w:rPr>
        <w:t xml:space="preserve"> del primo </w:t>
      </w:r>
      <w:proofErr w:type="spellStart"/>
      <w:r w:rsidRPr="00E544AD">
        <w:rPr>
          <w:i/>
          <w:iCs/>
          <w:color w:val="000000"/>
          <w:lang w:val="en-US"/>
        </w:rPr>
        <w:t>Rinascimento</w:t>
      </w:r>
      <w:proofErr w:type="spellEnd"/>
      <w:r w:rsidRPr="00E544AD">
        <w:rPr>
          <w:i/>
          <w:iCs/>
          <w:color w:val="000000"/>
          <w:lang w:val="en-US"/>
        </w:rPr>
        <w:t xml:space="preserve"> </w:t>
      </w:r>
      <w:proofErr w:type="spellStart"/>
      <w:r w:rsidRPr="00E544AD">
        <w:rPr>
          <w:i/>
          <w:iCs/>
          <w:color w:val="000000"/>
          <w:lang w:val="en-US"/>
        </w:rPr>
        <w:t>toscano</w:t>
      </w:r>
      <w:proofErr w:type="spellEnd"/>
      <w:r w:rsidRPr="00E544AD">
        <w:rPr>
          <w:color w:val="000000"/>
          <w:lang w:val="en-US"/>
        </w:rPr>
        <w:t>, entry 13, 90-93.</w:t>
      </w:r>
    </w:p>
  </w:footnote>
  <w:footnote w:id="560">
    <w:p w14:paraId="7889E041" w14:textId="77777777" w:rsidR="00182EED" w:rsidRDefault="00182EED" w:rsidP="00094F64">
      <w:pPr>
        <w:pStyle w:val="FootnoteText"/>
      </w:pPr>
      <w:r w:rsidRPr="00591949">
        <w:rPr>
          <w:rStyle w:val="FootnoteReference"/>
        </w:rPr>
        <w:footnoteRef/>
      </w:r>
      <w:r>
        <w:t xml:space="preserve"> </w:t>
      </w:r>
      <w:r w:rsidRPr="00E544AD">
        <w:rPr>
          <w:color w:val="000000"/>
          <w:lang w:val="en-US"/>
        </w:rPr>
        <w:t>Ibid., 36–39.</w:t>
      </w:r>
    </w:p>
  </w:footnote>
  <w:footnote w:id="561">
    <w:p w14:paraId="5C6D0F5A" w14:textId="77777777" w:rsidR="00182EED" w:rsidRDefault="00182EED" w:rsidP="00094F64">
      <w:pPr>
        <w:pStyle w:val="FootnoteText"/>
      </w:pPr>
      <w:r w:rsidRPr="00591949">
        <w:rPr>
          <w:rStyle w:val="FootnoteReference"/>
        </w:rPr>
        <w:footnoteRef/>
      </w:r>
      <w:r>
        <w:t xml:space="preserve"> </w:t>
      </w:r>
      <w:r w:rsidRPr="00E544AD">
        <w:rPr>
          <w:color w:val="000000"/>
          <w:lang w:val="en-US"/>
        </w:rPr>
        <w:t xml:space="preserve">On </w:t>
      </w:r>
      <w:r w:rsidRPr="00E544AD">
        <w:rPr>
          <w:i/>
          <w:iCs/>
          <w:color w:val="000000"/>
          <w:lang w:val="en-US"/>
        </w:rPr>
        <w:t xml:space="preserve">belle </w:t>
      </w:r>
      <w:proofErr w:type="spellStart"/>
      <w:r w:rsidRPr="00E544AD">
        <w:rPr>
          <w:i/>
          <w:iCs/>
          <w:color w:val="000000"/>
          <w:lang w:val="en-US"/>
        </w:rPr>
        <w:t>donne</w:t>
      </w:r>
      <w:proofErr w:type="spellEnd"/>
      <w:r w:rsidRPr="00E544AD">
        <w:rPr>
          <w:color w:val="000000"/>
          <w:lang w:val="en-US"/>
        </w:rPr>
        <w:t xml:space="preserve"> dishes, see Marta </w:t>
      </w:r>
      <w:proofErr w:type="spellStart"/>
      <w:r w:rsidRPr="00E544AD">
        <w:rPr>
          <w:color w:val="000000"/>
          <w:lang w:val="en-US"/>
        </w:rPr>
        <w:t>Ajmar</w:t>
      </w:r>
      <w:proofErr w:type="spellEnd"/>
      <w:r w:rsidRPr="00E544AD">
        <w:rPr>
          <w:color w:val="000000"/>
          <w:lang w:val="en-US"/>
        </w:rPr>
        <w:t xml:space="preserve"> and Dora Thornton, “When Is a Portrait Not a Portrait? </w:t>
      </w:r>
      <w:r w:rsidRPr="00E544AD">
        <w:rPr>
          <w:i/>
          <w:iCs/>
          <w:color w:val="000000"/>
          <w:lang w:val="en-US"/>
        </w:rPr>
        <w:t>Belle Donne</w:t>
      </w:r>
      <w:r w:rsidRPr="00E544AD">
        <w:rPr>
          <w:color w:val="000000"/>
          <w:lang w:val="en-US"/>
        </w:rPr>
        <w:t xml:space="preserve"> on Maiolica and the Renaissance Praise of Local Beauties,” in </w:t>
      </w:r>
      <w:r w:rsidRPr="00E544AD">
        <w:rPr>
          <w:i/>
          <w:iCs/>
          <w:color w:val="000000"/>
          <w:lang w:val="en-US"/>
        </w:rPr>
        <w:t>The Image of the Individual: Portraits in the Renaissance</w:t>
      </w:r>
      <w:r w:rsidRPr="00E544AD">
        <w:rPr>
          <w:color w:val="000000"/>
          <w:lang w:val="en-US"/>
        </w:rPr>
        <w:t>, ed. Nicholas Mann and Luke Syson (London: British Museum Press, 1998), 138–53.</w:t>
      </w:r>
    </w:p>
  </w:footnote>
  <w:footnote w:id="562">
    <w:p w14:paraId="5EF2E5B5" w14:textId="77777777" w:rsidR="00182EED" w:rsidRDefault="00182EED" w:rsidP="00094F64">
      <w:pPr>
        <w:pStyle w:val="FootnoteText"/>
      </w:pPr>
      <w:r w:rsidRPr="00591949">
        <w:rPr>
          <w:rStyle w:val="FootnoteReference"/>
        </w:rPr>
        <w:footnoteRef/>
      </w:r>
      <w:r>
        <w:t xml:space="preserve"> </w:t>
      </w:r>
      <w:r w:rsidRPr="00E544AD">
        <w:rPr>
          <w:color w:val="000000"/>
          <w:lang w:val="en-US"/>
        </w:rPr>
        <w:t>Radcliffe and Avery, “The ‘</w:t>
      </w:r>
      <w:proofErr w:type="spellStart"/>
      <w:r w:rsidRPr="00E544AD">
        <w:rPr>
          <w:color w:val="000000"/>
          <w:lang w:val="en-US"/>
        </w:rPr>
        <w:t>Chellini</w:t>
      </w:r>
      <w:proofErr w:type="spellEnd"/>
      <w:r w:rsidRPr="00E544AD">
        <w:rPr>
          <w:color w:val="000000"/>
          <w:lang w:val="en-US"/>
        </w:rPr>
        <w:t xml:space="preserve"> Madonna’ by Donatello,” 377-385+387.</w:t>
      </w:r>
    </w:p>
  </w:footnote>
  <w:footnote w:id="563">
    <w:p w14:paraId="27632DD1" w14:textId="77777777" w:rsidR="00182EED" w:rsidRDefault="00182EED" w:rsidP="00094F64">
      <w:pPr>
        <w:pStyle w:val="FootnoteText"/>
      </w:pPr>
      <w:r w:rsidRPr="00591949">
        <w:rPr>
          <w:rStyle w:val="FootnoteReference"/>
        </w:rPr>
        <w:footnoteRef/>
      </w:r>
      <w:r>
        <w:t xml:space="preserve"> </w:t>
      </w:r>
      <w:r w:rsidRPr="00FD6C46">
        <w:rPr>
          <w:color w:val="000000"/>
          <w:lang w:val="en-US"/>
        </w:rPr>
        <w:t xml:space="preserve">William Dale, “Donatello’s </w:t>
      </w:r>
      <w:proofErr w:type="spellStart"/>
      <w:r w:rsidRPr="00FD6C46">
        <w:rPr>
          <w:i/>
          <w:iCs/>
          <w:color w:val="000000"/>
          <w:lang w:val="en-US"/>
        </w:rPr>
        <w:t>Chellini</w:t>
      </w:r>
      <w:proofErr w:type="spellEnd"/>
      <w:r w:rsidRPr="00FD6C46">
        <w:rPr>
          <w:i/>
          <w:iCs/>
          <w:color w:val="000000"/>
          <w:lang w:val="en-US"/>
        </w:rPr>
        <w:t xml:space="preserve"> Madonna</w:t>
      </w:r>
      <w:r w:rsidRPr="00FD6C46">
        <w:rPr>
          <w:color w:val="000000"/>
          <w:lang w:val="en-US"/>
        </w:rPr>
        <w:t xml:space="preserve">: </w:t>
      </w:r>
      <w:r w:rsidRPr="00FD6C46">
        <w:rPr>
          <w:i/>
          <w:iCs/>
          <w:color w:val="000000"/>
          <w:lang w:val="en-US"/>
        </w:rPr>
        <w:t>Speculum Sine Macula</w:t>
      </w:r>
      <w:r w:rsidRPr="00FD6C46">
        <w:rPr>
          <w:color w:val="000000"/>
          <w:lang w:val="en-US"/>
        </w:rPr>
        <w:t xml:space="preserve">,” </w:t>
      </w:r>
      <w:r w:rsidRPr="00FD6C46">
        <w:rPr>
          <w:i/>
          <w:iCs/>
          <w:color w:val="000000"/>
          <w:lang w:val="en-US"/>
        </w:rPr>
        <w:t>Apollo</w:t>
      </w:r>
      <w:r w:rsidRPr="00FD6C46">
        <w:rPr>
          <w:color w:val="000000"/>
          <w:lang w:val="en-US"/>
        </w:rPr>
        <w:t xml:space="preserve"> 141, no. 397 (March 1995): 4–5.</w:t>
      </w:r>
    </w:p>
  </w:footnote>
  <w:footnote w:id="564">
    <w:p w14:paraId="22E17555" w14:textId="77777777" w:rsidR="00182EED" w:rsidRDefault="00182EED" w:rsidP="00094F64">
      <w:pPr>
        <w:pStyle w:val="FootnoteText"/>
      </w:pPr>
      <w:r w:rsidRPr="00591949">
        <w:rPr>
          <w:rStyle w:val="FootnoteReference"/>
        </w:rPr>
        <w:footnoteRef/>
      </w:r>
      <w:r>
        <w:t xml:space="preserve"> </w:t>
      </w:r>
      <w:r w:rsidRPr="00924664">
        <w:rPr>
          <w:color w:val="000000"/>
          <w:lang w:val="en-US"/>
        </w:rPr>
        <w:t xml:space="preserve">On the use of coral for protection, see Jacqueline Marie </w:t>
      </w:r>
      <w:proofErr w:type="spellStart"/>
      <w:r w:rsidRPr="00924664">
        <w:rPr>
          <w:color w:val="000000"/>
          <w:lang w:val="en-US"/>
        </w:rPr>
        <w:t>Musacchio</w:t>
      </w:r>
      <w:proofErr w:type="spellEnd"/>
      <w:r w:rsidRPr="00924664">
        <w:rPr>
          <w:color w:val="000000"/>
          <w:lang w:val="en-US"/>
        </w:rPr>
        <w:t xml:space="preserve">, “Lambs, Coral, Teeth, and the Intimate Intersection of Religion and Magic in Renaissance Italy,” in </w:t>
      </w:r>
      <w:r w:rsidRPr="00924664">
        <w:rPr>
          <w:i/>
          <w:iCs/>
          <w:color w:val="000000"/>
          <w:lang w:val="en-US"/>
        </w:rPr>
        <w:t>Images, Relics, and Devotional Practices in Medieval and Renaissance Italy</w:t>
      </w:r>
      <w:r w:rsidRPr="00924664">
        <w:rPr>
          <w:color w:val="000000"/>
          <w:lang w:val="en-US"/>
        </w:rPr>
        <w:t>, ed. Scott Montgomery and Sally Cornelison (Tempe: Arizona Center for Medieval and Renaissance Studies, 2005), 151–53.</w:t>
      </w:r>
    </w:p>
  </w:footnote>
  <w:footnote w:id="565">
    <w:p w14:paraId="3E5EFF84" w14:textId="77777777" w:rsidR="00182EED" w:rsidRDefault="00182EED" w:rsidP="00094F64">
      <w:pPr>
        <w:pStyle w:val="FootnoteText"/>
      </w:pPr>
      <w:r w:rsidRPr="00591949">
        <w:rPr>
          <w:rStyle w:val="FootnoteReference"/>
        </w:rPr>
        <w:footnoteRef/>
      </w:r>
      <w:r>
        <w:t xml:space="preserve"> </w:t>
      </w:r>
      <w:r w:rsidRPr="00924664">
        <w:rPr>
          <w:color w:val="000000"/>
          <w:lang w:val="en-US"/>
        </w:rPr>
        <w:t>Shephard, “A Mirror for Princes,” 107.</w:t>
      </w:r>
    </w:p>
  </w:footnote>
  <w:footnote w:id="566">
    <w:p w14:paraId="5D7D4949" w14:textId="77777777" w:rsidR="00182EED" w:rsidRDefault="00182EED" w:rsidP="00094F64">
      <w:pPr>
        <w:pStyle w:val="FootnoteText"/>
      </w:pPr>
      <w:r w:rsidRPr="00591949">
        <w:rPr>
          <w:rStyle w:val="FootnoteReference"/>
        </w:rPr>
        <w:footnoteRef/>
      </w:r>
      <w:r>
        <w:t xml:space="preserve"> </w:t>
      </w:r>
      <w:r w:rsidRPr="00924664">
        <w:rPr>
          <w:color w:val="000000"/>
          <w:lang w:val="en-US"/>
        </w:rPr>
        <w:t xml:space="preserve">“Nel primo </w:t>
      </w:r>
      <w:proofErr w:type="spellStart"/>
      <w:r w:rsidRPr="00924664">
        <w:rPr>
          <w:color w:val="000000"/>
          <w:lang w:val="en-US"/>
        </w:rPr>
        <w:t>specchio</w:t>
      </w:r>
      <w:proofErr w:type="spellEnd"/>
      <w:r w:rsidRPr="00924664">
        <w:rPr>
          <w:color w:val="000000"/>
          <w:lang w:val="en-US"/>
        </w:rPr>
        <w:t xml:space="preserve"> fa’ </w:t>
      </w:r>
      <w:proofErr w:type="spellStart"/>
      <w:r w:rsidRPr="00924664">
        <w:rPr>
          <w:color w:val="000000"/>
          <w:lang w:val="en-US"/>
        </w:rPr>
        <w:t>specchiare</w:t>
      </w:r>
      <w:proofErr w:type="spellEnd"/>
      <w:r w:rsidRPr="00924664">
        <w:rPr>
          <w:color w:val="000000"/>
          <w:lang w:val="en-US"/>
        </w:rPr>
        <w:t xml:space="preserve"> </w:t>
      </w:r>
      <w:proofErr w:type="spellStart"/>
      <w:r w:rsidRPr="00924664">
        <w:rPr>
          <w:color w:val="000000"/>
          <w:lang w:val="en-US"/>
        </w:rPr>
        <w:t>i</w:t>
      </w:r>
      <w:proofErr w:type="spellEnd"/>
      <w:r w:rsidRPr="00924664">
        <w:rPr>
          <w:color w:val="000000"/>
          <w:lang w:val="en-US"/>
        </w:rPr>
        <w:t xml:space="preserve"> </w:t>
      </w:r>
      <w:proofErr w:type="spellStart"/>
      <w:r w:rsidRPr="00924664">
        <w:rPr>
          <w:color w:val="000000"/>
          <w:lang w:val="en-US"/>
        </w:rPr>
        <w:t>tuoi</w:t>
      </w:r>
      <w:proofErr w:type="spellEnd"/>
      <w:r w:rsidRPr="00924664">
        <w:rPr>
          <w:color w:val="000000"/>
          <w:lang w:val="en-US"/>
        </w:rPr>
        <w:t xml:space="preserve"> </w:t>
      </w:r>
      <w:proofErr w:type="spellStart"/>
      <w:r w:rsidRPr="00924664">
        <w:rPr>
          <w:color w:val="000000"/>
          <w:lang w:val="en-US"/>
        </w:rPr>
        <w:t>figliuoli</w:t>
      </w:r>
      <w:proofErr w:type="spellEnd"/>
      <w:r w:rsidRPr="00924664">
        <w:rPr>
          <w:color w:val="000000"/>
          <w:lang w:val="en-US"/>
        </w:rPr>
        <w:t xml:space="preserve">, come </w:t>
      </w:r>
      <w:proofErr w:type="spellStart"/>
      <w:r w:rsidRPr="00924664">
        <w:rPr>
          <w:color w:val="000000"/>
          <w:lang w:val="en-US"/>
        </w:rPr>
        <w:t>aprono</w:t>
      </w:r>
      <w:proofErr w:type="spellEnd"/>
      <w:r w:rsidRPr="00924664">
        <w:rPr>
          <w:color w:val="000000"/>
          <w:lang w:val="en-US"/>
        </w:rPr>
        <w:t xml:space="preserve"> </w:t>
      </w:r>
      <w:proofErr w:type="spellStart"/>
      <w:r w:rsidRPr="00924664">
        <w:rPr>
          <w:color w:val="000000"/>
          <w:lang w:val="en-US"/>
        </w:rPr>
        <w:t>gli</w:t>
      </w:r>
      <w:proofErr w:type="spellEnd"/>
      <w:r w:rsidRPr="00924664">
        <w:rPr>
          <w:color w:val="000000"/>
          <w:lang w:val="en-US"/>
        </w:rPr>
        <w:t xml:space="preserve"> </w:t>
      </w:r>
      <w:proofErr w:type="spellStart"/>
      <w:r w:rsidRPr="00924664">
        <w:rPr>
          <w:color w:val="000000"/>
          <w:lang w:val="en-US"/>
        </w:rPr>
        <w:t>occhi</w:t>
      </w:r>
      <w:proofErr w:type="spellEnd"/>
      <w:r w:rsidRPr="00924664">
        <w:rPr>
          <w:color w:val="000000"/>
          <w:lang w:val="en-US"/>
        </w:rPr>
        <w:t xml:space="preserve">.” </w:t>
      </w:r>
      <w:proofErr w:type="spellStart"/>
      <w:r w:rsidRPr="00924664">
        <w:rPr>
          <w:color w:val="000000"/>
          <w:lang w:val="en-US"/>
        </w:rPr>
        <w:t>Dominici</w:t>
      </w:r>
      <w:proofErr w:type="spellEnd"/>
      <w:r w:rsidRPr="00924664">
        <w:rPr>
          <w:color w:val="000000"/>
          <w:lang w:val="en-US"/>
        </w:rPr>
        <w:t xml:space="preserve">, </w:t>
      </w:r>
      <w:proofErr w:type="spellStart"/>
      <w:r w:rsidRPr="00924664">
        <w:rPr>
          <w:i/>
          <w:iCs/>
          <w:color w:val="000000"/>
          <w:lang w:val="en-US"/>
        </w:rPr>
        <w:t>Regola</w:t>
      </w:r>
      <w:proofErr w:type="spellEnd"/>
      <w:r w:rsidRPr="00924664">
        <w:rPr>
          <w:i/>
          <w:iCs/>
          <w:color w:val="000000"/>
          <w:lang w:val="en-US"/>
        </w:rPr>
        <w:t xml:space="preserve"> Del </w:t>
      </w:r>
      <w:proofErr w:type="spellStart"/>
      <w:r w:rsidRPr="00924664">
        <w:rPr>
          <w:i/>
          <w:iCs/>
          <w:color w:val="000000"/>
          <w:lang w:val="en-US"/>
        </w:rPr>
        <w:t>Governo</w:t>
      </w:r>
      <w:proofErr w:type="spellEnd"/>
      <w:r w:rsidRPr="00924664">
        <w:rPr>
          <w:i/>
          <w:iCs/>
          <w:color w:val="000000"/>
          <w:lang w:val="en-US"/>
        </w:rPr>
        <w:t xml:space="preserve"> Di </w:t>
      </w:r>
      <w:proofErr w:type="spellStart"/>
      <w:r w:rsidRPr="00924664">
        <w:rPr>
          <w:i/>
          <w:iCs/>
          <w:color w:val="000000"/>
          <w:lang w:val="en-US"/>
        </w:rPr>
        <w:t>Cura</w:t>
      </w:r>
      <w:proofErr w:type="spellEnd"/>
      <w:r w:rsidRPr="00924664">
        <w:rPr>
          <w:i/>
          <w:iCs/>
          <w:color w:val="000000"/>
          <w:lang w:val="en-US"/>
        </w:rPr>
        <w:t xml:space="preserve"> </w:t>
      </w:r>
      <w:proofErr w:type="spellStart"/>
      <w:r w:rsidRPr="00924664">
        <w:rPr>
          <w:i/>
          <w:iCs/>
          <w:color w:val="000000"/>
          <w:lang w:val="en-US"/>
        </w:rPr>
        <w:t>Familiare</w:t>
      </w:r>
      <w:proofErr w:type="spellEnd"/>
      <w:r w:rsidRPr="00924664">
        <w:rPr>
          <w:color w:val="000000"/>
          <w:lang w:val="en-US"/>
        </w:rPr>
        <w:t>, 132.</w:t>
      </w:r>
    </w:p>
  </w:footnote>
  <w:footnote w:id="567">
    <w:p w14:paraId="2A7169A9" w14:textId="77777777" w:rsidR="00182EED" w:rsidRDefault="00182EED" w:rsidP="00094F64">
      <w:pPr>
        <w:pStyle w:val="FootnoteText"/>
      </w:pPr>
      <w:r w:rsidRPr="00591949">
        <w:rPr>
          <w:rStyle w:val="FootnoteReference"/>
        </w:rPr>
        <w:footnoteRef/>
      </w:r>
      <w:r>
        <w:t xml:space="preserve"> </w:t>
      </w:r>
      <w:r w:rsidRPr="00924664">
        <w:rPr>
          <w:color w:val="000000"/>
          <w:lang w:val="en-US"/>
        </w:rPr>
        <w:t>The “frame of proper reference”, or “field of imaginative association</w:t>
      </w:r>
      <w:r>
        <w:rPr>
          <w:color w:val="000000"/>
          <w:lang w:val="en-US"/>
        </w:rPr>
        <w:t>,</w:t>
      </w:r>
      <w:r w:rsidRPr="00924664">
        <w:rPr>
          <w:color w:val="000000"/>
          <w:lang w:val="en-US"/>
        </w:rPr>
        <w:t xml:space="preserve">” includes arguments created using analogies between parallel phenomena, when finding direct evidence proves impossible. On the different methods to carry out art-historical research see William Hood, “The State of Research in Italian Renaissance Art,” </w:t>
      </w:r>
      <w:r w:rsidRPr="00924664">
        <w:rPr>
          <w:i/>
          <w:iCs/>
          <w:color w:val="000000"/>
          <w:lang w:val="en-US"/>
        </w:rPr>
        <w:t>The Art Bulletin</w:t>
      </w:r>
      <w:r w:rsidRPr="00924664">
        <w:rPr>
          <w:color w:val="000000"/>
          <w:lang w:val="en-US"/>
        </w:rPr>
        <w:t xml:space="preserve"> 69, no. 2 (June 1987): esp. 184.</w:t>
      </w:r>
      <w:r>
        <w:rPr>
          <w:color w:val="000000"/>
          <w:lang w:val="en-US"/>
        </w:rPr>
        <w:t xml:space="preserve"> </w:t>
      </w:r>
    </w:p>
  </w:footnote>
  <w:footnote w:id="568">
    <w:p w14:paraId="5BEF40B3" w14:textId="77777777" w:rsidR="00182EED" w:rsidRDefault="00182EED" w:rsidP="00094F64">
      <w:pPr>
        <w:pStyle w:val="FootnoteText"/>
      </w:pPr>
      <w:r w:rsidRPr="00591949">
        <w:rPr>
          <w:rStyle w:val="FootnoteReference"/>
        </w:rPr>
        <w:footnoteRef/>
      </w:r>
      <w:r>
        <w:t xml:space="preserve"> </w:t>
      </w:r>
      <w:r w:rsidRPr="00B161FD">
        <w:rPr>
          <w:color w:val="000000"/>
          <w:lang w:val="en-US"/>
        </w:rPr>
        <w:t xml:space="preserve">Thornton and Wilson 2009 list several other versions of this dish, including one in the </w:t>
      </w:r>
      <w:proofErr w:type="spellStart"/>
      <w:r w:rsidRPr="00B161FD">
        <w:rPr>
          <w:color w:val="000000"/>
          <w:lang w:val="en-US"/>
        </w:rPr>
        <w:t>Musée</w:t>
      </w:r>
      <w:proofErr w:type="spellEnd"/>
      <w:r w:rsidRPr="00B161FD">
        <w:rPr>
          <w:color w:val="000000"/>
          <w:lang w:val="en-US"/>
        </w:rPr>
        <w:t xml:space="preserve"> du Louvre in Paris (inv. OA 1457)</w:t>
      </w:r>
      <w:r>
        <w:rPr>
          <w:color w:val="000000"/>
          <w:lang w:val="en-US"/>
        </w:rPr>
        <w:t xml:space="preserve">, see </w:t>
      </w:r>
      <w:r w:rsidRPr="00B161FD">
        <w:rPr>
          <w:color w:val="000000"/>
          <w:lang w:val="en-US"/>
        </w:rPr>
        <w:t xml:space="preserve">Dora Thornton and Timothy Wilson, </w:t>
      </w:r>
      <w:r w:rsidRPr="00B161FD">
        <w:rPr>
          <w:i/>
          <w:iCs/>
          <w:color w:val="000000"/>
          <w:lang w:val="en-US"/>
        </w:rPr>
        <w:t>Italian Renaissance Ceramics: A Catalogue of the British Museum Collection</w:t>
      </w:r>
      <w:r w:rsidRPr="00B161FD">
        <w:rPr>
          <w:color w:val="000000"/>
          <w:lang w:val="en-US"/>
        </w:rPr>
        <w:t xml:space="preserve"> (London: British Museum Press, 2009).</w:t>
      </w:r>
    </w:p>
  </w:footnote>
  <w:footnote w:id="569">
    <w:p w14:paraId="0491F7BC" w14:textId="77777777" w:rsidR="00182EED" w:rsidRDefault="00182EED" w:rsidP="00094F64">
      <w:pPr>
        <w:pStyle w:val="FootnoteText"/>
      </w:pPr>
      <w:r w:rsidRPr="00591949">
        <w:rPr>
          <w:rStyle w:val="FootnoteReference"/>
        </w:rPr>
        <w:footnoteRef/>
      </w:r>
      <w:r>
        <w:t xml:space="preserve"> </w:t>
      </w:r>
      <w:r>
        <w:rPr>
          <w:color w:val="000000"/>
          <w:lang w:val="en-US"/>
        </w:rPr>
        <w:t>Ibid., vol.2, 472 no.280.</w:t>
      </w:r>
    </w:p>
  </w:footnote>
  <w:footnote w:id="570">
    <w:p w14:paraId="6ED99F91" w14:textId="77777777" w:rsidR="00182EED" w:rsidRDefault="00182EED" w:rsidP="00094F64">
      <w:pPr>
        <w:pStyle w:val="FootnoteText"/>
      </w:pPr>
      <w:r w:rsidRPr="00591949">
        <w:rPr>
          <w:rStyle w:val="FootnoteReference"/>
        </w:rPr>
        <w:footnoteRef/>
      </w:r>
      <w:r>
        <w:t xml:space="preserve"> </w:t>
      </w:r>
      <w:r w:rsidRPr="00E126BA">
        <w:rPr>
          <w:color w:val="000000"/>
          <w:lang w:val="en-US"/>
        </w:rPr>
        <w:t xml:space="preserve">Timothy Wilson and Luke Syson, </w:t>
      </w:r>
      <w:r w:rsidRPr="00E126BA">
        <w:rPr>
          <w:i/>
          <w:iCs/>
          <w:color w:val="000000"/>
          <w:lang w:val="en-US"/>
        </w:rPr>
        <w:t>Maiolica: Italian Renaissance Ceramics in the Metropolitan Museum of Art</w:t>
      </w:r>
      <w:r w:rsidRPr="00E126BA">
        <w:rPr>
          <w:color w:val="000000"/>
          <w:lang w:val="en-US"/>
        </w:rPr>
        <w:t xml:space="preserve"> (New York: Metropolitan Museum of Art, 2016), 244–45; Thornton and Wilson, </w:t>
      </w:r>
      <w:r w:rsidRPr="00E126BA">
        <w:rPr>
          <w:i/>
          <w:iCs/>
          <w:color w:val="000000"/>
          <w:lang w:val="en-US"/>
        </w:rPr>
        <w:t>Italian Renaissance Ceramics</w:t>
      </w:r>
      <w:r w:rsidRPr="00E126BA">
        <w:rPr>
          <w:color w:val="000000"/>
          <w:lang w:val="en-US"/>
        </w:rPr>
        <w:t>, vol.2, entry 280, 471-472.</w:t>
      </w:r>
    </w:p>
  </w:footnote>
  <w:footnote w:id="571">
    <w:p w14:paraId="2DCB6753" w14:textId="77777777" w:rsidR="00182EED" w:rsidRDefault="00182EED" w:rsidP="00094F64">
      <w:pPr>
        <w:pStyle w:val="FootnoteText"/>
      </w:pPr>
      <w:r w:rsidRPr="00591949">
        <w:rPr>
          <w:rStyle w:val="FootnoteReference"/>
        </w:rPr>
        <w:footnoteRef/>
      </w:r>
      <w:r w:rsidRPr="000F1071">
        <w:t xml:space="preserve"> </w:t>
      </w:r>
      <w:r w:rsidRPr="00B161FD">
        <w:rPr>
          <w:color w:val="000000"/>
          <w:lang w:val="en-US"/>
        </w:rPr>
        <w:t>“Dish with Angel,</w:t>
      </w:r>
      <w:r>
        <w:rPr>
          <w:color w:val="000000"/>
          <w:lang w:val="en-US"/>
        </w:rPr>
        <w:t xml:space="preserve"> </w:t>
      </w:r>
      <w:r w:rsidRPr="00B161FD">
        <w:rPr>
          <w:color w:val="000000"/>
          <w:lang w:val="en-US"/>
        </w:rPr>
        <w:t xml:space="preserve">ca. 1510–30,” in </w:t>
      </w:r>
      <w:r w:rsidRPr="00B161FD">
        <w:rPr>
          <w:i/>
          <w:iCs/>
          <w:color w:val="000000"/>
          <w:lang w:val="en-US"/>
        </w:rPr>
        <w:t>Metropolitan Museum Catalog</w:t>
      </w:r>
      <w:r w:rsidRPr="00B161FD">
        <w:rPr>
          <w:color w:val="000000"/>
          <w:lang w:val="en-US"/>
        </w:rPr>
        <w:t>, accessed October 20, 2018, https://www.metmuseum.org/art/collection/search/204522.</w:t>
      </w:r>
    </w:p>
  </w:footnote>
  <w:footnote w:id="572">
    <w:p w14:paraId="6F47B97C" w14:textId="77777777" w:rsidR="00182EED" w:rsidRDefault="00182EED" w:rsidP="00094F64">
      <w:pPr>
        <w:pStyle w:val="FootnoteText"/>
      </w:pPr>
      <w:r w:rsidRPr="00591949">
        <w:rPr>
          <w:rStyle w:val="FootnoteReference"/>
        </w:rPr>
        <w:footnoteRef/>
      </w:r>
      <w:r>
        <w:t xml:space="preserve"> </w:t>
      </w:r>
      <w:r w:rsidRPr="00E61F6E">
        <w:rPr>
          <w:color w:val="000000"/>
          <w:lang w:val="en-US"/>
        </w:rPr>
        <w:t xml:space="preserve">“E se non </w:t>
      </w:r>
      <w:proofErr w:type="spellStart"/>
      <w:r w:rsidRPr="00E61F6E">
        <w:rPr>
          <w:color w:val="000000"/>
          <w:lang w:val="en-US"/>
        </w:rPr>
        <w:t>vuogli</w:t>
      </w:r>
      <w:proofErr w:type="spellEnd"/>
      <w:r w:rsidRPr="00E61F6E">
        <w:rPr>
          <w:color w:val="000000"/>
          <w:lang w:val="en-US"/>
        </w:rPr>
        <w:t xml:space="preserve">, o non </w:t>
      </w:r>
      <w:proofErr w:type="spellStart"/>
      <w:r w:rsidRPr="00E61F6E">
        <w:rPr>
          <w:color w:val="000000"/>
          <w:lang w:val="en-US"/>
        </w:rPr>
        <w:t>puoi</w:t>
      </w:r>
      <w:proofErr w:type="spellEnd"/>
      <w:r w:rsidRPr="00E61F6E">
        <w:rPr>
          <w:color w:val="000000"/>
          <w:lang w:val="en-US"/>
        </w:rPr>
        <w:t xml:space="preserve">, di </w:t>
      </w:r>
      <w:proofErr w:type="spellStart"/>
      <w:r w:rsidRPr="00E61F6E">
        <w:rPr>
          <w:color w:val="000000"/>
          <w:lang w:val="en-US"/>
        </w:rPr>
        <w:t>tante</w:t>
      </w:r>
      <w:proofErr w:type="spellEnd"/>
      <w:r w:rsidRPr="00E61F6E">
        <w:rPr>
          <w:color w:val="000000"/>
          <w:lang w:val="en-US"/>
        </w:rPr>
        <w:t xml:space="preserve"> </w:t>
      </w:r>
      <w:proofErr w:type="spellStart"/>
      <w:r w:rsidRPr="00E61F6E">
        <w:rPr>
          <w:color w:val="000000"/>
          <w:lang w:val="en-US"/>
        </w:rPr>
        <w:t>dipinture</w:t>
      </w:r>
      <w:proofErr w:type="spellEnd"/>
      <w:r w:rsidRPr="00E61F6E">
        <w:rPr>
          <w:color w:val="000000"/>
          <w:lang w:val="en-US"/>
        </w:rPr>
        <w:t xml:space="preserve"> fare quasi </w:t>
      </w:r>
      <w:proofErr w:type="spellStart"/>
      <w:r w:rsidRPr="00E61F6E">
        <w:rPr>
          <w:color w:val="000000"/>
          <w:lang w:val="en-US"/>
        </w:rPr>
        <w:t>tempio</w:t>
      </w:r>
      <w:proofErr w:type="spellEnd"/>
      <w:r w:rsidRPr="00E61F6E">
        <w:rPr>
          <w:color w:val="000000"/>
          <w:lang w:val="en-US"/>
        </w:rPr>
        <w:t xml:space="preserve"> in casa, </w:t>
      </w:r>
      <w:proofErr w:type="spellStart"/>
      <w:r w:rsidRPr="00E61F6E">
        <w:rPr>
          <w:color w:val="000000"/>
          <w:lang w:val="en-US"/>
        </w:rPr>
        <w:t>avendo</w:t>
      </w:r>
      <w:proofErr w:type="spellEnd"/>
      <w:r w:rsidRPr="00E61F6E">
        <w:rPr>
          <w:color w:val="000000"/>
          <w:lang w:val="en-US"/>
        </w:rPr>
        <w:t xml:space="preserve"> </w:t>
      </w:r>
      <w:proofErr w:type="spellStart"/>
      <w:r w:rsidRPr="00E61F6E">
        <w:rPr>
          <w:color w:val="000000"/>
          <w:lang w:val="en-US"/>
        </w:rPr>
        <w:t>balia</w:t>
      </w:r>
      <w:proofErr w:type="spellEnd"/>
      <w:r w:rsidRPr="00E61F6E">
        <w:rPr>
          <w:color w:val="000000"/>
          <w:lang w:val="en-US"/>
        </w:rPr>
        <w:t xml:space="preserve"> fa’ </w:t>
      </w:r>
      <w:proofErr w:type="spellStart"/>
      <w:r w:rsidRPr="00E61F6E">
        <w:rPr>
          <w:color w:val="000000"/>
          <w:lang w:val="en-US"/>
        </w:rPr>
        <w:t>sieno</w:t>
      </w:r>
      <w:proofErr w:type="spellEnd"/>
      <w:r w:rsidRPr="00E61F6E">
        <w:rPr>
          <w:color w:val="000000"/>
          <w:lang w:val="en-US"/>
        </w:rPr>
        <w:t xml:space="preserve"> </w:t>
      </w:r>
      <w:proofErr w:type="spellStart"/>
      <w:r w:rsidRPr="00E61F6E">
        <w:rPr>
          <w:color w:val="000000"/>
          <w:lang w:val="en-US"/>
        </w:rPr>
        <w:t>menati</w:t>
      </w:r>
      <w:proofErr w:type="spellEnd"/>
      <w:r w:rsidRPr="00E61F6E">
        <w:rPr>
          <w:color w:val="000000"/>
          <w:lang w:val="en-US"/>
        </w:rPr>
        <w:t xml:space="preserve"> </w:t>
      </w:r>
      <w:proofErr w:type="spellStart"/>
      <w:r w:rsidRPr="00E61F6E">
        <w:rPr>
          <w:color w:val="000000"/>
          <w:lang w:val="en-US"/>
        </w:rPr>
        <w:t>spesso</w:t>
      </w:r>
      <w:proofErr w:type="spellEnd"/>
      <w:r w:rsidRPr="00E61F6E">
        <w:rPr>
          <w:color w:val="000000"/>
          <w:lang w:val="en-US"/>
        </w:rPr>
        <w:t xml:space="preserve"> in chiesa.” </w:t>
      </w:r>
      <w:proofErr w:type="spellStart"/>
      <w:r w:rsidRPr="00E61F6E">
        <w:rPr>
          <w:color w:val="000000"/>
          <w:lang w:val="en-US"/>
        </w:rPr>
        <w:t>Dominici</w:t>
      </w:r>
      <w:proofErr w:type="spellEnd"/>
      <w:r w:rsidRPr="00E61F6E">
        <w:rPr>
          <w:color w:val="000000"/>
          <w:lang w:val="en-US"/>
        </w:rPr>
        <w:t xml:space="preserve">, </w:t>
      </w:r>
      <w:proofErr w:type="spellStart"/>
      <w:r w:rsidRPr="00E61F6E">
        <w:rPr>
          <w:i/>
          <w:iCs/>
          <w:color w:val="000000"/>
          <w:lang w:val="en-US"/>
        </w:rPr>
        <w:t>Regola</w:t>
      </w:r>
      <w:proofErr w:type="spellEnd"/>
      <w:r w:rsidRPr="00E61F6E">
        <w:rPr>
          <w:i/>
          <w:iCs/>
          <w:color w:val="000000"/>
          <w:lang w:val="en-US"/>
        </w:rPr>
        <w:t xml:space="preserve"> Del </w:t>
      </w:r>
      <w:proofErr w:type="spellStart"/>
      <w:r w:rsidRPr="00E61F6E">
        <w:rPr>
          <w:i/>
          <w:iCs/>
          <w:color w:val="000000"/>
          <w:lang w:val="en-US"/>
        </w:rPr>
        <w:t>Governo</w:t>
      </w:r>
      <w:proofErr w:type="spellEnd"/>
      <w:r w:rsidRPr="00E61F6E">
        <w:rPr>
          <w:i/>
          <w:iCs/>
          <w:color w:val="000000"/>
          <w:lang w:val="en-US"/>
        </w:rPr>
        <w:t xml:space="preserve"> Di </w:t>
      </w:r>
      <w:proofErr w:type="spellStart"/>
      <w:r w:rsidRPr="00E61F6E">
        <w:rPr>
          <w:i/>
          <w:iCs/>
          <w:color w:val="000000"/>
          <w:lang w:val="en-US"/>
        </w:rPr>
        <w:t>Cura</w:t>
      </w:r>
      <w:proofErr w:type="spellEnd"/>
      <w:r w:rsidRPr="00E61F6E">
        <w:rPr>
          <w:i/>
          <w:iCs/>
          <w:color w:val="000000"/>
          <w:lang w:val="en-US"/>
        </w:rPr>
        <w:t xml:space="preserve"> </w:t>
      </w:r>
      <w:proofErr w:type="spellStart"/>
      <w:r w:rsidRPr="00E61F6E">
        <w:rPr>
          <w:i/>
          <w:iCs/>
          <w:color w:val="000000"/>
          <w:lang w:val="en-US"/>
        </w:rPr>
        <w:t>Familiare</w:t>
      </w:r>
      <w:proofErr w:type="spellEnd"/>
      <w:r w:rsidRPr="00E61F6E">
        <w:rPr>
          <w:color w:val="000000"/>
          <w:lang w:val="en-US"/>
        </w:rPr>
        <w:t>, 132.</w:t>
      </w:r>
    </w:p>
  </w:footnote>
  <w:footnote w:id="573">
    <w:p w14:paraId="2DA3BE30" w14:textId="77777777" w:rsidR="00182EED" w:rsidRDefault="00182EED" w:rsidP="00094F64">
      <w:pPr>
        <w:pStyle w:val="FootnoteText"/>
      </w:pPr>
      <w:r w:rsidRPr="00591949">
        <w:rPr>
          <w:rStyle w:val="FootnoteReference"/>
        </w:rPr>
        <w:footnoteRef/>
      </w:r>
      <w:r>
        <w:t xml:space="preserve"> </w:t>
      </w:r>
      <w:r w:rsidRPr="00E61F6E">
        <w:rPr>
          <w:color w:val="000000"/>
          <w:lang w:val="en-US"/>
        </w:rPr>
        <w:t xml:space="preserve">Olson, </w:t>
      </w:r>
      <w:r w:rsidRPr="00E61F6E">
        <w:rPr>
          <w:i/>
          <w:iCs/>
          <w:color w:val="000000"/>
          <w:lang w:val="en-US"/>
        </w:rPr>
        <w:t>The Florentine Tondo</w:t>
      </w:r>
      <w:r w:rsidRPr="00E61F6E">
        <w:rPr>
          <w:color w:val="000000"/>
          <w:lang w:val="en-US"/>
        </w:rPr>
        <w:t>, 67.</w:t>
      </w:r>
    </w:p>
  </w:footnote>
  <w:footnote w:id="574">
    <w:p w14:paraId="7DC3FFE4" w14:textId="77777777" w:rsidR="00182EED" w:rsidRDefault="00182EED" w:rsidP="00094F64">
      <w:pPr>
        <w:pStyle w:val="FootnoteText"/>
      </w:pPr>
      <w:r w:rsidRPr="00591949">
        <w:rPr>
          <w:rStyle w:val="FootnoteReference"/>
        </w:rPr>
        <w:footnoteRef/>
      </w:r>
      <w:r>
        <w:t xml:space="preserve"> </w:t>
      </w:r>
      <w:r w:rsidRPr="00E61F6E">
        <w:rPr>
          <w:color w:val="000000"/>
          <w:lang w:val="en-US"/>
        </w:rPr>
        <w:t>See Olson, “Lost and Partially Found,” 40.</w:t>
      </w:r>
    </w:p>
  </w:footnote>
  <w:footnote w:id="575">
    <w:p w14:paraId="633CC077" w14:textId="77777777" w:rsidR="00182EED" w:rsidRDefault="00182EED" w:rsidP="00094F64">
      <w:pPr>
        <w:pStyle w:val="FootnoteText"/>
      </w:pPr>
      <w:r w:rsidRPr="00591949">
        <w:rPr>
          <w:rStyle w:val="FootnoteReference"/>
        </w:rPr>
        <w:footnoteRef/>
      </w:r>
      <w:r>
        <w:t xml:space="preserve"> </w:t>
      </w:r>
      <w:r w:rsidRPr="00E61F6E">
        <w:rPr>
          <w:color w:val="000000"/>
          <w:lang w:val="en-US"/>
        </w:rPr>
        <w:t xml:space="preserve">Vasari, </w:t>
      </w:r>
      <w:r w:rsidRPr="00E61F6E">
        <w:rPr>
          <w:i/>
          <w:iCs/>
          <w:color w:val="000000"/>
          <w:lang w:val="en-US"/>
        </w:rPr>
        <w:t xml:space="preserve">Le </w:t>
      </w:r>
      <w:proofErr w:type="spellStart"/>
      <w:r w:rsidRPr="00E61F6E">
        <w:rPr>
          <w:i/>
          <w:iCs/>
          <w:color w:val="000000"/>
          <w:lang w:val="en-US"/>
        </w:rPr>
        <w:t>vite</w:t>
      </w:r>
      <w:proofErr w:type="spellEnd"/>
      <w:r w:rsidRPr="00E61F6E">
        <w:rPr>
          <w:i/>
          <w:iCs/>
          <w:color w:val="000000"/>
          <w:lang w:val="en-US"/>
        </w:rPr>
        <w:t xml:space="preserve"> </w:t>
      </w:r>
      <w:proofErr w:type="spellStart"/>
      <w:r w:rsidRPr="00E61F6E">
        <w:rPr>
          <w:i/>
          <w:iCs/>
          <w:color w:val="000000"/>
          <w:lang w:val="en-US"/>
        </w:rPr>
        <w:t>dei</w:t>
      </w:r>
      <w:proofErr w:type="spellEnd"/>
      <w:r w:rsidRPr="00E61F6E">
        <w:rPr>
          <w:i/>
          <w:iCs/>
          <w:color w:val="000000"/>
          <w:lang w:val="en-US"/>
        </w:rPr>
        <w:t xml:space="preserve"> </w:t>
      </w:r>
      <w:proofErr w:type="spellStart"/>
      <w:r w:rsidRPr="00E61F6E">
        <w:rPr>
          <w:i/>
          <w:iCs/>
          <w:color w:val="000000"/>
          <w:lang w:val="en-US"/>
        </w:rPr>
        <w:t>più</w:t>
      </w:r>
      <w:proofErr w:type="spellEnd"/>
      <w:r w:rsidRPr="00E61F6E">
        <w:rPr>
          <w:i/>
          <w:iCs/>
          <w:color w:val="000000"/>
          <w:lang w:val="en-US"/>
        </w:rPr>
        <w:t xml:space="preserve"> </w:t>
      </w:r>
      <w:proofErr w:type="spellStart"/>
      <w:r w:rsidRPr="00E61F6E">
        <w:rPr>
          <w:i/>
          <w:iCs/>
          <w:color w:val="000000"/>
          <w:lang w:val="en-US"/>
        </w:rPr>
        <w:t>eccellenti</w:t>
      </w:r>
      <w:proofErr w:type="spellEnd"/>
      <w:r w:rsidRPr="00E61F6E">
        <w:rPr>
          <w:i/>
          <w:iCs/>
          <w:color w:val="000000"/>
          <w:lang w:val="en-US"/>
        </w:rPr>
        <w:t xml:space="preserve"> </w:t>
      </w:r>
      <w:proofErr w:type="spellStart"/>
      <w:r w:rsidRPr="00E61F6E">
        <w:rPr>
          <w:i/>
          <w:iCs/>
          <w:color w:val="000000"/>
          <w:lang w:val="en-US"/>
        </w:rPr>
        <w:t>pittori</w:t>
      </w:r>
      <w:proofErr w:type="spellEnd"/>
      <w:r w:rsidRPr="00E61F6E">
        <w:rPr>
          <w:i/>
          <w:iCs/>
          <w:color w:val="000000"/>
          <w:lang w:val="en-US"/>
        </w:rPr>
        <w:t xml:space="preserve">, </w:t>
      </w:r>
      <w:proofErr w:type="spellStart"/>
      <w:r w:rsidRPr="00E61F6E">
        <w:rPr>
          <w:i/>
          <w:iCs/>
          <w:color w:val="000000"/>
          <w:lang w:val="en-US"/>
        </w:rPr>
        <w:t>scultori</w:t>
      </w:r>
      <w:proofErr w:type="spellEnd"/>
      <w:r w:rsidRPr="00E61F6E">
        <w:rPr>
          <w:i/>
          <w:iCs/>
          <w:color w:val="000000"/>
          <w:lang w:val="en-US"/>
        </w:rPr>
        <w:t xml:space="preserve"> e </w:t>
      </w:r>
      <w:proofErr w:type="spellStart"/>
      <w:r w:rsidRPr="00E61F6E">
        <w:rPr>
          <w:i/>
          <w:iCs/>
          <w:color w:val="000000"/>
          <w:lang w:val="en-US"/>
        </w:rPr>
        <w:t>architetti</w:t>
      </w:r>
      <w:proofErr w:type="spellEnd"/>
      <w:r w:rsidRPr="00E61F6E">
        <w:rPr>
          <w:color w:val="000000"/>
          <w:lang w:val="en-US"/>
        </w:rPr>
        <w:t>, 493 (</w:t>
      </w:r>
      <w:r w:rsidRPr="00E61F6E">
        <w:rPr>
          <w:i/>
          <w:iCs/>
          <w:color w:val="000000"/>
          <w:lang w:val="en-US"/>
        </w:rPr>
        <w:t xml:space="preserve">Vita di Sandro </w:t>
      </w:r>
      <w:proofErr w:type="spellStart"/>
      <w:r w:rsidRPr="00E61F6E">
        <w:rPr>
          <w:i/>
          <w:iCs/>
          <w:color w:val="000000"/>
          <w:lang w:val="en-US"/>
        </w:rPr>
        <w:t>Botticello</w:t>
      </w:r>
      <w:proofErr w:type="spellEnd"/>
      <w:r w:rsidRPr="00E61F6E">
        <w:rPr>
          <w:color w:val="000000"/>
          <w:lang w:val="en-US"/>
        </w:rPr>
        <w:t>); see also Olson, “Lost and Partially Found,” 46.</w:t>
      </w:r>
    </w:p>
  </w:footnote>
  <w:footnote w:id="576">
    <w:p w14:paraId="2CB09223" w14:textId="77777777" w:rsidR="00182EED" w:rsidRDefault="00182EED" w:rsidP="00094F64">
      <w:pPr>
        <w:pStyle w:val="FootnoteText"/>
      </w:pPr>
      <w:r w:rsidRPr="00591949">
        <w:rPr>
          <w:rStyle w:val="FootnoteReference"/>
        </w:rPr>
        <w:footnoteRef/>
      </w:r>
      <w:r>
        <w:t xml:space="preserve"> </w:t>
      </w:r>
      <w:proofErr w:type="spellStart"/>
      <w:r w:rsidRPr="00E61F6E">
        <w:rPr>
          <w:color w:val="000000"/>
          <w:lang w:val="en-US"/>
        </w:rPr>
        <w:t>Lydecker</w:t>
      </w:r>
      <w:proofErr w:type="spellEnd"/>
      <w:r w:rsidRPr="00E61F6E">
        <w:rPr>
          <w:color w:val="000000"/>
          <w:lang w:val="en-US"/>
        </w:rPr>
        <w:t>, “The Domestic Setting of the Arts in Renaissance Florence,” 125–26.</w:t>
      </w:r>
    </w:p>
  </w:footnote>
  <w:footnote w:id="577">
    <w:p w14:paraId="0CE31AB1" w14:textId="77777777" w:rsidR="00182EED" w:rsidRDefault="00182EED" w:rsidP="00094F64">
      <w:pPr>
        <w:pStyle w:val="FootnoteText"/>
      </w:pPr>
      <w:r w:rsidRPr="00591949">
        <w:rPr>
          <w:rStyle w:val="FootnoteReference"/>
        </w:rPr>
        <w:footnoteRef/>
      </w:r>
      <w:r>
        <w:t xml:space="preserve"> </w:t>
      </w:r>
      <w:r w:rsidRPr="006775AE">
        <w:rPr>
          <w:color w:val="000000"/>
          <w:lang w:val="en-US"/>
        </w:rPr>
        <w:t xml:space="preserve">Ronald W. Lightbown, </w:t>
      </w:r>
      <w:r w:rsidRPr="006775AE">
        <w:rPr>
          <w:i/>
          <w:iCs/>
          <w:color w:val="000000"/>
          <w:lang w:val="en-US"/>
        </w:rPr>
        <w:t>Sandro Botticelli: Life and Work</w:t>
      </w:r>
      <w:r w:rsidRPr="006775AE">
        <w:rPr>
          <w:color w:val="000000"/>
          <w:lang w:val="en-US"/>
        </w:rPr>
        <w:t xml:space="preserve"> (London: </w:t>
      </w:r>
      <w:proofErr w:type="spellStart"/>
      <w:r w:rsidRPr="006775AE">
        <w:rPr>
          <w:color w:val="000000"/>
          <w:lang w:val="en-US"/>
        </w:rPr>
        <w:t>Elek</w:t>
      </w:r>
      <w:proofErr w:type="spellEnd"/>
      <w:r w:rsidRPr="006775AE">
        <w:rPr>
          <w:color w:val="000000"/>
          <w:lang w:val="en-US"/>
        </w:rPr>
        <w:t>, 1978), vol.2, entry C21, 126.</w:t>
      </w:r>
    </w:p>
  </w:footnote>
  <w:footnote w:id="578">
    <w:p w14:paraId="7F83A0D5" w14:textId="77777777" w:rsidR="00182EED" w:rsidRDefault="00182EED" w:rsidP="00094F64">
      <w:pPr>
        <w:pStyle w:val="FootnoteText"/>
      </w:pPr>
      <w:r w:rsidRPr="00591949">
        <w:rPr>
          <w:rStyle w:val="FootnoteReference"/>
        </w:rPr>
        <w:footnoteRef/>
      </w:r>
      <w:r>
        <w:t xml:space="preserve"> </w:t>
      </w:r>
      <w:r w:rsidRPr="00AD30C9">
        <w:rPr>
          <w:color w:val="000000"/>
          <w:lang w:val="en-US"/>
        </w:rPr>
        <w:t xml:space="preserve">“È di mano di Sandro in San Francesco, </w:t>
      </w:r>
      <w:proofErr w:type="spellStart"/>
      <w:r w:rsidRPr="00AD30C9">
        <w:rPr>
          <w:color w:val="000000"/>
          <w:lang w:val="en-US"/>
        </w:rPr>
        <w:t>fuor</w:t>
      </w:r>
      <w:proofErr w:type="spellEnd"/>
      <w:r w:rsidRPr="00AD30C9">
        <w:rPr>
          <w:color w:val="000000"/>
          <w:lang w:val="en-US"/>
        </w:rPr>
        <w:t xml:space="preserve"> </w:t>
      </w:r>
      <w:proofErr w:type="spellStart"/>
      <w:r w:rsidRPr="00AD30C9">
        <w:rPr>
          <w:color w:val="000000"/>
          <w:lang w:val="en-US"/>
        </w:rPr>
        <w:t>della</w:t>
      </w:r>
      <w:proofErr w:type="spellEnd"/>
      <w:r w:rsidRPr="00AD30C9">
        <w:rPr>
          <w:color w:val="000000"/>
          <w:lang w:val="en-US"/>
        </w:rPr>
        <w:t xml:space="preserve"> porta a San </w:t>
      </w:r>
      <w:proofErr w:type="spellStart"/>
      <w:r w:rsidRPr="00AD30C9">
        <w:rPr>
          <w:color w:val="000000"/>
          <w:lang w:val="en-US"/>
        </w:rPr>
        <w:t>Miniato</w:t>
      </w:r>
      <w:proofErr w:type="spellEnd"/>
      <w:r w:rsidRPr="00AD30C9">
        <w:rPr>
          <w:color w:val="000000"/>
          <w:lang w:val="en-US"/>
        </w:rPr>
        <w:t xml:space="preserve">, in un tondo una Madonna con </w:t>
      </w:r>
      <w:proofErr w:type="spellStart"/>
      <w:r w:rsidRPr="00AD30C9">
        <w:rPr>
          <w:color w:val="000000"/>
          <w:lang w:val="en-US"/>
        </w:rPr>
        <w:t>alcuni</w:t>
      </w:r>
      <w:proofErr w:type="spellEnd"/>
      <w:r w:rsidRPr="00AD30C9">
        <w:rPr>
          <w:color w:val="000000"/>
          <w:lang w:val="en-US"/>
        </w:rPr>
        <w:t xml:space="preserve"> </w:t>
      </w:r>
      <w:proofErr w:type="spellStart"/>
      <w:r w:rsidRPr="00AD30C9">
        <w:rPr>
          <w:color w:val="000000"/>
          <w:lang w:val="en-US"/>
        </w:rPr>
        <w:t>angeli</w:t>
      </w:r>
      <w:proofErr w:type="spellEnd"/>
      <w:r w:rsidRPr="00AD30C9">
        <w:rPr>
          <w:color w:val="000000"/>
          <w:lang w:val="en-US"/>
        </w:rPr>
        <w:t xml:space="preserve"> </w:t>
      </w:r>
      <w:proofErr w:type="spellStart"/>
      <w:r w:rsidRPr="00AD30C9">
        <w:rPr>
          <w:color w:val="000000"/>
          <w:lang w:val="en-US"/>
        </w:rPr>
        <w:t>grandi</w:t>
      </w:r>
      <w:proofErr w:type="spellEnd"/>
      <w:r w:rsidRPr="00AD30C9">
        <w:rPr>
          <w:color w:val="000000"/>
          <w:lang w:val="en-US"/>
        </w:rPr>
        <w:t xml:space="preserve"> </w:t>
      </w:r>
      <w:proofErr w:type="spellStart"/>
      <w:r w:rsidRPr="00AD30C9">
        <w:rPr>
          <w:color w:val="000000"/>
          <w:lang w:val="en-US"/>
        </w:rPr>
        <w:t>quanto</w:t>
      </w:r>
      <w:proofErr w:type="spellEnd"/>
      <w:r w:rsidRPr="00AD30C9">
        <w:rPr>
          <w:color w:val="000000"/>
          <w:lang w:val="en-US"/>
        </w:rPr>
        <w:t xml:space="preserve"> </w:t>
      </w:r>
      <w:proofErr w:type="spellStart"/>
      <w:r w:rsidRPr="00AD30C9">
        <w:rPr>
          <w:color w:val="000000"/>
          <w:lang w:val="en-US"/>
        </w:rPr>
        <w:t>il</w:t>
      </w:r>
      <w:proofErr w:type="spellEnd"/>
      <w:r w:rsidRPr="00AD30C9">
        <w:rPr>
          <w:color w:val="000000"/>
          <w:lang w:val="en-US"/>
        </w:rPr>
        <w:t xml:space="preserve"> vivo, </w:t>
      </w:r>
      <w:proofErr w:type="spellStart"/>
      <w:r w:rsidRPr="00AD30C9">
        <w:rPr>
          <w:color w:val="000000"/>
          <w:lang w:val="en-US"/>
        </w:rPr>
        <w:t>il</w:t>
      </w:r>
      <w:proofErr w:type="spellEnd"/>
      <w:r w:rsidRPr="00AD30C9">
        <w:rPr>
          <w:color w:val="000000"/>
          <w:lang w:val="en-US"/>
        </w:rPr>
        <w:t xml:space="preserve"> quale </w:t>
      </w:r>
      <w:proofErr w:type="spellStart"/>
      <w:r w:rsidRPr="00AD30C9">
        <w:rPr>
          <w:color w:val="000000"/>
          <w:lang w:val="en-US"/>
        </w:rPr>
        <w:t>fu</w:t>
      </w:r>
      <w:proofErr w:type="spellEnd"/>
      <w:r w:rsidRPr="00AD30C9">
        <w:rPr>
          <w:color w:val="000000"/>
          <w:lang w:val="en-US"/>
        </w:rPr>
        <w:t xml:space="preserve"> tenuto </w:t>
      </w:r>
      <w:proofErr w:type="spellStart"/>
      <w:r w:rsidRPr="00AD30C9">
        <w:rPr>
          <w:color w:val="000000"/>
          <w:lang w:val="en-US"/>
        </w:rPr>
        <w:t>cosa</w:t>
      </w:r>
      <w:proofErr w:type="spellEnd"/>
      <w:r w:rsidRPr="00AD30C9">
        <w:rPr>
          <w:color w:val="000000"/>
          <w:lang w:val="en-US"/>
        </w:rPr>
        <w:t xml:space="preserve"> </w:t>
      </w:r>
      <w:proofErr w:type="spellStart"/>
      <w:r w:rsidRPr="00AD30C9">
        <w:rPr>
          <w:color w:val="000000"/>
          <w:lang w:val="en-US"/>
        </w:rPr>
        <w:t>bellissima</w:t>
      </w:r>
      <w:proofErr w:type="spellEnd"/>
      <w:r w:rsidRPr="00AD30C9">
        <w:rPr>
          <w:color w:val="000000"/>
          <w:lang w:val="en-US"/>
        </w:rPr>
        <w:t xml:space="preserve">.” Vasari, </w:t>
      </w:r>
      <w:r w:rsidRPr="00AD30C9">
        <w:rPr>
          <w:i/>
          <w:iCs/>
          <w:color w:val="000000"/>
          <w:lang w:val="en-US"/>
        </w:rPr>
        <w:t xml:space="preserve">Le </w:t>
      </w:r>
      <w:proofErr w:type="spellStart"/>
      <w:r w:rsidRPr="00AD30C9">
        <w:rPr>
          <w:i/>
          <w:iCs/>
          <w:color w:val="000000"/>
          <w:lang w:val="en-US"/>
        </w:rPr>
        <w:t>vite</w:t>
      </w:r>
      <w:proofErr w:type="spellEnd"/>
      <w:r w:rsidRPr="00AD30C9">
        <w:rPr>
          <w:i/>
          <w:iCs/>
          <w:color w:val="000000"/>
          <w:lang w:val="en-US"/>
        </w:rPr>
        <w:t xml:space="preserve"> </w:t>
      </w:r>
      <w:proofErr w:type="spellStart"/>
      <w:r w:rsidRPr="00AD30C9">
        <w:rPr>
          <w:i/>
          <w:iCs/>
          <w:color w:val="000000"/>
          <w:lang w:val="en-US"/>
        </w:rPr>
        <w:t>dei</w:t>
      </w:r>
      <w:proofErr w:type="spellEnd"/>
      <w:r w:rsidRPr="00AD30C9">
        <w:rPr>
          <w:i/>
          <w:iCs/>
          <w:color w:val="000000"/>
          <w:lang w:val="en-US"/>
        </w:rPr>
        <w:t xml:space="preserve"> </w:t>
      </w:r>
      <w:proofErr w:type="spellStart"/>
      <w:r w:rsidRPr="00AD30C9">
        <w:rPr>
          <w:i/>
          <w:iCs/>
          <w:color w:val="000000"/>
          <w:lang w:val="en-US"/>
        </w:rPr>
        <w:t>più</w:t>
      </w:r>
      <w:proofErr w:type="spellEnd"/>
      <w:r w:rsidRPr="00AD30C9">
        <w:rPr>
          <w:i/>
          <w:iCs/>
          <w:color w:val="000000"/>
          <w:lang w:val="en-US"/>
        </w:rPr>
        <w:t xml:space="preserve"> </w:t>
      </w:r>
      <w:proofErr w:type="spellStart"/>
      <w:r w:rsidRPr="00AD30C9">
        <w:rPr>
          <w:i/>
          <w:iCs/>
          <w:color w:val="000000"/>
          <w:lang w:val="en-US"/>
        </w:rPr>
        <w:t>eccellenti</w:t>
      </w:r>
      <w:proofErr w:type="spellEnd"/>
      <w:r w:rsidRPr="00AD30C9">
        <w:rPr>
          <w:i/>
          <w:iCs/>
          <w:color w:val="000000"/>
          <w:lang w:val="en-US"/>
        </w:rPr>
        <w:t xml:space="preserve"> </w:t>
      </w:r>
      <w:proofErr w:type="spellStart"/>
      <w:r w:rsidRPr="00AD30C9">
        <w:rPr>
          <w:i/>
          <w:iCs/>
          <w:color w:val="000000"/>
          <w:lang w:val="en-US"/>
        </w:rPr>
        <w:t>pittori</w:t>
      </w:r>
      <w:proofErr w:type="spellEnd"/>
      <w:r w:rsidRPr="00AD30C9">
        <w:rPr>
          <w:i/>
          <w:iCs/>
          <w:color w:val="000000"/>
          <w:lang w:val="en-US"/>
        </w:rPr>
        <w:t xml:space="preserve">, </w:t>
      </w:r>
      <w:proofErr w:type="spellStart"/>
      <w:r w:rsidRPr="00AD30C9">
        <w:rPr>
          <w:i/>
          <w:iCs/>
          <w:color w:val="000000"/>
          <w:lang w:val="en-US"/>
        </w:rPr>
        <w:t>scultori</w:t>
      </w:r>
      <w:proofErr w:type="spellEnd"/>
      <w:r w:rsidRPr="00AD30C9">
        <w:rPr>
          <w:i/>
          <w:iCs/>
          <w:color w:val="000000"/>
          <w:lang w:val="en-US"/>
        </w:rPr>
        <w:t xml:space="preserve"> e </w:t>
      </w:r>
      <w:proofErr w:type="spellStart"/>
      <w:r w:rsidRPr="00AD30C9">
        <w:rPr>
          <w:i/>
          <w:iCs/>
          <w:color w:val="000000"/>
          <w:lang w:val="en-US"/>
        </w:rPr>
        <w:t>architetti</w:t>
      </w:r>
      <w:proofErr w:type="spellEnd"/>
      <w:r w:rsidRPr="00AD30C9">
        <w:rPr>
          <w:color w:val="000000"/>
          <w:lang w:val="en-US"/>
        </w:rPr>
        <w:t>, 494 (</w:t>
      </w:r>
      <w:r w:rsidRPr="00AD30C9">
        <w:rPr>
          <w:i/>
          <w:iCs/>
          <w:color w:val="000000"/>
          <w:lang w:val="en-US"/>
        </w:rPr>
        <w:t xml:space="preserve">Vita di Sandro </w:t>
      </w:r>
      <w:proofErr w:type="spellStart"/>
      <w:r w:rsidRPr="00AD30C9">
        <w:rPr>
          <w:i/>
          <w:iCs/>
          <w:color w:val="000000"/>
          <w:lang w:val="en-US"/>
        </w:rPr>
        <w:t>Botticello</w:t>
      </w:r>
      <w:proofErr w:type="spellEnd"/>
      <w:r w:rsidRPr="00AD30C9">
        <w:rPr>
          <w:color w:val="000000"/>
          <w:lang w:val="en-US"/>
        </w:rPr>
        <w:t xml:space="preserve">); see also Lightbown, </w:t>
      </w:r>
      <w:r w:rsidRPr="00AD30C9">
        <w:rPr>
          <w:i/>
          <w:iCs/>
          <w:color w:val="000000"/>
          <w:lang w:val="en-US"/>
        </w:rPr>
        <w:t>Sandro Botticelli: Life and Work</w:t>
      </w:r>
      <w:r w:rsidRPr="00AD30C9">
        <w:rPr>
          <w:color w:val="000000"/>
          <w:lang w:val="en-US"/>
        </w:rPr>
        <w:t xml:space="preserve">, vol.2, entry B40; Ruben </w:t>
      </w:r>
      <w:proofErr w:type="spellStart"/>
      <w:r w:rsidRPr="00AD30C9">
        <w:rPr>
          <w:color w:val="000000"/>
          <w:lang w:val="en-US"/>
        </w:rPr>
        <w:t>Rebmann</w:t>
      </w:r>
      <w:proofErr w:type="spellEnd"/>
      <w:r w:rsidRPr="00AD30C9">
        <w:rPr>
          <w:color w:val="000000"/>
          <w:lang w:val="en-US"/>
        </w:rPr>
        <w:t xml:space="preserve">, “Entry 113,” in </w:t>
      </w:r>
      <w:r w:rsidRPr="00AD30C9">
        <w:rPr>
          <w:i/>
          <w:iCs/>
          <w:color w:val="000000"/>
          <w:lang w:val="en-US"/>
        </w:rPr>
        <w:t>Botticelli Reimagined</w:t>
      </w:r>
      <w:r w:rsidRPr="00AD30C9">
        <w:rPr>
          <w:color w:val="000000"/>
          <w:lang w:val="en-US"/>
        </w:rPr>
        <w:t xml:space="preserve">, ed. Mark Evans, Stefan </w:t>
      </w:r>
      <w:proofErr w:type="spellStart"/>
      <w:r w:rsidRPr="00AD30C9">
        <w:rPr>
          <w:color w:val="000000"/>
          <w:lang w:val="en-US"/>
        </w:rPr>
        <w:t>Weppelmann</w:t>
      </w:r>
      <w:proofErr w:type="spellEnd"/>
      <w:r w:rsidRPr="00AD30C9">
        <w:rPr>
          <w:color w:val="000000"/>
          <w:lang w:val="en-US"/>
        </w:rPr>
        <w:t xml:space="preserve">, and Ana </w:t>
      </w:r>
      <w:proofErr w:type="spellStart"/>
      <w:r w:rsidRPr="00AD30C9">
        <w:rPr>
          <w:color w:val="000000"/>
          <w:lang w:val="en-US"/>
        </w:rPr>
        <w:t>Debenedetti</w:t>
      </w:r>
      <w:proofErr w:type="spellEnd"/>
      <w:r w:rsidRPr="00AD30C9">
        <w:rPr>
          <w:color w:val="000000"/>
          <w:lang w:val="en-US"/>
        </w:rPr>
        <w:t xml:space="preserve"> (London: V &amp; A Publishing, 2016), 264; Nicoletta Pons, </w:t>
      </w:r>
      <w:r w:rsidRPr="00AD30C9">
        <w:rPr>
          <w:i/>
          <w:iCs/>
          <w:color w:val="000000"/>
          <w:lang w:val="en-US"/>
        </w:rPr>
        <w:t xml:space="preserve">Botticelli: </w:t>
      </w:r>
      <w:proofErr w:type="spellStart"/>
      <w:r w:rsidRPr="00AD30C9">
        <w:rPr>
          <w:i/>
          <w:iCs/>
          <w:color w:val="000000"/>
          <w:lang w:val="en-US"/>
        </w:rPr>
        <w:t>Catalogo</w:t>
      </w:r>
      <w:proofErr w:type="spellEnd"/>
      <w:r w:rsidRPr="00AD30C9">
        <w:rPr>
          <w:i/>
          <w:iCs/>
          <w:color w:val="000000"/>
          <w:lang w:val="en-US"/>
        </w:rPr>
        <w:t xml:space="preserve"> complete</w:t>
      </w:r>
      <w:r w:rsidRPr="00AD30C9">
        <w:rPr>
          <w:color w:val="000000"/>
          <w:lang w:val="en-US"/>
        </w:rPr>
        <w:t xml:space="preserve"> (Milan: Rizzoli, 1989), entry 46, 64.</w:t>
      </w:r>
    </w:p>
  </w:footnote>
  <w:footnote w:id="579">
    <w:p w14:paraId="77BE15D8" w14:textId="77777777" w:rsidR="00182EED" w:rsidRDefault="00182EED" w:rsidP="00094F64">
      <w:pPr>
        <w:pStyle w:val="FootnoteText"/>
      </w:pPr>
      <w:r w:rsidRPr="00591949">
        <w:rPr>
          <w:rStyle w:val="FootnoteReference"/>
        </w:rPr>
        <w:footnoteRef/>
      </w:r>
      <w:r>
        <w:t xml:space="preserve"> </w:t>
      </w:r>
      <w:r w:rsidRPr="00AD30C9">
        <w:rPr>
          <w:color w:val="000000"/>
          <w:lang w:val="en-US"/>
        </w:rPr>
        <w:t xml:space="preserve">Lightbown, </w:t>
      </w:r>
      <w:r w:rsidRPr="00AD30C9">
        <w:rPr>
          <w:i/>
          <w:iCs/>
          <w:color w:val="000000"/>
          <w:lang w:val="en-US"/>
        </w:rPr>
        <w:t>Sandro Botticelli: Life and Work</w:t>
      </w:r>
      <w:r w:rsidRPr="00AD30C9">
        <w:rPr>
          <w:color w:val="000000"/>
          <w:lang w:val="en-US"/>
        </w:rPr>
        <w:t>, vol.2, entry B40, 54.</w:t>
      </w:r>
    </w:p>
  </w:footnote>
  <w:footnote w:id="580">
    <w:p w14:paraId="5258F315" w14:textId="77777777" w:rsidR="00182EED" w:rsidRDefault="00182EED" w:rsidP="00094F64">
      <w:pPr>
        <w:pStyle w:val="FootnoteText"/>
      </w:pPr>
      <w:r w:rsidRPr="00591949">
        <w:rPr>
          <w:rStyle w:val="FootnoteReference"/>
        </w:rPr>
        <w:footnoteRef/>
      </w:r>
      <w:r>
        <w:t xml:space="preserve"> </w:t>
      </w:r>
      <w:r w:rsidRPr="00AD30C9">
        <w:rPr>
          <w:color w:val="000000"/>
          <w:lang w:val="en-US"/>
        </w:rPr>
        <w:t xml:space="preserve">Frank </w:t>
      </w:r>
      <w:proofErr w:type="spellStart"/>
      <w:r w:rsidRPr="00AD30C9">
        <w:rPr>
          <w:color w:val="000000"/>
          <w:lang w:val="en-US"/>
        </w:rPr>
        <w:t>Zöllner</w:t>
      </w:r>
      <w:proofErr w:type="spellEnd"/>
      <w:r w:rsidRPr="00AD30C9">
        <w:rPr>
          <w:color w:val="000000"/>
          <w:lang w:val="en-US"/>
        </w:rPr>
        <w:t xml:space="preserve">, </w:t>
      </w:r>
      <w:r w:rsidRPr="00AD30C9">
        <w:rPr>
          <w:i/>
          <w:iCs/>
          <w:color w:val="000000"/>
          <w:lang w:val="en-US"/>
        </w:rPr>
        <w:t>Sandro Botticelli</w:t>
      </w:r>
      <w:r w:rsidRPr="00AD30C9">
        <w:rPr>
          <w:color w:val="000000"/>
          <w:lang w:val="en-US"/>
        </w:rPr>
        <w:t xml:space="preserve"> (Munich; London; New York: Prestel, 2005), 224–25.</w:t>
      </w:r>
    </w:p>
  </w:footnote>
  <w:footnote w:id="581">
    <w:p w14:paraId="397250F5" w14:textId="77777777" w:rsidR="00182EED" w:rsidRDefault="00182EED" w:rsidP="00094F64">
      <w:pPr>
        <w:pStyle w:val="FootnoteText"/>
      </w:pPr>
      <w:r w:rsidRPr="00591949">
        <w:rPr>
          <w:rStyle w:val="FootnoteReference"/>
        </w:rPr>
        <w:footnoteRef/>
      </w:r>
      <w:r>
        <w:t xml:space="preserve"> </w:t>
      </w:r>
      <w:r w:rsidRPr="00AD30C9">
        <w:rPr>
          <w:color w:val="000000"/>
          <w:lang w:val="en-US"/>
        </w:rPr>
        <w:t xml:space="preserve">Margot Elsbeth </w:t>
      </w:r>
      <w:proofErr w:type="spellStart"/>
      <w:r w:rsidRPr="00AD30C9">
        <w:rPr>
          <w:color w:val="000000"/>
          <w:lang w:val="en-US"/>
        </w:rPr>
        <w:t>Fassler</w:t>
      </w:r>
      <w:proofErr w:type="spellEnd"/>
      <w:r w:rsidRPr="00AD30C9">
        <w:rPr>
          <w:color w:val="000000"/>
          <w:lang w:val="en-US"/>
        </w:rPr>
        <w:t xml:space="preserve">, </w:t>
      </w:r>
      <w:r w:rsidRPr="00AD30C9">
        <w:rPr>
          <w:i/>
          <w:iCs/>
          <w:color w:val="000000"/>
          <w:lang w:val="en-US"/>
        </w:rPr>
        <w:t>Music in the Medieval West: Western Music in Context</w:t>
      </w:r>
      <w:r w:rsidRPr="00AD30C9">
        <w:rPr>
          <w:color w:val="000000"/>
          <w:lang w:val="en-US"/>
        </w:rPr>
        <w:t xml:space="preserve"> (New York and London: W. W. Norton, 2014), 3–10.</w:t>
      </w:r>
    </w:p>
  </w:footnote>
  <w:footnote w:id="582">
    <w:p w14:paraId="7198A928" w14:textId="77777777" w:rsidR="00182EED" w:rsidRDefault="00182EED" w:rsidP="00094F64">
      <w:pPr>
        <w:pStyle w:val="FootnoteText"/>
      </w:pPr>
      <w:r w:rsidRPr="00591949">
        <w:rPr>
          <w:rStyle w:val="FootnoteReference"/>
        </w:rPr>
        <w:footnoteRef/>
      </w:r>
      <w:r>
        <w:t xml:space="preserve"> </w:t>
      </w:r>
      <w:r w:rsidRPr="00907C21">
        <w:rPr>
          <w:color w:val="000000"/>
          <w:lang w:val="en-US"/>
        </w:rPr>
        <w:t>On choir books, see Thomas Schmidt-</w:t>
      </w:r>
      <w:proofErr w:type="spellStart"/>
      <w:r w:rsidRPr="00907C21">
        <w:rPr>
          <w:color w:val="000000"/>
          <w:lang w:val="en-US"/>
        </w:rPr>
        <w:t>Beste</w:t>
      </w:r>
      <w:proofErr w:type="spellEnd"/>
      <w:r w:rsidRPr="00907C21">
        <w:rPr>
          <w:color w:val="000000"/>
          <w:lang w:val="en-US"/>
        </w:rPr>
        <w:t xml:space="preserve">, “Polyphonic Sources, ca.1450-1500,” in </w:t>
      </w:r>
      <w:r w:rsidRPr="00907C21">
        <w:rPr>
          <w:i/>
          <w:iCs/>
          <w:color w:val="000000"/>
          <w:lang w:val="en-US"/>
        </w:rPr>
        <w:t>The Cambridge History of Fifteenth-Century Music</w:t>
      </w:r>
      <w:r w:rsidRPr="00907C21">
        <w:rPr>
          <w:color w:val="000000"/>
          <w:lang w:val="en-US"/>
        </w:rPr>
        <w:t xml:space="preserve">, ed. Anna Maria </w:t>
      </w:r>
      <w:proofErr w:type="spellStart"/>
      <w:r w:rsidRPr="00907C21">
        <w:rPr>
          <w:color w:val="000000"/>
          <w:lang w:val="en-US"/>
        </w:rPr>
        <w:t>Busse</w:t>
      </w:r>
      <w:proofErr w:type="spellEnd"/>
      <w:r w:rsidRPr="00907C21">
        <w:rPr>
          <w:color w:val="000000"/>
          <w:lang w:val="en-US"/>
        </w:rPr>
        <w:t xml:space="preserve"> Berger and Jesse Rodin (Cambridge: Cambridge University Press, 2015), 643–49.</w:t>
      </w:r>
    </w:p>
  </w:footnote>
  <w:footnote w:id="583">
    <w:p w14:paraId="089E61CA" w14:textId="77777777" w:rsidR="00182EED" w:rsidRDefault="00182EED" w:rsidP="00094F64">
      <w:pPr>
        <w:pStyle w:val="FootnoteText"/>
      </w:pPr>
      <w:r w:rsidRPr="00591949">
        <w:rPr>
          <w:rStyle w:val="FootnoteReference"/>
        </w:rPr>
        <w:footnoteRef/>
      </w:r>
      <w:r>
        <w:t xml:space="preserve"> </w:t>
      </w:r>
      <w:r w:rsidRPr="00B161FD">
        <w:rPr>
          <w:color w:val="000000"/>
          <w:lang w:val="en-US"/>
        </w:rPr>
        <w:t xml:space="preserve">James </w:t>
      </w:r>
      <w:proofErr w:type="spellStart"/>
      <w:r w:rsidRPr="00B161FD">
        <w:rPr>
          <w:color w:val="000000"/>
          <w:lang w:val="en-US"/>
        </w:rPr>
        <w:t>Haar</w:t>
      </w:r>
      <w:proofErr w:type="spellEnd"/>
      <w:r w:rsidRPr="00B161FD">
        <w:rPr>
          <w:color w:val="000000"/>
          <w:lang w:val="en-US"/>
        </w:rPr>
        <w:t xml:space="preserve"> and John </w:t>
      </w:r>
      <w:proofErr w:type="spellStart"/>
      <w:r w:rsidRPr="00B161FD">
        <w:rPr>
          <w:color w:val="000000"/>
          <w:lang w:val="en-US"/>
        </w:rPr>
        <w:t>Nádas</w:t>
      </w:r>
      <w:proofErr w:type="spellEnd"/>
      <w:r w:rsidRPr="00B161FD">
        <w:rPr>
          <w:color w:val="000000"/>
          <w:lang w:val="en-US"/>
        </w:rPr>
        <w:t xml:space="preserve">, “The Medici, the </w:t>
      </w:r>
      <w:proofErr w:type="spellStart"/>
      <w:r w:rsidRPr="00B161FD">
        <w:rPr>
          <w:color w:val="000000"/>
          <w:lang w:val="en-US"/>
        </w:rPr>
        <w:t>Signoria</w:t>
      </w:r>
      <w:proofErr w:type="spellEnd"/>
      <w:r w:rsidRPr="00B161FD">
        <w:rPr>
          <w:color w:val="000000"/>
          <w:lang w:val="en-US"/>
        </w:rPr>
        <w:t xml:space="preserve">, the Pope: Sacred Polyphony in Florence, 1432-1448,” </w:t>
      </w:r>
      <w:proofErr w:type="spellStart"/>
      <w:r w:rsidRPr="00B161FD">
        <w:rPr>
          <w:i/>
          <w:iCs/>
          <w:color w:val="000000"/>
          <w:lang w:val="en-US"/>
        </w:rPr>
        <w:t>Recercare</w:t>
      </w:r>
      <w:proofErr w:type="spellEnd"/>
      <w:r w:rsidRPr="00B161FD">
        <w:rPr>
          <w:color w:val="000000"/>
          <w:lang w:val="en-US"/>
        </w:rPr>
        <w:t xml:space="preserve"> 20, no. 1/2 (2008): 39; Charles Hamm and Ann Besser Scott, “A Study and Inventory of the Manuscript Modena, </w:t>
      </w:r>
      <w:proofErr w:type="spellStart"/>
      <w:r w:rsidRPr="00B161FD">
        <w:rPr>
          <w:color w:val="000000"/>
          <w:lang w:val="en-US"/>
        </w:rPr>
        <w:t>Biblioteca</w:t>
      </w:r>
      <w:proofErr w:type="spellEnd"/>
      <w:r w:rsidRPr="00B161FD">
        <w:rPr>
          <w:color w:val="000000"/>
          <w:lang w:val="en-US"/>
        </w:rPr>
        <w:t xml:space="preserve"> </w:t>
      </w:r>
      <w:proofErr w:type="spellStart"/>
      <w:r w:rsidRPr="00B161FD">
        <w:rPr>
          <w:color w:val="000000"/>
          <w:lang w:val="en-US"/>
        </w:rPr>
        <w:t>Estense</w:t>
      </w:r>
      <w:proofErr w:type="spellEnd"/>
      <w:r w:rsidRPr="00B161FD">
        <w:rPr>
          <w:color w:val="000000"/>
          <w:lang w:val="en-US"/>
        </w:rPr>
        <w:t>, α.X.1.11 (</w:t>
      </w:r>
      <w:proofErr w:type="spellStart"/>
      <w:r w:rsidRPr="00B161FD">
        <w:rPr>
          <w:color w:val="000000"/>
          <w:lang w:val="en-US"/>
        </w:rPr>
        <w:t>ModB</w:t>
      </w:r>
      <w:proofErr w:type="spellEnd"/>
      <w:r w:rsidRPr="00B161FD">
        <w:rPr>
          <w:color w:val="000000"/>
          <w:lang w:val="en-US"/>
        </w:rPr>
        <w:t xml:space="preserve">),” </w:t>
      </w:r>
      <w:proofErr w:type="spellStart"/>
      <w:r w:rsidRPr="00B161FD">
        <w:rPr>
          <w:i/>
          <w:iCs/>
          <w:color w:val="000000"/>
          <w:lang w:val="en-US"/>
        </w:rPr>
        <w:t>Musica</w:t>
      </w:r>
      <w:proofErr w:type="spellEnd"/>
      <w:r w:rsidRPr="00B161FD">
        <w:rPr>
          <w:i/>
          <w:iCs/>
          <w:color w:val="000000"/>
          <w:lang w:val="en-US"/>
        </w:rPr>
        <w:t xml:space="preserve"> </w:t>
      </w:r>
      <w:proofErr w:type="spellStart"/>
      <w:r w:rsidRPr="00B161FD">
        <w:rPr>
          <w:i/>
          <w:iCs/>
          <w:color w:val="000000"/>
          <w:lang w:val="en-US"/>
        </w:rPr>
        <w:t>Disciplina</w:t>
      </w:r>
      <w:proofErr w:type="spellEnd"/>
      <w:r w:rsidRPr="00B161FD">
        <w:rPr>
          <w:color w:val="000000"/>
          <w:lang w:val="en-US"/>
        </w:rPr>
        <w:t xml:space="preserve"> 26 (1972): 122; “</w:t>
      </w:r>
      <w:proofErr w:type="spellStart"/>
      <w:r w:rsidRPr="00B161FD">
        <w:rPr>
          <w:color w:val="000000"/>
          <w:lang w:val="en-US"/>
        </w:rPr>
        <w:t>ModB</w:t>
      </w:r>
      <w:proofErr w:type="spellEnd"/>
      <w:r w:rsidRPr="00B161FD">
        <w:rPr>
          <w:color w:val="000000"/>
          <w:lang w:val="en-US"/>
        </w:rPr>
        <w:t xml:space="preserve">,” in </w:t>
      </w:r>
      <w:r w:rsidRPr="00B161FD">
        <w:rPr>
          <w:i/>
          <w:iCs/>
          <w:color w:val="000000"/>
          <w:lang w:val="en-US"/>
        </w:rPr>
        <w:t>Digital Image Archive of Medieval Music</w:t>
      </w:r>
      <w:r w:rsidRPr="00B161FD">
        <w:rPr>
          <w:color w:val="000000"/>
          <w:lang w:val="en-US"/>
        </w:rPr>
        <w:t>, accessed March 14, 2019, https://www.diamm.ac.uk/sources/146/#/inventory.</w:t>
      </w:r>
    </w:p>
  </w:footnote>
  <w:footnote w:id="584">
    <w:p w14:paraId="3F1A3868" w14:textId="77777777" w:rsidR="00182EED" w:rsidRDefault="00182EED" w:rsidP="00094F64">
      <w:pPr>
        <w:pStyle w:val="FootnoteText"/>
      </w:pPr>
      <w:r w:rsidRPr="00591949">
        <w:rPr>
          <w:rStyle w:val="FootnoteReference"/>
        </w:rPr>
        <w:footnoteRef/>
      </w:r>
      <w:r>
        <w:t xml:space="preserve"> </w:t>
      </w:r>
      <w:r w:rsidRPr="00317E53">
        <w:rPr>
          <w:color w:val="000000"/>
          <w:lang w:val="en-US"/>
        </w:rPr>
        <w:t xml:space="preserve">“Ora a </w:t>
      </w:r>
      <w:proofErr w:type="spellStart"/>
      <w:r w:rsidRPr="00317E53">
        <w:rPr>
          <w:color w:val="000000"/>
          <w:lang w:val="en-US"/>
        </w:rPr>
        <w:t>voi</w:t>
      </w:r>
      <w:proofErr w:type="spellEnd"/>
      <w:r w:rsidRPr="00317E53">
        <w:rPr>
          <w:color w:val="000000"/>
          <w:lang w:val="en-US"/>
        </w:rPr>
        <w:t xml:space="preserve">, </w:t>
      </w:r>
      <w:proofErr w:type="spellStart"/>
      <w:r w:rsidRPr="00317E53">
        <w:rPr>
          <w:color w:val="000000"/>
          <w:lang w:val="en-US"/>
        </w:rPr>
        <w:t>fanciugli</w:t>
      </w:r>
      <w:proofErr w:type="spellEnd"/>
      <w:r w:rsidRPr="00317E53">
        <w:rPr>
          <w:color w:val="000000"/>
          <w:lang w:val="en-US"/>
        </w:rPr>
        <w:t xml:space="preserve">, </w:t>
      </w:r>
      <w:proofErr w:type="spellStart"/>
      <w:r w:rsidRPr="00317E53">
        <w:rPr>
          <w:color w:val="000000"/>
          <w:lang w:val="en-US"/>
        </w:rPr>
        <w:t>parliamo</w:t>
      </w:r>
      <w:proofErr w:type="spellEnd"/>
      <w:r w:rsidRPr="00317E53">
        <w:rPr>
          <w:color w:val="000000"/>
          <w:lang w:val="en-US"/>
        </w:rPr>
        <w:t xml:space="preserve"> un </w:t>
      </w:r>
      <w:proofErr w:type="spellStart"/>
      <w:r w:rsidRPr="00317E53">
        <w:rPr>
          <w:color w:val="000000"/>
          <w:lang w:val="en-US"/>
        </w:rPr>
        <w:t>poco</w:t>
      </w:r>
      <w:proofErr w:type="spellEnd"/>
      <w:r w:rsidRPr="00317E53">
        <w:rPr>
          <w:color w:val="000000"/>
          <w:lang w:val="en-US"/>
        </w:rPr>
        <w:t xml:space="preserve">. </w:t>
      </w:r>
      <w:proofErr w:type="spellStart"/>
      <w:r w:rsidRPr="00317E53">
        <w:rPr>
          <w:color w:val="000000"/>
          <w:lang w:val="en-US"/>
        </w:rPr>
        <w:t>Ascoltate</w:t>
      </w:r>
      <w:proofErr w:type="spellEnd"/>
      <w:r w:rsidRPr="00317E53">
        <w:rPr>
          <w:color w:val="000000"/>
          <w:lang w:val="en-US"/>
        </w:rPr>
        <w:t xml:space="preserve"> me: </w:t>
      </w:r>
      <w:proofErr w:type="spellStart"/>
      <w:r w:rsidRPr="00317E53">
        <w:rPr>
          <w:color w:val="000000"/>
          <w:lang w:val="en-US"/>
        </w:rPr>
        <w:t>voi</w:t>
      </w:r>
      <w:proofErr w:type="spellEnd"/>
      <w:r w:rsidRPr="00317E53">
        <w:rPr>
          <w:color w:val="000000"/>
          <w:lang w:val="en-US"/>
        </w:rPr>
        <w:t xml:space="preserve"> </w:t>
      </w:r>
      <w:proofErr w:type="spellStart"/>
      <w:r w:rsidRPr="00317E53">
        <w:rPr>
          <w:color w:val="000000"/>
          <w:lang w:val="en-US"/>
        </w:rPr>
        <w:t>cantate</w:t>
      </w:r>
      <w:proofErr w:type="spellEnd"/>
      <w:r w:rsidRPr="00317E53">
        <w:rPr>
          <w:color w:val="000000"/>
          <w:lang w:val="en-US"/>
        </w:rPr>
        <w:t xml:space="preserve"> qua </w:t>
      </w:r>
      <w:proofErr w:type="spellStart"/>
      <w:r w:rsidRPr="00317E53">
        <w:rPr>
          <w:color w:val="000000"/>
          <w:lang w:val="en-US"/>
        </w:rPr>
        <w:t>delle</w:t>
      </w:r>
      <w:proofErr w:type="spellEnd"/>
      <w:r w:rsidRPr="00317E53">
        <w:rPr>
          <w:color w:val="000000"/>
          <w:lang w:val="en-US"/>
        </w:rPr>
        <w:t xml:space="preserve"> laude la </w:t>
      </w:r>
      <w:proofErr w:type="spellStart"/>
      <w:r w:rsidRPr="00317E53">
        <w:rPr>
          <w:color w:val="000000"/>
          <w:lang w:val="en-US"/>
        </w:rPr>
        <w:t>mattina</w:t>
      </w:r>
      <w:proofErr w:type="spellEnd"/>
      <w:r w:rsidRPr="00317E53">
        <w:rPr>
          <w:color w:val="000000"/>
          <w:lang w:val="en-US"/>
        </w:rPr>
        <w:t xml:space="preserve"> e </w:t>
      </w:r>
      <w:proofErr w:type="spellStart"/>
      <w:r w:rsidRPr="00317E53">
        <w:rPr>
          <w:color w:val="000000"/>
          <w:lang w:val="en-US"/>
        </w:rPr>
        <w:t>sta</w:t>
      </w:r>
      <w:proofErr w:type="spellEnd"/>
      <w:r w:rsidRPr="00317E53">
        <w:rPr>
          <w:color w:val="000000"/>
          <w:lang w:val="en-US"/>
        </w:rPr>
        <w:t xml:space="preserve"> bene; ma </w:t>
      </w:r>
      <w:proofErr w:type="spellStart"/>
      <w:r w:rsidRPr="00317E53">
        <w:rPr>
          <w:color w:val="000000"/>
          <w:lang w:val="en-US"/>
        </w:rPr>
        <w:t>io</w:t>
      </w:r>
      <w:proofErr w:type="spellEnd"/>
      <w:r w:rsidRPr="00317E53">
        <w:rPr>
          <w:color w:val="000000"/>
          <w:lang w:val="en-US"/>
        </w:rPr>
        <w:t xml:space="preserve"> </w:t>
      </w:r>
      <w:proofErr w:type="spellStart"/>
      <w:r w:rsidRPr="00317E53">
        <w:rPr>
          <w:color w:val="000000"/>
          <w:lang w:val="en-US"/>
        </w:rPr>
        <w:t>vorrei</w:t>
      </w:r>
      <w:proofErr w:type="spellEnd"/>
      <w:r w:rsidRPr="00317E53">
        <w:rPr>
          <w:color w:val="000000"/>
          <w:lang w:val="en-US"/>
        </w:rPr>
        <w:t xml:space="preserve"> </w:t>
      </w:r>
      <w:proofErr w:type="spellStart"/>
      <w:r w:rsidRPr="00317E53">
        <w:rPr>
          <w:color w:val="000000"/>
          <w:lang w:val="en-US"/>
        </w:rPr>
        <w:t>ancora</w:t>
      </w:r>
      <w:proofErr w:type="spellEnd"/>
      <w:r w:rsidRPr="00317E53">
        <w:rPr>
          <w:color w:val="000000"/>
          <w:lang w:val="en-US"/>
        </w:rPr>
        <w:t xml:space="preserve"> </w:t>
      </w:r>
      <w:proofErr w:type="spellStart"/>
      <w:r w:rsidRPr="00317E53">
        <w:rPr>
          <w:color w:val="000000"/>
          <w:lang w:val="en-US"/>
        </w:rPr>
        <w:t>che</w:t>
      </w:r>
      <w:proofErr w:type="spellEnd"/>
      <w:r w:rsidRPr="00317E53">
        <w:rPr>
          <w:color w:val="000000"/>
          <w:lang w:val="en-US"/>
        </w:rPr>
        <w:t xml:space="preserve"> </w:t>
      </w:r>
      <w:proofErr w:type="spellStart"/>
      <w:r w:rsidRPr="00317E53">
        <w:rPr>
          <w:color w:val="000000"/>
          <w:lang w:val="en-US"/>
        </w:rPr>
        <w:t>voi</w:t>
      </w:r>
      <w:proofErr w:type="spellEnd"/>
      <w:r w:rsidRPr="00317E53">
        <w:rPr>
          <w:color w:val="000000"/>
          <w:lang w:val="en-US"/>
        </w:rPr>
        <w:t xml:space="preserve"> </w:t>
      </w:r>
      <w:proofErr w:type="spellStart"/>
      <w:r w:rsidRPr="00317E53">
        <w:rPr>
          <w:color w:val="000000"/>
          <w:lang w:val="en-US"/>
        </w:rPr>
        <w:t>cantassi</w:t>
      </w:r>
      <w:proofErr w:type="spellEnd"/>
      <w:r w:rsidRPr="00317E53">
        <w:rPr>
          <w:color w:val="000000"/>
          <w:lang w:val="en-US"/>
        </w:rPr>
        <w:t xml:space="preserve"> </w:t>
      </w:r>
      <w:proofErr w:type="spellStart"/>
      <w:r w:rsidRPr="00317E53">
        <w:rPr>
          <w:color w:val="000000"/>
          <w:lang w:val="en-US"/>
        </w:rPr>
        <w:t>qualche</w:t>
      </w:r>
      <w:proofErr w:type="spellEnd"/>
      <w:r w:rsidRPr="00317E53">
        <w:rPr>
          <w:color w:val="000000"/>
          <w:lang w:val="en-US"/>
        </w:rPr>
        <w:t xml:space="preserve"> </w:t>
      </w:r>
      <w:proofErr w:type="spellStart"/>
      <w:r w:rsidRPr="00317E53">
        <w:rPr>
          <w:color w:val="000000"/>
          <w:lang w:val="en-US"/>
        </w:rPr>
        <w:t>volta</w:t>
      </w:r>
      <w:proofErr w:type="spellEnd"/>
      <w:r w:rsidRPr="00317E53">
        <w:rPr>
          <w:color w:val="000000"/>
          <w:lang w:val="en-US"/>
        </w:rPr>
        <w:t xml:space="preserve"> de’ </w:t>
      </w:r>
      <w:proofErr w:type="spellStart"/>
      <w:r w:rsidRPr="00317E53">
        <w:rPr>
          <w:color w:val="000000"/>
          <w:lang w:val="en-US"/>
        </w:rPr>
        <w:t>canti</w:t>
      </w:r>
      <w:proofErr w:type="spellEnd"/>
      <w:r w:rsidRPr="00317E53">
        <w:rPr>
          <w:color w:val="000000"/>
          <w:lang w:val="en-US"/>
        </w:rPr>
        <w:t xml:space="preserve"> </w:t>
      </w:r>
      <w:proofErr w:type="spellStart"/>
      <w:r w:rsidRPr="00317E53">
        <w:rPr>
          <w:color w:val="000000"/>
          <w:lang w:val="en-US"/>
        </w:rPr>
        <w:t>della</w:t>
      </w:r>
      <w:proofErr w:type="spellEnd"/>
      <w:r w:rsidRPr="00317E53">
        <w:rPr>
          <w:color w:val="000000"/>
          <w:lang w:val="en-US"/>
        </w:rPr>
        <w:t xml:space="preserve"> </w:t>
      </w:r>
      <w:proofErr w:type="spellStart"/>
      <w:r w:rsidRPr="00317E53">
        <w:rPr>
          <w:color w:val="000000"/>
          <w:lang w:val="en-US"/>
        </w:rPr>
        <w:t>Chiesta</w:t>
      </w:r>
      <w:proofErr w:type="spellEnd"/>
      <w:r w:rsidRPr="00317E53">
        <w:rPr>
          <w:color w:val="000000"/>
          <w:lang w:val="en-US"/>
        </w:rPr>
        <w:t xml:space="preserve"> come è Ave </w:t>
      </w:r>
      <w:proofErr w:type="spellStart"/>
      <w:r w:rsidRPr="00317E53">
        <w:rPr>
          <w:color w:val="000000"/>
          <w:lang w:val="en-US"/>
        </w:rPr>
        <w:t>maris</w:t>
      </w:r>
      <w:proofErr w:type="spellEnd"/>
      <w:r w:rsidRPr="00317E53">
        <w:rPr>
          <w:color w:val="000000"/>
          <w:lang w:val="en-US"/>
        </w:rPr>
        <w:t xml:space="preserve"> </w:t>
      </w:r>
      <w:proofErr w:type="spellStart"/>
      <w:r w:rsidRPr="00317E53">
        <w:rPr>
          <w:color w:val="000000"/>
          <w:lang w:val="en-US"/>
        </w:rPr>
        <w:t>stella</w:t>
      </w:r>
      <w:proofErr w:type="spellEnd"/>
      <w:r w:rsidRPr="00317E53">
        <w:rPr>
          <w:color w:val="000000"/>
          <w:lang w:val="en-US"/>
        </w:rPr>
        <w:t xml:space="preserve"> … e </w:t>
      </w:r>
      <w:proofErr w:type="spellStart"/>
      <w:r w:rsidRPr="00317E53">
        <w:rPr>
          <w:color w:val="000000"/>
          <w:lang w:val="en-US"/>
        </w:rPr>
        <w:t>quando</w:t>
      </w:r>
      <w:proofErr w:type="spellEnd"/>
      <w:r w:rsidRPr="00317E53">
        <w:rPr>
          <w:color w:val="000000"/>
          <w:lang w:val="en-US"/>
        </w:rPr>
        <w:t xml:space="preserve"> </w:t>
      </w:r>
      <w:proofErr w:type="spellStart"/>
      <w:r w:rsidRPr="00317E53">
        <w:rPr>
          <w:color w:val="000000"/>
          <w:lang w:val="en-US"/>
        </w:rPr>
        <w:t>io</w:t>
      </w:r>
      <w:proofErr w:type="spellEnd"/>
      <w:r w:rsidRPr="00317E53">
        <w:rPr>
          <w:color w:val="000000"/>
          <w:lang w:val="en-US"/>
        </w:rPr>
        <w:t xml:space="preserve"> </w:t>
      </w:r>
      <w:proofErr w:type="spellStart"/>
      <w:r w:rsidRPr="00317E53">
        <w:rPr>
          <w:color w:val="000000"/>
          <w:lang w:val="en-US"/>
        </w:rPr>
        <w:t>vengo</w:t>
      </w:r>
      <w:proofErr w:type="spellEnd"/>
      <w:r w:rsidRPr="00317E53">
        <w:rPr>
          <w:color w:val="000000"/>
          <w:lang w:val="en-US"/>
        </w:rPr>
        <w:t xml:space="preserve"> in </w:t>
      </w:r>
      <w:proofErr w:type="spellStart"/>
      <w:r w:rsidRPr="00317E53">
        <w:rPr>
          <w:color w:val="000000"/>
          <w:lang w:val="en-US"/>
        </w:rPr>
        <w:t>pergamo</w:t>
      </w:r>
      <w:proofErr w:type="spellEnd"/>
      <w:r w:rsidRPr="00317E53">
        <w:rPr>
          <w:color w:val="000000"/>
          <w:lang w:val="en-US"/>
        </w:rPr>
        <w:t xml:space="preserve">, se </w:t>
      </w:r>
      <w:proofErr w:type="spellStart"/>
      <w:r w:rsidRPr="00317E53">
        <w:rPr>
          <w:color w:val="000000"/>
          <w:lang w:val="en-US"/>
        </w:rPr>
        <w:t>io</w:t>
      </w:r>
      <w:proofErr w:type="spellEnd"/>
      <w:r w:rsidRPr="00317E53">
        <w:rPr>
          <w:color w:val="000000"/>
          <w:lang w:val="en-US"/>
        </w:rPr>
        <w:t xml:space="preserve"> </w:t>
      </w:r>
      <w:proofErr w:type="spellStart"/>
      <w:r w:rsidRPr="00317E53">
        <w:rPr>
          <w:color w:val="000000"/>
          <w:lang w:val="en-US"/>
        </w:rPr>
        <w:t>trovassi</w:t>
      </w:r>
      <w:proofErr w:type="spellEnd"/>
      <w:r w:rsidRPr="00317E53">
        <w:rPr>
          <w:color w:val="000000"/>
          <w:lang w:val="en-US"/>
        </w:rPr>
        <w:t xml:space="preserve"> </w:t>
      </w:r>
      <w:proofErr w:type="spellStart"/>
      <w:r w:rsidRPr="00317E53">
        <w:rPr>
          <w:color w:val="000000"/>
          <w:lang w:val="en-US"/>
        </w:rPr>
        <w:t>che</w:t>
      </w:r>
      <w:proofErr w:type="spellEnd"/>
      <w:r w:rsidRPr="00317E53">
        <w:rPr>
          <w:color w:val="000000"/>
          <w:lang w:val="en-US"/>
        </w:rPr>
        <w:t xml:space="preserve"> </w:t>
      </w:r>
      <w:proofErr w:type="spellStart"/>
      <w:r w:rsidRPr="00317E53">
        <w:rPr>
          <w:color w:val="000000"/>
          <w:lang w:val="en-US"/>
        </w:rPr>
        <w:t>voi</w:t>
      </w:r>
      <w:proofErr w:type="spellEnd"/>
      <w:r w:rsidRPr="00317E53">
        <w:rPr>
          <w:color w:val="000000"/>
          <w:lang w:val="en-US"/>
        </w:rPr>
        <w:t xml:space="preserve"> </w:t>
      </w:r>
      <w:proofErr w:type="spellStart"/>
      <w:r w:rsidRPr="00317E53">
        <w:rPr>
          <w:color w:val="000000"/>
          <w:lang w:val="en-US"/>
        </w:rPr>
        <w:t>cantassi</w:t>
      </w:r>
      <w:proofErr w:type="spellEnd"/>
      <w:r w:rsidRPr="00317E53">
        <w:rPr>
          <w:color w:val="000000"/>
          <w:lang w:val="en-US"/>
        </w:rPr>
        <w:t xml:space="preserve"> </w:t>
      </w:r>
      <w:proofErr w:type="spellStart"/>
      <w:r w:rsidRPr="00317E53">
        <w:rPr>
          <w:color w:val="000000"/>
          <w:lang w:val="en-US"/>
        </w:rPr>
        <w:t>quella</w:t>
      </w:r>
      <w:proofErr w:type="spellEnd"/>
      <w:r w:rsidRPr="00317E53">
        <w:rPr>
          <w:color w:val="000000"/>
          <w:lang w:val="en-US"/>
        </w:rPr>
        <w:t xml:space="preserve"> Ave </w:t>
      </w:r>
      <w:proofErr w:type="spellStart"/>
      <w:r w:rsidRPr="00317E53">
        <w:rPr>
          <w:color w:val="000000"/>
          <w:lang w:val="en-US"/>
        </w:rPr>
        <w:t>maris</w:t>
      </w:r>
      <w:proofErr w:type="spellEnd"/>
      <w:r w:rsidRPr="00317E53">
        <w:rPr>
          <w:color w:val="000000"/>
          <w:lang w:val="en-US"/>
        </w:rPr>
        <w:t xml:space="preserve"> </w:t>
      </w:r>
      <w:proofErr w:type="spellStart"/>
      <w:r w:rsidRPr="00317E53">
        <w:rPr>
          <w:color w:val="000000"/>
          <w:lang w:val="en-US"/>
        </w:rPr>
        <w:t>stella</w:t>
      </w:r>
      <w:proofErr w:type="spellEnd"/>
      <w:r w:rsidRPr="00317E53">
        <w:rPr>
          <w:color w:val="000000"/>
          <w:lang w:val="en-US"/>
        </w:rPr>
        <w:t xml:space="preserve"> </w:t>
      </w:r>
      <w:proofErr w:type="spellStart"/>
      <w:r w:rsidRPr="00317E53">
        <w:rPr>
          <w:color w:val="000000"/>
          <w:lang w:val="en-US"/>
        </w:rPr>
        <w:t>canterei</w:t>
      </w:r>
      <w:proofErr w:type="spellEnd"/>
      <w:r w:rsidRPr="00317E53">
        <w:rPr>
          <w:color w:val="000000"/>
          <w:lang w:val="en-US"/>
        </w:rPr>
        <w:t xml:space="preserve"> </w:t>
      </w:r>
      <w:proofErr w:type="spellStart"/>
      <w:r w:rsidRPr="00317E53">
        <w:rPr>
          <w:color w:val="000000"/>
          <w:lang w:val="en-US"/>
        </w:rPr>
        <w:t>forse</w:t>
      </w:r>
      <w:proofErr w:type="spellEnd"/>
      <w:r w:rsidRPr="00317E53">
        <w:rPr>
          <w:color w:val="000000"/>
          <w:lang w:val="en-US"/>
        </w:rPr>
        <w:t xml:space="preserve"> </w:t>
      </w:r>
      <w:proofErr w:type="spellStart"/>
      <w:r w:rsidRPr="00317E53">
        <w:rPr>
          <w:color w:val="000000"/>
          <w:lang w:val="en-US"/>
        </w:rPr>
        <w:t>ancora</w:t>
      </w:r>
      <w:proofErr w:type="spellEnd"/>
      <w:r w:rsidRPr="00317E53">
        <w:rPr>
          <w:color w:val="000000"/>
          <w:lang w:val="en-US"/>
        </w:rPr>
        <w:t xml:space="preserve"> </w:t>
      </w:r>
      <w:proofErr w:type="spellStart"/>
      <w:r w:rsidRPr="00317E53">
        <w:rPr>
          <w:color w:val="000000"/>
          <w:lang w:val="en-US"/>
        </w:rPr>
        <w:t>io</w:t>
      </w:r>
      <w:proofErr w:type="spellEnd"/>
      <w:r w:rsidRPr="00317E53">
        <w:rPr>
          <w:color w:val="000000"/>
          <w:lang w:val="en-US"/>
        </w:rPr>
        <w:t xml:space="preserve">.” Quoted in Mario Ruffini, “Savonarola e la </w:t>
      </w:r>
      <w:proofErr w:type="spellStart"/>
      <w:r w:rsidRPr="00317E53">
        <w:rPr>
          <w:color w:val="000000"/>
          <w:lang w:val="en-US"/>
        </w:rPr>
        <w:t>musica</w:t>
      </w:r>
      <w:proofErr w:type="spellEnd"/>
      <w:r w:rsidRPr="00317E53">
        <w:rPr>
          <w:color w:val="000000"/>
          <w:lang w:val="en-US"/>
        </w:rPr>
        <w:t xml:space="preserve">: </w:t>
      </w:r>
      <w:proofErr w:type="spellStart"/>
      <w:r w:rsidRPr="00317E53">
        <w:rPr>
          <w:color w:val="000000"/>
          <w:lang w:val="en-US"/>
        </w:rPr>
        <w:t>dalla</w:t>
      </w:r>
      <w:proofErr w:type="spellEnd"/>
      <w:r w:rsidRPr="00317E53">
        <w:rPr>
          <w:color w:val="000000"/>
          <w:lang w:val="en-US"/>
        </w:rPr>
        <w:t xml:space="preserve"> lauda al Novecento,” in </w:t>
      </w:r>
      <w:r w:rsidRPr="00317E53">
        <w:rPr>
          <w:i/>
          <w:iCs/>
          <w:color w:val="000000"/>
          <w:lang w:val="en-US"/>
        </w:rPr>
        <w:t xml:space="preserve">La </w:t>
      </w:r>
      <w:proofErr w:type="spellStart"/>
      <w:r w:rsidRPr="00317E53">
        <w:rPr>
          <w:i/>
          <w:iCs/>
          <w:color w:val="000000"/>
          <w:lang w:val="en-US"/>
        </w:rPr>
        <w:t>figura</w:t>
      </w:r>
      <w:proofErr w:type="spellEnd"/>
      <w:r w:rsidRPr="00317E53">
        <w:rPr>
          <w:i/>
          <w:iCs/>
          <w:color w:val="000000"/>
          <w:lang w:val="en-US"/>
        </w:rPr>
        <w:t xml:space="preserve"> de </w:t>
      </w:r>
      <w:proofErr w:type="spellStart"/>
      <w:r w:rsidRPr="00317E53">
        <w:rPr>
          <w:i/>
          <w:iCs/>
          <w:color w:val="000000"/>
          <w:lang w:val="en-US"/>
        </w:rPr>
        <w:t>Jerónimo</w:t>
      </w:r>
      <w:proofErr w:type="spellEnd"/>
      <w:r w:rsidRPr="00317E53">
        <w:rPr>
          <w:i/>
          <w:iCs/>
          <w:color w:val="000000"/>
          <w:lang w:val="en-US"/>
        </w:rPr>
        <w:t xml:space="preserve"> Savonarola O.P. y </w:t>
      </w:r>
      <w:proofErr w:type="spellStart"/>
      <w:r w:rsidRPr="00317E53">
        <w:rPr>
          <w:i/>
          <w:iCs/>
          <w:color w:val="000000"/>
          <w:lang w:val="en-US"/>
        </w:rPr>
        <w:t>su</w:t>
      </w:r>
      <w:proofErr w:type="spellEnd"/>
      <w:r w:rsidRPr="00317E53">
        <w:rPr>
          <w:i/>
          <w:iCs/>
          <w:color w:val="000000"/>
          <w:lang w:val="en-US"/>
        </w:rPr>
        <w:t xml:space="preserve"> </w:t>
      </w:r>
      <w:proofErr w:type="spellStart"/>
      <w:r w:rsidRPr="00317E53">
        <w:rPr>
          <w:i/>
          <w:iCs/>
          <w:color w:val="000000"/>
          <w:lang w:val="en-US"/>
        </w:rPr>
        <w:t>influencia</w:t>
      </w:r>
      <w:proofErr w:type="spellEnd"/>
      <w:r w:rsidRPr="00317E53">
        <w:rPr>
          <w:i/>
          <w:iCs/>
          <w:color w:val="000000"/>
          <w:lang w:val="en-US"/>
        </w:rPr>
        <w:t xml:space="preserve"> </w:t>
      </w:r>
      <w:proofErr w:type="spellStart"/>
      <w:r w:rsidRPr="00317E53">
        <w:rPr>
          <w:i/>
          <w:iCs/>
          <w:color w:val="000000"/>
          <w:lang w:val="en-US"/>
        </w:rPr>
        <w:t>en</w:t>
      </w:r>
      <w:proofErr w:type="spellEnd"/>
      <w:r w:rsidRPr="00317E53">
        <w:rPr>
          <w:i/>
          <w:iCs/>
          <w:color w:val="000000"/>
          <w:lang w:val="en-US"/>
        </w:rPr>
        <w:t xml:space="preserve"> </w:t>
      </w:r>
      <w:proofErr w:type="spellStart"/>
      <w:r w:rsidRPr="00317E53">
        <w:rPr>
          <w:i/>
          <w:iCs/>
          <w:color w:val="000000"/>
          <w:lang w:val="en-US"/>
        </w:rPr>
        <w:t>España</w:t>
      </w:r>
      <w:proofErr w:type="spellEnd"/>
      <w:r w:rsidRPr="00317E53">
        <w:rPr>
          <w:i/>
          <w:iCs/>
          <w:color w:val="000000"/>
          <w:lang w:val="en-US"/>
        </w:rPr>
        <w:t xml:space="preserve"> y Europa: </w:t>
      </w:r>
      <w:proofErr w:type="spellStart"/>
      <w:r w:rsidRPr="00317E53">
        <w:rPr>
          <w:i/>
          <w:iCs/>
          <w:color w:val="000000"/>
          <w:lang w:val="en-US"/>
        </w:rPr>
        <w:t>actas</w:t>
      </w:r>
      <w:proofErr w:type="spellEnd"/>
      <w:r w:rsidRPr="00317E53">
        <w:rPr>
          <w:i/>
          <w:iCs/>
          <w:color w:val="000000"/>
          <w:lang w:val="en-US"/>
        </w:rPr>
        <w:t xml:space="preserve"> del </w:t>
      </w:r>
      <w:proofErr w:type="spellStart"/>
      <w:r w:rsidRPr="00317E53">
        <w:rPr>
          <w:i/>
          <w:iCs/>
          <w:color w:val="000000"/>
          <w:lang w:val="en-US"/>
        </w:rPr>
        <w:t>Congreso</w:t>
      </w:r>
      <w:proofErr w:type="spellEnd"/>
      <w:r w:rsidRPr="00317E53">
        <w:rPr>
          <w:i/>
          <w:iCs/>
          <w:color w:val="000000"/>
          <w:lang w:val="en-US"/>
        </w:rPr>
        <w:t xml:space="preserve"> </w:t>
      </w:r>
      <w:proofErr w:type="spellStart"/>
      <w:r w:rsidRPr="00317E53">
        <w:rPr>
          <w:i/>
          <w:iCs/>
          <w:color w:val="000000"/>
          <w:lang w:val="en-US"/>
        </w:rPr>
        <w:t>Internacional</w:t>
      </w:r>
      <w:proofErr w:type="spellEnd"/>
      <w:r w:rsidRPr="00317E53">
        <w:rPr>
          <w:i/>
          <w:iCs/>
          <w:color w:val="000000"/>
          <w:lang w:val="en-US"/>
        </w:rPr>
        <w:t>, Valencia, 22-26 mayo 2000</w:t>
      </w:r>
      <w:r w:rsidRPr="00317E53">
        <w:rPr>
          <w:color w:val="000000"/>
          <w:lang w:val="en-US"/>
        </w:rPr>
        <w:t xml:space="preserve">, ed. Donald Weinstein, </w:t>
      </w:r>
      <w:proofErr w:type="spellStart"/>
      <w:r w:rsidRPr="00317E53">
        <w:rPr>
          <w:color w:val="000000"/>
          <w:lang w:val="en-US"/>
        </w:rPr>
        <w:t>Júlia</w:t>
      </w:r>
      <w:proofErr w:type="spellEnd"/>
      <w:r w:rsidRPr="00317E53">
        <w:rPr>
          <w:color w:val="000000"/>
          <w:lang w:val="en-US"/>
        </w:rPr>
        <w:t xml:space="preserve"> </w:t>
      </w:r>
      <w:proofErr w:type="spellStart"/>
      <w:r w:rsidRPr="00317E53">
        <w:rPr>
          <w:color w:val="000000"/>
          <w:lang w:val="en-US"/>
        </w:rPr>
        <w:t>Benavent</w:t>
      </w:r>
      <w:proofErr w:type="spellEnd"/>
      <w:r w:rsidRPr="00317E53">
        <w:rPr>
          <w:color w:val="000000"/>
          <w:lang w:val="en-US"/>
        </w:rPr>
        <w:t xml:space="preserve"> </w:t>
      </w:r>
      <w:proofErr w:type="spellStart"/>
      <w:r w:rsidRPr="00317E53">
        <w:rPr>
          <w:color w:val="000000"/>
          <w:lang w:val="en-US"/>
        </w:rPr>
        <w:t>i</w:t>
      </w:r>
      <w:proofErr w:type="spellEnd"/>
      <w:r w:rsidRPr="00317E53">
        <w:rPr>
          <w:color w:val="000000"/>
          <w:lang w:val="en-US"/>
        </w:rPr>
        <w:t xml:space="preserve"> </w:t>
      </w:r>
      <w:proofErr w:type="spellStart"/>
      <w:r w:rsidRPr="00317E53">
        <w:rPr>
          <w:color w:val="000000"/>
          <w:lang w:val="en-US"/>
        </w:rPr>
        <w:t>Benavent</w:t>
      </w:r>
      <w:proofErr w:type="spellEnd"/>
      <w:r w:rsidRPr="00317E53">
        <w:rPr>
          <w:color w:val="000000"/>
          <w:lang w:val="en-US"/>
        </w:rPr>
        <w:t xml:space="preserve">, and J. Inés Rodríguez Gómez (Florence: </w:t>
      </w:r>
      <w:proofErr w:type="spellStart"/>
      <w:r w:rsidRPr="00317E53">
        <w:rPr>
          <w:color w:val="000000"/>
          <w:lang w:val="en-US"/>
        </w:rPr>
        <w:t>Edizioni</w:t>
      </w:r>
      <w:proofErr w:type="spellEnd"/>
      <w:r w:rsidRPr="00317E53">
        <w:rPr>
          <w:color w:val="000000"/>
          <w:lang w:val="en-US"/>
        </w:rPr>
        <w:t xml:space="preserve"> del </w:t>
      </w:r>
      <w:proofErr w:type="spellStart"/>
      <w:r w:rsidRPr="00317E53">
        <w:rPr>
          <w:color w:val="000000"/>
          <w:lang w:val="en-US"/>
        </w:rPr>
        <w:t>Galluzzo</w:t>
      </w:r>
      <w:proofErr w:type="spellEnd"/>
      <w:r w:rsidRPr="00317E53">
        <w:rPr>
          <w:color w:val="000000"/>
          <w:lang w:val="en-US"/>
        </w:rPr>
        <w:t xml:space="preserve"> per la Fondazione Ezio </w:t>
      </w:r>
      <w:proofErr w:type="spellStart"/>
      <w:r w:rsidRPr="00317E53">
        <w:rPr>
          <w:color w:val="000000"/>
          <w:lang w:val="en-US"/>
        </w:rPr>
        <w:t>Franceschini</w:t>
      </w:r>
      <w:proofErr w:type="spellEnd"/>
      <w:r w:rsidRPr="00317E53">
        <w:rPr>
          <w:color w:val="000000"/>
          <w:lang w:val="en-US"/>
        </w:rPr>
        <w:t xml:space="preserve">, 2004), 100–101; an English translation of the first part of this passage can be found in Iain Fenlon, “Music and Domestic Devotion in the Age of Reform,” in </w:t>
      </w:r>
      <w:r w:rsidRPr="00317E53">
        <w:rPr>
          <w:i/>
          <w:iCs/>
          <w:color w:val="000000"/>
          <w:lang w:val="en-US"/>
        </w:rPr>
        <w:t>Domestic Devotions in Early Modern Italy</w:t>
      </w:r>
      <w:r w:rsidRPr="00317E53">
        <w:rPr>
          <w:color w:val="000000"/>
          <w:lang w:val="en-US"/>
        </w:rPr>
        <w:t xml:space="preserve">, ed. Maya Corry, Marco </w:t>
      </w:r>
      <w:proofErr w:type="spellStart"/>
      <w:r w:rsidRPr="00317E53">
        <w:rPr>
          <w:color w:val="000000"/>
          <w:lang w:val="en-US"/>
        </w:rPr>
        <w:t>Faini</w:t>
      </w:r>
      <w:proofErr w:type="spellEnd"/>
      <w:r w:rsidRPr="00317E53">
        <w:rPr>
          <w:color w:val="000000"/>
          <w:lang w:val="en-US"/>
        </w:rPr>
        <w:t xml:space="preserve">, and Alessia </w:t>
      </w:r>
      <w:proofErr w:type="spellStart"/>
      <w:r w:rsidRPr="00317E53">
        <w:rPr>
          <w:color w:val="000000"/>
          <w:lang w:val="en-US"/>
        </w:rPr>
        <w:t>Meneghin</w:t>
      </w:r>
      <w:proofErr w:type="spellEnd"/>
      <w:r w:rsidRPr="00317E53">
        <w:rPr>
          <w:color w:val="000000"/>
          <w:lang w:val="en-US"/>
        </w:rPr>
        <w:t xml:space="preserve"> (Leiden and Boston: Brill, 2018), 103.</w:t>
      </w:r>
    </w:p>
  </w:footnote>
  <w:footnote w:id="585">
    <w:p w14:paraId="6BF2C632" w14:textId="77777777" w:rsidR="00182EED" w:rsidRDefault="00182EED" w:rsidP="00094F64">
      <w:pPr>
        <w:pStyle w:val="FootnoteText"/>
      </w:pPr>
      <w:r w:rsidRPr="00591949">
        <w:rPr>
          <w:rStyle w:val="FootnoteReference"/>
        </w:rPr>
        <w:footnoteRef/>
      </w:r>
      <w:r>
        <w:t xml:space="preserve"> </w:t>
      </w:r>
      <w:r w:rsidRPr="00FD6C46">
        <w:rPr>
          <w:color w:val="000000"/>
          <w:lang w:val="en-US"/>
        </w:rPr>
        <w:t xml:space="preserve">Marica </w:t>
      </w:r>
      <w:proofErr w:type="spellStart"/>
      <w:r w:rsidRPr="00FD6C46">
        <w:rPr>
          <w:color w:val="000000"/>
          <w:lang w:val="en-US"/>
        </w:rPr>
        <w:t>Tacconi</w:t>
      </w:r>
      <w:proofErr w:type="spellEnd"/>
      <w:r w:rsidRPr="00FD6C46">
        <w:rPr>
          <w:color w:val="000000"/>
          <w:lang w:val="en-US"/>
        </w:rPr>
        <w:t xml:space="preserve">, </w:t>
      </w:r>
      <w:r w:rsidRPr="00FD6C46">
        <w:rPr>
          <w:i/>
          <w:iCs/>
          <w:color w:val="000000"/>
          <w:lang w:val="en-US"/>
        </w:rPr>
        <w:t>Cathedral and Civic Ritual in Late Medieval and Renaissance Florence: The Service Books of Santa Maria Del Fiore</w:t>
      </w:r>
      <w:r w:rsidRPr="00FD6C46">
        <w:rPr>
          <w:color w:val="000000"/>
          <w:lang w:val="en-US"/>
        </w:rPr>
        <w:t>, 2nd ed. (Cambridge: Cambridge University Press, 2005), 212.</w:t>
      </w:r>
    </w:p>
  </w:footnote>
  <w:footnote w:id="586">
    <w:p w14:paraId="5BAA52E4" w14:textId="77777777" w:rsidR="00182EED" w:rsidRDefault="00182EED" w:rsidP="00094F64">
      <w:pPr>
        <w:pStyle w:val="FootnoteText"/>
      </w:pPr>
      <w:r w:rsidRPr="00591949">
        <w:rPr>
          <w:rStyle w:val="FootnoteReference"/>
        </w:rPr>
        <w:footnoteRef/>
      </w:r>
      <w:r>
        <w:t xml:space="preserve"> </w:t>
      </w:r>
      <w:r w:rsidRPr="00907C21">
        <w:rPr>
          <w:color w:val="000000"/>
          <w:lang w:val="en-US"/>
        </w:rPr>
        <w:t xml:space="preserve">Michael Baxandall, </w:t>
      </w:r>
      <w:r w:rsidRPr="00907C21">
        <w:rPr>
          <w:i/>
          <w:iCs/>
          <w:color w:val="000000"/>
          <w:lang w:val="en-US"/>
        </w:rPr>
        <w:t>Painting and Experience in Fifteenth-Century Italy. A Primer in the Social History of Pictorial Style</w:t>
      </w:r>
      <w:r w:rsidRPr="00907C21">
        <w:rPr>
          <w:color w:val="000000"/>
          <w:lang w:val="en-US"/>
        </w:rPr>
        <w:t xml:space="preserve"> (Oxford: Oxford University Press, 1972), 72.</w:t>
      </w:r>
    </w:p>
  </w:footnote>
  <w:footnote w:id="587">
    <w:p w14:paraId="303ACFDE" w14:textId="77777777" w:rsidR="00182EED" w:rsidRDefault="00182EED" w:rsidP="00094F64">
      <w:pPr>
        <w:pStyle w:val="FootnoteText"/>
      </w:pPr>
      <w:r w:rsidRPr="00591949">
        <w:rPr>
          <w:rStyle w:val="FootnoteReference"/>
        </w:rPr>
        <w:footnoteRef/>
      </w:r>
      <w:r>
        <w:t xml:space="preserve"> </w:t>
      </w:r>
      <w:r w:rsidRPr="00907C21">
        <w:rPr>
          <w:color w:val="000000"/>
          <w:lang w:val="en-US"/>
        </w:rPr>
        <w:t xml:space="preserve">Mark Evans, “Entry 114,” in </w:t>
      </w:r>
      <w:r w:rsidRPr="00907C21">
        <w:rPr>
          <w:i/>
          <w:iCs/>
          <w:color w:val="000000"/>
          <w:lang w:val="en-US"/>
        </w:rPr>
        <w:t>Botticelli Reimagined</w:t>
      </w:r>
      <w:r w:rsidRPr="00907C21">
        <w:rPr>
          <w:color w:val="000000"/>
          <w:lang w:val="en-US"/>
        </w:rPr>
        <w:t xml:space="preserve">, ed. Mark Evans, Stefan </w:t>
      </w:r>
      <w:proofErr w:type="spellStart"/>
      <w:r w:rsidRPr="00907C21">
        <w:rPr>
          <w:color w:val="000000"/>
          <w:lang w:val="en-US"/>
        </w:rPr>
        <w:t>Weppelmann</w:t>
      </w:r>
      <w:proofErr w:type="spellEnd"/>
      <w:r w:rsidRPr="00907C21">
        <w:rPr>
          <w:color w:val="000000"/>
          <w:lang w:val="en-US"/>
        </w:rPr>
        <w:t xml:space="preserve">, and Ana </w:t>
      </w:r>
      <w:proofErr w:type="spellStart"/>
      <w:r w:rsidRPr="00907C21">
        <w:rPr>
          <w:color w:val="000000"/>
          <w:lang w:val="en-US"/>
        </w:rPr>
        <w:t>Debenedetti</w:t>
      </w:r>
      <w:proofErr w:type="spellEnd"/>
      <w:r w:rsidRPr="00907C21">
        <w:rPr>
          <w:color w:val="000000"/>
          <w:lang w:val="en-US"/>
        </w:rPr>
        <w:t xml:space="preserve"> (London: V &amp; A Publishing, 2016), 265.</w:t>
      </w:r>
    </w:p>
  </w:footnote>
  <w:footnote w:id="588">
    <w:p w14:paraId="5B4545B9" w14:textId="77777777" w:rsidR="00182EED" w:rsidRDefault="00182EED" w:rsidP="00094F64">
      <w:pPr>
        <w:pStyle w:val="FootnoteText"/>
      </w:pPr>
      <w:r w:rsidRPr="00591949">
        <w:rPr>
          <w:rStyle w:val="FootnoteReference"/>
        </w:rPr>
        <w:footnoteRef/>
      </w:r>
      <w:r>
        <w:t xml:space="preserve"> </w:t>
      </w:r>
      <w:r w:rsidRPr="00907C21">
        <w:rPr>
          <w:color w:val="000000"/>
          <w:lang w:val="en-US"/>
        </w:rPr>
        <w:t xml:space="preserve">Lightbown, </w:t>
      </w:r>
      <w:r w:rsidRPr="00907C21">
        <w:rPr>
          <w:i/>
          <w:iCs/>
          <w:color w:val="000000"/>
          <w:lang w:val="en-US"/>
        </w:rPr>
        <w:t>Sandro Botticelli: Life and Work</w:t>
      </w:r>
      <w:r w:rsidRPr="00907C21">
        <w:rPr>
          <w:color w:val="000000"/>
          <w:lang w:val="en-US"/>
        </w:rPr>
        <w:t>, vol.1, 105-106.</w:t>
      </w:r>
    </w:p>
  </w:footnote>
  <w:footnote w:id="589">
    <w:p w14:paraId="0B90AE64" w14:textId="77777777" w:rsidR="00182EED" w:rsidRDefault="00182EED" w:rsidP="00094F64">
      <w:pPr>
        <w:pStyle w:val="FootnoteText"/>
      </w:pPr>
      <w:r w:rsidRPr="00591949">
        <w:rPr>
          <w:rStyle w:val="FootnoteReference"/>
        </w:rPr>
        <w:footnoteRef/>
      </w:r>
      <w:r>
        <w:t xml:space="preserve"> </w:t>
      </w:r>
      <w:r w:rsidRPr="006775AE">
        <w:rPr>
          <w:color w:val="000000"/>
          <w:lang w:val="en-US"/>
        </w:rPr>
        <w:t xml:space="preserve">Ibid., vol.2, entry B48, 65-66; Pons, </w:t>
      </w:r>
      <w:r w:rsidRPr="006775AE">
        <w:rPr>
          <w:i/>
          <w:iCs/>
          <w:color w:val="000000"/>
          <w:lang w:val="en-US"/>
        </w:rPr>
        <w:t xml:space="preserve">Botticelli: </w:t>
      </w:r>
      <w:proofErr w:type="spellStart"/>
      <w:r w:rsidRPr="006775AE">
        <w:rPr>
          <w:i/>
          <w:iCs/>
          <w:color w:val="000000"/>
          <w:lang w:val="en-US"/>
        </w:rPr>
        <w:t>Catalogo</w:t>
      </w:r>
      <w:proofErr w:type="spellEnd"/>
      <w:r w:rsidRPr="006775AE">
        <w:rPr>
          <w:i/>
          <w:iCs/>
          <w:color w:val="000000"/>
          <w:lang w:val="en-US"/>
        </w:rPr>
        <w:t xml:space="preserve"> complete</w:t>
      </w:r>
      <w:r w:rsidRPr="006775AE">
        <w:rPr>
          <w:color w:val="000000"/>
          <w:lang w:val="en-US"/>
        </w:rPr>
        <w:t>, entry 69, 74; Olson, “Lost and Partially Found,” 43–44.</w:t>
      </w:r>
    </w:p>
  </w:footnote>
  <w:footnote w:id="590">
    <w:p w14:paraId="487EE02F" w14:textId="77777777" w:rsidR="00182EED" w:rsidRDefault="00182EED" w:rsidP="00094F64">
      <w:pPr>
        <w:pStyle w:val="FootnoteText"/>
      </w:pPr>
      <w:r w:rsidRPr="00591949">
        <w:rPr>
          <w:rStyle w:val="FootnoteReference"/>
        </w:rPr>
        <w:footnoteRef/>
      </w:r>
      <w:r>
        <w:t xml:space="preserve"> </w:t>
      </w:r>
      <w:r w:rsidRPr="006775AE">
        <w:rPr>
          <w:color w:val="000000"/>
          <w:lang w:val="en-US"/>
        </w:rPr>
        <w:t xml:space="preserve">Roberta J.M. Olson, “An Old Mystery Solved: The 1487 Payment Document to Botticelli for a Tondo,” </w:t>
      </w:r>
      <w:proofErr w:type="spellStart"/>
      <w:r w:rsidRPr="006775AE">
        <w:rPr>
          <w:i/>
          <w:iCs/>
          <w:color w:val="000000"/>
          <w:lang w:val="en-US"/>
        </w:rPr>
        <w:t>Mitteilungen</w:t>
      </w:r>
      <w:proofErr w:type="spellEnd"/>
      <w:r w:rsidRPr="006775AE">
        <w:rPr>
          <w:i/>
          <w:iCs/>
          <w:color w:val="000000"/>
          <w:lang w:val="en-US"/>
        </w:rPr>
        <w:t xml:space="preserve"> Des </w:t>
      </w:r>
      <w:proofErr w:type="spellStart"/>
      <w:r w:rsidRPr="006775AE">
        <w:rPr>
          <w:i/>
          <w:iCs/>
          <w:color w:val="000000"/>
          <w:lang w:val="en-US"/>
        </w:rPr>
        <w:t>Kunsthistorischen</w:t>
      </w:r>
      <w:proofErr w:type="spellEnd"/>
      <w:r w:rsidRPr="006775AE">
        <w:rPr>
          <w:i/>
          <w:iCs/>
          <w:color w:val="000000"/>
          <w:lang w:val="en-US"/>
        </w:rPr>
        <w:t xml:space="preserve"> Institutes in </w:t>
      </w:r>
      <w:proofErr w:type="spellStart"/>
      <w:r w:rsidRPr="006775AE">
        <w:rPr>
          <w:i/>
          <w:iCs/>
          <w:color w:val="000000"/>
          <w:lang w:val="en-US"/>
        </w:rPr>
        <w:t>Florenz</w:t>
      </w:r>
      <w:proofErr w:type="spellEnd"/>
      <w:r w:rsidRPr="006775AE">
        <w:rPr>
          <w:color w:val="000000"/>
          <w:lang w:val="en-US"/>
        </w:rPr>
        <w:t xml:space="preserve"> 39, no. 2/3 (1995): 393–96; Olson, </w:t>
      </w:r>
      <w:r w:rsidRPr="006775AE">
        <w:rPr>
          <w:i/>
          <w:iCs/>
          <w:color w:val="000000"/>
          <w:lang w:val="en-US"/>
        </w:rPr>
        <w:t>The Florentine Tondo</w:t>
      </w:r>
      <w:r w:rsidRPr="006775AE">
        <w:rPr>
          <w:color w:val="000000"/>
          <w:lang w:val="en-US"/>
        </w:rPr>
        <w:t xml:space="preserve">, 71; see also </w:t>
      </w:r>
      <w:proofErr w:type="spellStart"/>
      <w:r w:rsidRPr="006775AE">
        <w:rPr>
          <w:color w:val="000000"/>
          <w:lang w:val="en-US"/>
        </w:rPr>
        <w:t>Zöllner</w:t>
      </w:r>
      <w:proofErr w:type="spellEnd"/>
      <w:r w:rsidRPr="006775AE">
        <w:rPr>
          <w:color w:val="000000"/>
          <w:lang w:val="en-US"/>
        </w:rPr>
        <w:t xml:space="preserve">, </w:t>
      </w:r>
      <w:r w:rsidRPr="006775AE">
        <w:rPr>
          <w:i/>
          <w:iCs/>
          <w:color w:val="000000"/>
          <w:lang w:val="en-US"/>
        </w:rPr>
        <w:t>Sandro Botticelli</w:t>
      </w:r>
      <w:r w:rsidRPr="006775AE">
        <w:rPr>
          <w:color w:val="000000"/>
          <w:lang w:val="en-US"/>
        </w:rPr>
        <w:t>, 228–30.</w:t>
      </w:r>
    </w:p>
  </w:footnote>
  <w:footnote w:id="591">
    <w:p w14:paraId="466B4B35" w14:textId="77777777" w:rsidR="00182EED" w:rsidRDefault="00182EED" w:rsidP="00094F64">
      <w:pPr>
        <w:pStyle w:val="FootnoteText"/>
      </w:pPr>
      <w:r w:rsidRPr="00591949">
        <w:rPr>
          <w:rStyle w:val="FootnoteReference"/>
        </w:rPr>
        <w:footnoteRef/>
      </w:r>
      <w:r>
        <w:t xml:space="preserve"> </w:t>
      </w:r>
      <w:r w:rsidRPr="006775AE">
        <w:rPr>
          <w:color w:val="000000"/>
          <w:lang w:val="en-US"/>
        </w:rPr>
        <w:t>Olson, “Lost and Partially Found,” 46.</w:t>
      </w:r>
    </w:p>
  </w:footnote>
  <w:footnote w:id="592">
    <w:p w14:paraId="1D310BD2" w14:textId="77777777" w:rsidR="00182EED" w:rsidRDefault="00182EED" w:rsidP="00094F64">
      <w:pPr>
        <w:pStyle w:val="FootnoteText"/>
      </w:pPr>
      <w:r w:rsidRPr="00591949">
        <w:rPr>
          <w:rStyle w:val="FootnoteReference"/>
        </w:rPr>
        <w:footnoteRef/>
      </w:r>
      <w:r>
        <w:t xml:space="preserve"> </w:t>
      </w:r>
      <w:r w:rsidRPr="006775AE">
        <w:rPr>
          <w:color w:val="000000"/>
          <w:lang w:val="en-US"/>
        </w:rPr>
        <w:t xml:space="preserve">Lightbown, </w:t>
      </w:r>
      <w:r w:rsidRPr="006775AE">
        <w:rPr>
          <w:i/>
          <w:iCs/>
          <w:color w:val="000000"/>
          <w:lang w:val="en-US"/>
        </w:rPr>
        <w:t>Sandro Botticelli: Life and Work</w:t>
      </w:r>
      <w:r w:rsidRPr="006775AE">
        <w:rPr>
          <w:color w:val="000000"/>
          <w:lang w:val="en-US"/>
        </w:rPr>
        <w:t xml:space="preserve">, vol.1, 106; “Ave Maria,” in </w:t>
      </w:r>
      <w:r w:rsidRPr="006775AE">
        <w:rPr>
          <w:i/>
          <w:iCs/>
          <w:color w:val="000000"/>
          <w:lang w:val="en-US"/>
        </w:rPr>
        <w:t>Grove Music Online</w:t>
      </w:r>
      <w:r w:rsidRPr="006775AE">
        <w:rPr>
          <w:color w:val="000000"/>
          <w:lang w:val="en-US"/>
        </w:rPr>
        <w:t>, accessed February 16, 2019, http://www.oxfordmusiconline.com.sheffield.idm.oclc.org/grovemusic/view/10.1093/gmo/9781561592630.001.0001/omo-9781561592630-e-0000001578.</w:t>
      </w:r>
    </w:p>
  </w:footnote>
  <w:footnote w:id="593">
    <w:p w14:paraId="7D9F296A" w14:textId="77777777" w:rsidR="00182EED" w:rsidRDefault="00182EED" w:rsidP="00094F64">
      <w:pPr>
        <w:pStyle w:val="FootnoteText"/>
      </w:pPr>
      <w:r w:rsidRPr="00591949">
        <w:rPr>
          <w:rStyle w:val="FootnoteReference"/>
        </w:rPr>
        <w:footnoteRef/>
      </w:r>
      <w:r>
        <w:t xml:space="preserve"> </w:t>
      </w:r>
      <w:r w:rsidRPr="00CF0C57">
        <w:rPr>
          <w:color w:val="000000"/>
          <w:lang w:val="en-US"/>
        </w:rPr>
        <w:t xml:space="preserve">On the association of roses with the Virgin see Mirella Levi </w:t>
      </w:r>
      <w:proofErr w:type="spellStart"/>
      <w:r w:rsidRPr="00CF0C57">
        <w:rPr>
          <w:color w:val="000000"/>
          <w:lang w:val="en-US"/>
        </w:rPr>
        <w:t>D’A</w:t>
      </w:r>
      <w:r>
        <w:rPr>
          <w:color w:val="000000"/>
          <w:lang w:val="en-US"/>
        </w:rPr>
        <w:t>n</w:t>
      </w:r>
      <w:r w:rsidRPr="00CF0C57">
        <w:rPr>
          <w:color w:val="000000"/>
          <w:lang w:val="en-US"/>
        </w:rPr>
        <w:t>cona</w:t>
      </w:r>
      <w:proofErr w:type="spellEnd"/>
      <w:r w:rsidRPr="00CF0C57">
        <w:rPr>
          <w:color w:val="000000"/>
          <w:lang w:val="en-US"/>
        </w:rPr>
        <w:t xml:space="preserve">, </w:t>
      </w:r>
      <w:r w:rsidRPr="00CF0C57">
        <w:rPr>
          <w:i/>
          <w:iCs/>
          <w:color w:val="000000"/>
          <w:lang w:val="en-US"/>
        </w:rPr>
        <w:t xml:space="preserve">The Garden of the </w:t>
      </w:r>
      <w:r w:rsidRPr="00CF0C57">
        <w:rPr>
          <w:i/>
          <w:iCs/>
          <w:color w:val="000000"/>
          <w:lang w:val="en-US"/>
        </w:rPr>
        <w:t>Renaissance : Botanical Symbolism in Italian Painting</w:t>
      </w:r>
      <w:r w:rsidRPr="00CF0C57">
        <w:rPr>
          <w:color w:val="000000"/>
          <w:lang w:val="en-US"/>
        </w:rPr>
        <w:t xml:space="preserve"> (Florence: Leo S. </w:t>
      </w:r>
      <w:proofErr w:type="spellStart"/>
      <w:r w:rsidRPr="00CF0C57">
        <w:rPr>
          <w:color w:val="000000"/>
          <w:lang w:val="en-US"/>
        </w:rPr>
        <w:t>Olschki</w:t>
      </w:r>
      <w:proofErr w:type="spellEnd"/>
      <w:r w:rsidRPr="00CF0C57">
        <w:rPr>
          <w:color w:val="000000"/>
          <w:lang w:val="en-US"/>
        </w:rPr>
        <w:t>, 1977), 332–37.</w:t>
      </w:r>
    </w:p>
  </w:footnote>
  <w:footnote w:id="594">
    <w:p w14:paraId="5E04B534" w14:textId="77777777" w:rsidR="00182EED" w:rsidRDefault="00182EED" w:rsidP="00094F64">
      <w:pPr>
        <w:pStyle w:val="FootnoteText"/>
      </w:pPr>
      <w:r w:rsidRPr="00591949">
        <w:rPr>
          <w:rStyle w:val="FootnoteReference"/>
        </w:rPr>
        <w:footnoteRef/>
      </w:r>
      <w:r>
        <w:t xml:space="preserve"> </w:t>
      </w:r>
      <w:r w:rsidRPr="006775AE">
        <w:rPr>
          <w:color w:val="000000"/>
          <w:lang w:val="en-US"/>
        </w:rPr>
        <w:t xml:space="preserve">Lightbown, </w:t>
      </w:r>
      <w:r w:rsidRPr="006775AE">
        <w:rPr>
          <w:i/>
          <w:iCs/>
          <w:color w:val="000000"/>
          <w:lang w:val="en-US"/>
        </w:rPr>
        <w:t>Sandro Botticelli: Life and Work</w:t>
      </w:r>
      <w:r w:rsidRPr="006775AE">
        <w:rPr>
          <w:color w:val="000000"/>
          <w:lang w:val="en-US"/>
        </w:rPr>
        <w:t xml:space="preserve">, vol.2, C28,130-131; Pons, </w:t>
      </w:r>
      <w:r w:rsidRPr="006775AE">
        <w:rPr>
          <w:i/>
          <w:iCs/>
          <w:color w:val="000000"/>
          <w:lang w:val="en-US"/>
        </w:rPr>
        <w:t xml:space="preserve">Botticelli: </w:t>
      </w:r>
      <w:proofErr w:type="spellStart"/>
      <w:r w:rsidRPr="006775AE">
        <w:rPr>
          <w:i/>
          <w:iCs/>
          <w:color w:val="000000"/>
          <w:lang w:val="en-US"/>
        </w:rPr>
        <w:t>Catalogo</w:t>
      </w:r>
      <w:proofErr w:type="spellEnd"/>
      <w:r w:rsidRPr="006775AE">
        <w:rPr>
          <w:i/>
          <w:iCs/>
          <w:color w:val="000000"/>
          <w:lang w:val="en-US"/>
        </w:rPr>
        <w:t xml:space="preserve"> complete</w:t>
      </w:r>
      <w:r w:rsidRPr="006775AE">
        <w:rPr>
          <w:color w:val="000000"/>
          <w:lang w:val="en-US"/>
        </w:rPr>
        <w:t>, entry 91, 80.</w:t>
      </w:r>
    </w:p>
  </w:footnote>
  <w:footnote w:id="595">
    <w:p w14:paraId="75A862BB" w14:textId="77777777" w:rsidR="00182EED" w:rsidRDefault="00182EED" w:rsidP="00094F64">
      <w:pPr>
        <w:pStyle w:val="FootnoteText"/>
      </w:pPr>
      <w:r w:rsidRPr="00591949">
        <w:rPr>
          <w:rStyle w:val="FootnoteReference"/>
        </w:rPr>
        <w:footnoteRef/>
      </w:r>
      <w:r>
        <w:t xml:space="preserve"> </w:t>
      </w:r>
      <w:r w:rsidRPr="00FD6C46">
        <w:rPr>
          <w:color w:val="000000"/>
          <w:lang w:val="en-US"/>
        </w:rPr>
        <w:t xml:space="preserve">Ruth </w:t>
      </w:r>
      <w:proofErr w:type="spellStart"/>
      <w:r w:rsidRPr="00FD6C46">
        <w:rPr>
          <w:color w:val="000000"/>
          <w:lang w:val="en-US"/>
        </w:rPr>
        <w:t>DeFord</w:t>
      </w:r>
      <w:proofErr w:type="spellEnd"/>
      <w:r w:rsidRPr="00FD6C46">
        <w:rPr>
          <w:color w:val="000000"/>
          <w:lang w:val="en-US"/>
        </w:rPr>
        <w:t xml:space="preserve">, </w:t>
      </w:r>
      <w:r w:rsidRPr="00FD6C46">
        <w:rPr>
          <w:i/>
          <w:iCs/>
          <w:color w:val="000000"/>
          <w:lang w:val="en-US"/>
        </w:rPr>
        <w:t>Tactus, Mensuration and Rhythm in Renaissance Music</w:t>
      </w:r>
      <w:r w:rsidRPr="00FD6C46">
        <w:rPr>
          <w:color w:val="000000"/>
          <w:lang w:val="en-US"/>
        </w:rPr>
        <w:t xml:space="preserve">, 2018, 51–53; Alexander </w:t>
      </w:r>
      <w:proofErr w:type="spellStart"/>
      <w:r w:rsidRPr="00FD6C46">
        <w:rPr>
          <w:color w:val="000000"/>
          <w:lang w:val="en-US"/>
        </w:rPr>
        <w:t>Blachly</w:t>
      </w:r>
      <w:proofErr w:type="spellEnd"/>
      <w:r w:rsidRPr="00FD6C46">
        <w:rPr>
          <w:color w:val="000000"/>
          <w:lang w:val="en-US"/>
        </w:rPr>
        <w:t>, “</w:t>
      </w:r>
      <w:r w:rsidRPr="00FD6C46">
        <w:rPr>
          <w:i/>
          <w:iCs/>
          <w:color w:val="000000"/>
          <w:lang w:val="en-US"/>
        </w:rPr>
        <w:t>Mensura</w:t>
      </w:r>
      <w:r w:rsidRPr="00FD6C46">
        <w:rPr>
          <w:color w:val="000000"/>
          <w:lang w:val="en-US"/>
        </w:rPr>
        <w:t xml:space="preserve"> versus </w:t>
      </w:r>
      <w:r w:rsidRPr="00FD6C46">
        <w:rPr>
          <w:i/>
          <w:iCs/>
          <w:color w:val="000000"/>
          <w:lang w:val="en-US"/>
        </w:rPr>
        <w:t>Tactus</w:t>
      </w:r>
      <w:r w:rsidRPr="00FD6C46">
        <w:rPr>
          <w:color w:val="000000"/>
          <w:lang w:val="en-US"/>
        </w:rPr>
        <w:t xml:space="preserve">,” </w:t>
      </w:r>
      <w:proofErr w:type="spellStart"/>
      <w:r w:rsidRPr="00FD6C46">
        <w:rPr>
          <w:i/>
          <w:iCs/>
          <w:color w:val="000000"/>
          <w:lang w:val="en-US"/>
        </w:rPr>
        <w:t>Quellen</w:t>
      </w:r>
      <w:proofErr w:type="spellEnd"/>
      <w:r w:rsidRPr="00FD6C46">
        <w:rPr>
          <w:i/>
          <w:iCs/>
          <w:color w:val="000000"/>
          <w:lang w:val="en-US"/>
        </w:rPr>
        <w:t xml:space="preserve"> Und </w:t>
      </w:r>
      <w:proofErr w:type="spellStart"/>
      <w:r w:rsidRPr="00FD6C46">
        <w:rPr>
          <w:i/>
          <w:iCs/>
          <w:color w:val="000000"/>
          <w:lang w:val="en-US"/>
        </w:rPr>
        <w:t>Studien</w:t>
      </w:r>
      <w:proofErr w:type="spellEnd"/>
      <w:r w:rsidRPr="00FD6C46">
        <w:rPr>
          <w:i/>
          <w:iCs/>
          <w:color w:val="000000"/>
          <w:lang w:val="en-US"/>
        </w:rPr>
        <w:t xml:space="preserve"> </w:t>
      </w:r>
      <w:proofErr w:type="spellStart"/>
      <w:r w:rsidRPr="00FD6C46">
        <w:rPr>
          <w:i/>
          <w:iCs/>
          <w:color w:val="000000"/>
          <w:lang w:val="en-US"/>
        </w:rPr>
        <w:t>Zur</w:t>
      </w:r>
      <w:proofErr w:type="spellEnd"/>
      <w:r w:rsidRPr="00FD6C46">
        <w:rPr>
          <w:i/>
          <w:iCs/>
          <w:color w:val="000000"/>
          <w:lang w:val="en-US"/>
        </w:rPr>
        <w:t xml:space="preserve"> </w:t>
      </w:r>
      <w:proofErr w:type="spellStart"/>
      <w:r w:rsidRPr="00FD6C46">
        <w:rPr>
          <w:i/>
          <w:iCs/>
          <w:color w:val="000000"/>
          <w:lang w:val="en-US"/>
        </w:rPr>
        <w:t>Musiktheorie</w:t>
      </w:r>
      <w:proofErr w:type="spellEnd"/>
      <w:r w:rsidRPr="00FD6C46">
        <w:rPr>
          <w:i/>
          <w:iCs/>
          <w:color w:val="000000"/>
          <w:lang w:val="en-US"/>
        </w:rPr>
        <w:t xml:space="preserve"> </w:t>
      </w:r>
      <w:r w:rsidRPr="00FD6C46">
        <w:rPr>
          <w:i/>
          <w:iCs/>
          <w:color w:val="000000"/>
          <w:lang w:val="en-US"/>
        </w:rPr>
        <w:t xml:space="preserve">Des </w:t>
      </w:r>
      <w:proofErr w:type="spellStart"/>
      <w:r w:rsidRPr="00FD6C46">
        <w:rPr>
          <w:i/>
          <w:iCs/>
          <w:color w:val="000000"/>
          <w:lang w:val="en-US"/>
        </w:rPr>
        <w:t>Mittelalters</w:t>
      </w:r>
      <w:proofErr w:type="spellEnd"/>
      <w:r w:rsidRPr="00FD6C46">
        <w:rPr>
          <w:color w:val="000000"/>
          <w:lang w:val="en-US"/>
        </w:rPr>
        <w:t xml:space="preserve"> 3 (2001): 429.</w:t>
      </w:r>
    </w:p>
  </w:footnote>
  <w:footnote w:id="596">
    <w:p w14:paraId="57E08DC7" w14:textId="77777777" w:rsidR="00182EED" w:rsidRDefault="00182EED" w:rsidP="00094F64">
      <w:pPr>
        <w:pStyle w:val="FootnoteText"/>
      </w:pPr>
      <w:r w:rsidRPr="00591949">
        <w:rPr>
          <w:rStyle w:val="FootnoteReference"/>
        </w:rPr>
        <w:footnoteRef/>
      </w:r>
      <w:r>
        <w:t xml:space="preserve"> </w:t>
      </w:r>
      <w:proofErr w:type="spellStart"/>
      <w:r w:rsidRPr="009070CC">
        <w:rPr>
          <w:color w:val="000000"/>
          <w:lang w:val="en-US"/>
        </w:rPr>
        <w:t>DeFord</w:t>
      </w:r>
      <w:proofErr w:type="spellEnd"/>
      <w:r w:rsidRPr="009070CC">
        <w:rPr>
          <w:color w:val="000000"/>
          <w:lang w:val="en-US"/>
        </w:rPr>
        <w:t xml:space="preserve">, </w:t>
      </w:r>
      <w:r w:rsidRPr="009070CC">
        <w:rPr>
          <w:i/>
          <w:iCs/>
          <w:color w:val="000000"/>
          <w:lang w:val="en-US"/>
        </w:rPr>
        <w:t>Tactus, Mensuration and Rhythm in Renaissance Music</w:t>
      </w:r>
      <w:r w:rsidRPr="009070CC">
        <w:rPr>
          <w:color w:val="000000"/>
          <w:lang w:val="en-US"/>
        </w:rPr>
        <w:t>, 51–53.</w:t>
      </w:r>
    </w:p>
  </w:footnote>
  <w:footnote w:id="597">
    <w:p w14:paraId="5CABF038" w14:textId="77777777" w:rsidR="00182EED" w:rsidRPr="007D3C38" w:rsidRDefault="00182EED" w:rsidP="00094F64">
      <w:pPr>
        <w:pStyle w:val="FootnoteText"/>
      </w:pPr>
      <w:r w:rsidRPr="00591949">
        <w:rPr>
          <w:rStyle w:val="FootnoteReference"/>
        </w:rPr>
        <w:footnoteRef/>
      </w:r>
      <w:r w:rsidRPr="007D3C38">
        <w:t xml:space="preserve"> “Cantor </w:t>
      </w:r>
      <w:proofErr w:type="spellStart"/>
      <w:r w:rsidRPr="007D3C38">
        <w:t>neque</w:t>
      </w:r>
      <w:proofErr w:type="spellEnd"/>
      <w:r w:rsidRPr="007D3C38">
        <w:t xml:space="preserve"> </w:t>
      </w:r>
      <w:proofErr w:type="spellStart"/>
      <w:r w:rsidRPr="007D3C38">
        <w:t>admodum</w:t>
      </w:r>
      <w:proofErr w:type="spellEnd"/>
      <w:r w:rsidRPr="007D3C38">
        <w:t xml:space="preserve"> </w:t>
      </w:r>
      <w:proofErr w:type="spellStart"/>
      <w:r w:rsidRPr="007D3C38">
        <w:t>accelerans</w:t>
      </w:r>
      <w:proofErr w:type="spellEnd"/>
      <w:r w:rsidRPr="007D3C38">
        <w:t xml:space="preserve"> </w:t>
      </w:r>
      <w:proofErr w:type="spellStart"/>
      <w:r w:rsidRPr="007D3C38">
        <w:t>cantum</w:t>
      </w:r>
      <w:proofErr w:type="spellEnd"/>
      <w:r w:rsidRPr="007D3C38">
        <w:t xml:space="preserve"> </w:t>
      </w:r>
      <w:proofErr w:type="spellStart"/>
      <w:r w:rsidRPr="007D3C38">
        <w:t>vel</w:t>
      </w:r>
      <w:proofErr w:type="spellEnd"/>
      <w:r w:rsidRPr="007D3C38">
        <w:t xml:space="preserve"> in </w:t>
      </w:r>
      <w:proofErr w:type="spellStart"/>
      <w:r w:rsidRPr="007D3C38">
        <w:t>longam</w:t>
      </w:r>
      <w:proofErr w:type="spellEnd"/>
      <w:r w:rsidRPr="007D3C38">
        <w:t xml:space="preserve"> </w:t>
      </w:r>
      <w:proofErr w:type="spellStart"/>
      <w:r w:rsidRPr="007D3C38">
        <w:t>vocem</w:t>
      </w:r>
      <w:proofErr w:type="spellEnd"/>
      <w:r w:rsidRPr="007D3C38">
        <w:t xml:space="preserve"> </w:t>
      </w:r>
      <w:proofErr w:type="spellStart"/>
      <w:r w:rsidRPr="007D3C38">
        <w:t>protrahens</w:t>
      </w:r>
      <w:proofErr w:type="spellEnd"/>
      <w:r w:rsidRPr="007D3C38">
        <w:t xml:space="preserve"> pedis </w:t>
      </w:r>
      <w:proofErr w:type="spellStart"/>
      <w:r w:rsidRPr="007D3C38">
        <w:t>anteriora</w:t>
      </w:r>
      <w:proofErr w:type="spellEnd"/>
      <w:r w:rsidRPr="007D3C38">
        <w:t xml:space="preserve"> </w:t>
      </w:r>
      <w:proofErr w:type="spellStart"/>
      <w:r w:rsidRPr="007D3C38">
        <w:t>quatit</w:t>
      </w:r>
      <w:proofErr w:type="spellEnd"/>
      <w:r w:rsidRPr="007D3C38">
        <w:t xml:space="preserve"> </w:t>
      </w:r>
      <w:proofErr w:type="spellStart"/>
      <w:r w:rsidRPr="007D3C38">
        <w:t>immota</w:t>
      </w:r>
      <w:proofErr w:type="spellEnd"/>
      <w:r w:rsidRPr="007D3C38">
        <w:t xml:space="preserve"> </w:t>
      </w:r>
      <w:proofErr w:type="spellStart"/>
      <w:r w:rsidRPr="007D3C38">
        <w:t>calce</w:t>
      </w:r>
      <w:proofErr w:type="spellEnd"/>
      <w:r w:rsidRPr="007D3C38">
        <w:t xml:space="preserve">, </w:t>
      </w:r>
      <w:proofErr w:type="spellStart"/>
      <w:r w:rsidRPr="007D3C38">
        <w:t>vel</w:t>
      </w:r>
      <w:proofErr w:type="spellEnd"/>
      <w:r w:rsidRPr="007D3C38">
        <w:t xml:space="preserve"> </w:t>
      </w:r>
      <w:proofErr w:type="spellStart"/>
      <w:r w:rsidRPr="007D3C38">
        <w:t>manum</w:t>
      </w:r>
      <w:proofErr w:type="spellEnd"/>
      <w:r w:rsidRPr="007D3C38">
        <w:t xml:space="preserve"> </w:t>
      </w:r>
      <w:proofErr w:type="spellStart"/>
      <w:r w:rsidRPr="007D3C38">
        <w:t>admovet</w:t>
      </w:r>
      <w:proofErr w:type="spellEnd"/>
      <w:r w:rsidRPr="007D3C38">
        <w:t xml:space="preserve"> </w:t>
      </w:r>
      <w:proofErr w:type="spellStart"/>
      <w:r w:rsidRPr="007D3C38">
        <w:t>manui</w:t>
      </w:r>
      <w:proofErr w:type="spellEnd"/>
      <w:r w:rsidRPr="007D3C38">
        <w:t xml:space="preserve"> </w:t>
      </w:r>
      <w:proofErr w:type="spellStart"/>
      <w:r w:rsidRPr="007D3C38">
        <w:t>aut</w:t>
      </w:r>
      <w:proofErr w:type="spellEnd"/>
      <w:r w:rsidRPr="007D3C38">
        <w:t xml:space="preserve"> </w:t>
      </w:r>
      <w:proofErr w:type="spellStart"/>
      <w:r w:rsidRPr="007D3C38">
        <w:t>dorso</w:t>
      </w:r>
      <w:proofErr w:type="spellEnd"/>
      <w:r w:rsidRPr="007D3C38">
        <w:t xml:space="preserve"> </w:t>
      </w:r>
      <w:proofErr w:type="spellStart"/>
      <w:r w:rsidRPr="007D3C38">
        <w:t>discipuli</w:t>
      </w:r>
      <w:proofErr w:type="spellEnd"/>
      <w:r w:rsidRPr="007D3C38">
        <w:t xml:space="preserve"> quantum </w:t>
      </w:r>
      <w:proofErr w:type="spellStart"/>
      <w:r w:rsidRPr="007D3C38">
        <w:t>potest</w:t>
      </w:r>
      <w:proofErr w:type="spellEnd"/>
      <w:r w:rsidRPr="007D3C38">
        <w:t xml:space="preserve"> </w:t>
      </w:r>
      <w:proofErr w:type="spellStart"/>
      <w:r w:rsidRPr="007D3C38">
        <w:t>equaliter</w:t>
      </w:r>
      <w:proofErr w:type="spellEnd"/>
      <w:r w:rsidRPr="007D3C38">
        <w:t xml:space="preserve">.” </w:t>
      </w:r>
      <w:proofErr w:type="spellStart"/>
      <w:r w:rsidRPr="007D3C38">
        <w:t>Anselmi</w:t>
      </w:r>
      <w:proofErr w:type="spellEnd"/>
      <w:r w:rsidRPr="007D3C38">
        <w:t xml:space="preserve"> 1961, 171; English translation from </w:t>
      </w:r>
      <w:proofErr w:type="spellStart"/>
      <w:r w:rsidRPr="007D3C38">
        <w:t>DeFord</w:t>
      </w:r>
      <w:proofErr w:type="spellEnd"/>
      <w:r w:rsidRPr="007D3C38">
        <w:t xml:space="preserve"> 2015, 54-55. For a different translation see </w:t>
      </w:r>
      <w:proofErr w:type="spellStart"/>
      <w:r w:rsidRPr="007D3C38">
        <w:t>Blachly</w:t>
      </w:r>
      <w:proofErr w:type="spellEnd"/>
      <w:r w:rsidRPr="007D3C38">
        <w:t>, “</w:t>
      </w:r>
      <w:r w:rsidRPr="007D3C38">
        <w:rPr>
          <w:i/>
        </w:rPr>
        <w:t>Mensura</w:t>
      </w:r>
      <w:r w:rsidRPr="007D3C38">
        <w:t xml:space="preserve"> versus </w:t>
      </w:r>
      <w:r w:rsidRPr="007D3C38">
        <w:rPr>
          <w:i/>
        </w:rPr>
        <w:t>tactus</w:t>
      </w:r>
      <w:r w:rsidRPr="007D3C38">
        <w:t>”, 429-30.</w:t>
      </w:r>
    </w:p>
  </w:footnote>
  <w:footnote w:id="598">
    <w:p w14:paraId="4B2B87E2" w14:textId="77777777" w:rsidR="00182EED" w:rsidRDefault="00182EED" w:rsidP="00094F64">
      <w:pPr>
        <w:pStyle w:val="FootnoteText"/>
      </w:pPr>
      <w:r w:rsidRPr="00591949">
        <w:rPr>
          <w:rStyle w:val="FootnoteReference"/>
        </w:rPr>
        <w:footnoteRef/>
      </w:r>
      <w:r>
        <w:t xml:space="preserve"> </w:t>
      </w:r>
      <w:proofErr w:type="spellStart"/>
      <w:r w:rsidRPr="009070CC">
        <w:rPr>
          <w:color w:val="000000"/>
          <w:lang w:val="en-US"/>
        </w:rPr>
        <w:t>Blachly</w:t>
      </w:r>
      <w:proofErr w:type="spellEnd"/>
      <w:r w:rsidRPr="009070CC">
        <w:rPr>
          <w:color w:val="000000"/>
          <w:lang w:val="en-US"/>
        </w:rPr>
        <w:t>, “</w:t>
      </w:r>
      <w:r w:rsidRPr="009070CC">
        <w:rPr>
          <w:i/>
          <w:iCs/>
          <w:color w:val="000000"/>
          <w:lang w:val="en-US"/>
        </w:rPr>
        <w:t>Mensura</w:t>
      </w:r>
      <w:r w:rsidRPr="009070CC">
        <w:rPr>
          <w:color w:val="000000"/>
          <w:lang w:val="en-US"/>
        </w:rPr>
        <w:t xml:space="preserve"> versus </w:t>
      </w:r>
      <w:r w:rsidRPr="009070CC">
        <w:rPr>
          <w:i/>
          <w:iCs/>
          <w:color w:val="000000"/>
          <w:lang w:val="en-US"/>
        </w:rPr>
        <w:t>Tactus</w:t>
      </w:r>
      <w:r w:rsidRPr="009070CC">
        <w:rPr>
          <w:color w:val="000000"/>
          <w:lang w:val="en-US"/>
        </w:rPr>
        <w:t>,” 430.</w:t>
      </w:r>
    </w:p>
  </w:footnote>
  <w:footnote w:id="599">
    <w:p w14:paraId="6008C663" w14:textId="77777777" w:rsidR="00182EED" w:rsidRDefault="00182EED" w:rsidP="00094F64">
      <w:pPr>
        <w:pStyle w:val="FootnoteText"/>
      </w:pPr>
      <w:r w:rsidRPr="00591949">
        <w:rPr>
          <w:rStyle w:val="FootnoteReference"/>
        </w:rPr>
        <w:footnoteRef/>
      </w:r>
      <w:r>
        <w:t xml:space="preserve"> </w:t>
      </w:r>
      <w:r w:rsidRPr="009070CC">
        <w:rPr>
          <w:color w:val="000000"/>
          <w:lang w:val="en-US"/>
        </w:rPr>
        <w:t xml:space="preserve">“Duplex </w:t>
      </w:r>
      <w:proofErr w:type="spellStart"/>
      <w:r w:rsidRPr="009070CC">
        <w:rPr>
          <w:color w:val="000000"/>
          <w:lang w:val="en-US"/>
        </w:rPr>
        <w:t>est</w:t>
      </w:r>
      <w:proofErr w:type="spellEnd"/>
      <w:r w:rsidRPr="009070CC">
        <w:rPr>
          <w:color w:val="000000"/>
          <w:lang w:val="en-US"/>
        </w:rPr>
        <w:t xml:space="preserve"> tempus, scilicet perfectum et </w:t>
      </w:r>
      <w:proofErr w:type="spellStart"/>
      <w:r w:rsidRPr="009070CC">
        <w:rPr>
          <w:color w:val="000000"/>
          <w:lang w:val="en-US"/>
        </w:rPr>
        <w:t>imperfectum</w:t>
      </w:r>
      <w:proofErr w:type="spellEnd"/>
      <w:r w:rsidRPr="009070CC">
        <w:rPr>
          <w:color w:val="000000"/>
          <w:lang w:val="en-US"/>
        </w:rPr>
        <w:t xml:space="preserve">. Perfectum </w:t>
      </w:r>
      <w:proofErr w:type="spellStart"/>
      <w:r w:rsidRPr="009070CC">
        <w:rPr>
          <w:color w:val="000000"/>
          <w:lang w:val="en-US"/>
        </w:rPr>
        <w:t>est</w:t>
      </w:r>
      <w:proofErr w:type="spellEnd"/>
      <w:r w:rsidRPr="009070CC">
        <w:rPr>
          <w:color w:val="000000"/>
          <w:lang w:val="en-US"/>
        </w:rPr>
        <w:t xml:space="preserve">, quod continent </w:t>
      </w:r>
      <w:proofErr w:type="spellStart"/>
      <w:r w:rsidRPr="009070CC">
        <w:rPr>
          <w:color w:val="000000"/>
          <w:lang w:val="en-US"/>
        </w:rPr>
        <w:t>numerum</w:t>
      </w:r>
      <w:proofErr w:type="spellEnd"/>
      <w:r w:rsidRPr="009070CC">
        <w:rPr>
          <w:color w:val="000000"/>
          <w:lang w:val="en-US"/>
        </w:rPr>
        <w:t xml:space="preserve"> </w:t>
      </w:r>
      <w:proofErr w:type="spellStart"/>
      <w:r w:rsidRPr="009070CC">
        <w:rPr>
          <w:color w:val="000000"/>
          <w:lang w:val="en-US"/>
        </w:rPr>
        <w:t>ternarium</w:t>
      </w:r>
      <w:proofErr w:type="spellEnd"/>
      <w:r w:rsidRPr="009070CC">
        <w:rPr>
          <w:color w:val="000000"/>
          <w:lang w:val="en-US"/>
        </w:rPr>
        <w:t xml:space="preserve"> in </w:t>
      </w:r>
      <w:proofErr w:type="spellStart"/>
      <w:r w:rsidRPr="009070CC">
        <w:rPr>
          <w:color w:val="000000"/>
          <w:lang w:val="en-US"/>
        </w:rPr>
        <w:t>semibrevibus</w:t>
      </w:r>
      <w:proofErr w:type="spellEnd"/>
      <w:r w:rsidRPr="009070CC">
        <w:rPr>
          <w:color w:val="000000"/>
          <w:lang w:val="en-US"/>
        </w:rPr>
        <w:t xml:space="preserve"> et </w:t>
      </w:r>
      <w:proofErr w:type="spellStart"/>
      <w:r w:rsidRPr="009070CC">
        <w:rPr>
          <w:color w:val="000000"/>
          <w:lang w:val="en-US"/>
        </w:rPr>
        <w:t>illud</w:t>
      </w:r>
      <w:proofErr w:type="spellEnd"/>
      <w:r w:rsidRPr="009070CC">
        <w:rPr>
          <w:color w:val="000000"/>
          <w:lang w:val="en-US"/>
        </w:rPr>
        <w:t xml:space="preserve"> </w:t>
      </w:r>
      <w:proofErr w:type="spellStart"/>
      <w:r w:rsidRPr="009070CC">
        <w:rPr>
          <w:color w:val="000000"/>
          <w:lang w:val="en-US"/>
        </w:rPr>
        <w:t>debet</w:t>
      </w:r>
      <w:proofErr w:type="spellEnd"/>
      <w:r w:rsidRPr="009070CC">
        <w:rPr>
          <w:color w:val="000000"/>
          <w:lang w:val="en-US"/>
        </w:rPr>
        <w:t xml:space="preserve"> </w:t>
      </w:r>
      <w:proofErr w:type="spellStart"/>
      <w:r w:rsidRPr="009070CC">
        <w:rPr>
          <w:color w:val="000000"/>
          <w:lang w:val="en-US"/>
        </w:rPr>
        <w:t>tangi</w:t>
      </w:r>
      <w:proofErr w:type="spellEnd"/>
      <w:r w:rsidRPr="009070CC">
        <w:rPr>
          <w:color w:val="000000"/>
          <w:lang w:val="en-US"/>
        </w:rPr>
        <w:t xml:space="preserve"> </w:t>
      </w:r>
      <w:proofErr w:type="spellStart"/>
      <w:r w:rsidRPr="009070CC">
        <w:rPr>
          <w:color w:val="000000"/>
          <w:lang w:val="en-US"/>
        </w:rPr>
        <w:t>tribus</w:t>
      </w:r>
      <w:proofErr w:type="spellEnd"/>
      <w:r w:rsidRPr="009070CC">
        <w:rPr>
          <w:color w:val="000000"/>
          <w:lang w:val="en-US"/>
        </w:rPr>
        <w:t xml:space="preserve"> </w:t>
      </w:r>
      <w:proofErr w:type="spellStart"/>
      <w:r w:rsidRPr="009070CC">
        <w:rPr>
          <w:color w:val="000000"/>
          <w:lang w:val="en-US"/>
        </w:rPr>
        <w:t>digitis</w:t>
      </w:r>
      <w:proofErr w:type="spellEnd"/>
      <w:r w:rsidRPr="009070CC">
        <w:rPr>
          <w:color w:val="000000"/>
          <w:lang w:val="en-US"/>
        </w:rPr>
        <w:t xml:space="preserve">, id </w:t>
      </w:r>
      <w:proofErr w:type="spellStart"/>
      <w:r w:rsidRPr="009070CC">
        <w:rPr>
          <w:color w:val="000000"/>
          <w:lang w:val="en-US"/>
        </w:rPr>
        <w:t>est</w:t>
      </w:r>
      <w:proofErr w:type="spellEnd"/>
      <w:r w:rsidRPr="009070CC">
        <w:rPr>
          <w:color w:val="000000"/>
          <w:lang w:val="en-US"/>
        </w:rPr>
        <w:t xml:space="preserve"> </w:t>
      </w:r>
      <w:proofErr w:type="spellStart"/>
      <w:r w:rsidRPr="009070CC">
        <w:rPr>
          <w:color w:val="000000"/>
          <w:lang w:val="en-US"/>
        </w:rPr>
        <w:t>tactibus</w:t>
      </w:r>
      <w:proofErr w:type="spellEnd"/>
      <w:r w:rsidRPr="009070CC">
        <w:rPr>
          <w:color w:val="000000"/>
          <w:lang w:val="en-US"/>
        </w:rPr>
        <w:t xml:space="preserve">. Sed tempus </w:t>
      </w:r>
      <w:proofErr w:type="spellStart"/>
      <w:r w:rsidRPr="009070CC">
        <w:rPr>
          <w:color w:val="000000"/>
          <w:lang w:val="en-US"/>
        </w:rPr>
        <w:t>imperfectum</w:t>
      </w:r>
      <w:proofErr w:type="spellEnd"/>
      <w:r w:rsidRPr="009070CC">
        <w:rPr>
          <w:color w:val="000000"/>
          <w:lang w:val="en-US"/>
        </w:rPr>
        <w:t xml:space="preserve"> </w:t>
      </w:r>
      <w:proofErr w:type="spellStart"/>
      <w:r w:rsidRPr="009070CC">
        <w:rPr>
          <w:color w:val="000000"/>
          <w:lang w:val="en-US"/>
        </w:rPr>
        <w:t>est</w:t>
      </w:r>
      <w:proofErr w:type="spellEnd"/>
      <w:r w:rsidRPr="009070CC">
        <w:rPr>
          <w:color w:val="000000"/>
          <w:lang w:val="en-US"/>
        </w:rPr>
        <w:t xml:space="preserve">, quod continent </w:t>
      </w:r>
      <w:proofErr w:type="spellStart"/>
      <w:r w:rsidRPr="009070CC">
        <w:rPr>
          <w:color w:val="000000"/>
          <w:lang w:val="en-US"/>
        </w:rPr>
        <w:t>numerum</w:t>
      </w:r>
      <w:proofErr w:type="spellEnd"/>
      <w:r w:rsidRPr="009070CC">
        <w:rPr>
          <w:color w:val="000000"/>
          <w:lang w:val="en-US"/>
        </w:rPr>
        <w:t xml:space="preserve"> </w:t>
      </w:r>
      <w:proofErr w:type="spellStart"/>
      <w:r w:rsidRPr="009070CC">
        <w:rPr>
          <w:color w:val="000000"/>
          <w:lang w:val="en-US"/>
        </w:rPr>
        <w:t>binarium</w:t>
      </w:r>
      <w:proofErr w:type="spellEnd"/>
      <w:r w:rsidRPr="009070CC">
        <w:rPr>
          <w:color w:val="000000"/>
          <w:lang w:val="en-US"/>
        </w:rPr>
        <w:t xml:space="preserve"> in </w:t>
      </w:r>
      <w:proofErr w:type="spellStart"/>
      <w:r w:rsidRPr="009070CC">
        <w:rPr>
          <w:color w:val="000000"/>
          <w:lang w:val="en-US"/>
        </w:rPr>
        <w:t>semibrevibus</w:t>
      </w:r>
      <w:proofErr w:type="spellEnd"/>
      <w:r w:rsidRPr="009070CC">
        <w:rPr>
          <w:color w:val="000000"/>
          <w:lang w:val="en-US"/>
        </w:rPr>
        <w:t xml:space="preserve"> et </w:t>
      </w:r>
      <w:proofErr w:type="spellStart"/>
      <w:r w:rsidRPr="009070CC">
        <w:rPr>
          <w:color w:val="000000"/>
          <w:lang w:val="en-US"/>
        </w:rPr>
        <w:t>illud</w:t>
      </w:r>
      <w:proofErr w:type="spellEnd"/>
      <w:r w:rsidRPr="009070CC">
        <w:rPr>
          <w:color w:val="000000"/>
          <w:lang w:val="en-US"/>
        </w:rPr>
        <w:t xml:space="preserve"> </w:t>
      </w:r>
      <w:proofErr w:type="spellStart"/>
      <w:r w:rsidRPr="009070CC">
        <w:rPr>
          <w:color w:val="000000"/>
          <w:lang w:val="en-US"/>
        </w:rPr>
        <w:t>debet</w:t>
      </w:r>
      <w:proofErr w:type="spellEnd"/>
      <w:r w:rsidRPr="009070CC">
        <w:rPr>
          <w:color w:val="000000"/>
          <w:lang w:val="en-US"/>
        </w:rPr>
        <w:t xml:space="preserve"> </w:t>
      </w:r>
      <w:proofErr w:type="spellStart"/>
      <w:r w:rsidRPr="009070CC">
        <w:rPr>
          <w:color w:val="000000"/>
          <w:lang w:val="en-US"/>
        </w:rPr>
        <w:t>tangit</w:t>
      </w:r>
      <w:proofErr w:type="spellEnd"/>
      <w:r w:rsidRPr="009070CC">
        <w:rPr>
          <w:color w:val="000000"/>
          <w:lang w:val="en-US"/>
        </w:rPr>
        <w:t xml:space="preserve"> </w:t>
      </w:r>
      <w:proofErr w:type="spellStart"/>
      <w:r w:rsidRPr="009070CC">
        <w:rPr>
          <w:color w:val="000000"/>
          <w:lang w:val="en-US"/>
        </w:rPr>
        <w:t>duobus</w:t>
      </w:r>
      <w:proofErr w:type="spellEnd"/>
      <w:r w:rsidRPr="009070CC">
        <w:rPr>
          <w:color w:val="000000"/>
          <w:lang w:val="en-US"/>
        </w:rPr>
        <w:t xml:space="preserve"> </w:t>
      </w:r>
      <w:proofErr w:type="spellStart"/>
      <w:r w:rsidRPr="009070CC">
        <w:rPr>
          <w:color w:val="000000"/>
          <w:lang w:val="en-US"/>
        </w:rPr>
        <w:t>digitis</w:t>
      </w:r>
      <w:proofErr w:type="spellEnd"/>
      <w:r w:rsidRPr="009070CC">
        <w:rPr>
          <w:color w:val="000000"/>
          <w:lang w:val="en-US"/>
        </w:rPr>
        <w:t xml:space="preserve">.” Quoted in </w:t>
      </w:r>
      <w:proofErr w:type="spellStart"/>
      <w:r w:rsidRPr="009070CC">
        <w:rPr>
          <w:color w:val="000000"/>
          <w:lang w:val="en-US"/>
        </w:rPr>
        <w:t>DeFord</w:t>
      </w:r>
      <w:proofErr w:type="spellEnd"/>
      <w:r w:rsidRPr="009070CC">
        <w:rPr>
          <w:color w:val="000000"/>
          <w:lang w:val="en-US"/>
        </w:rPr>
        <w:t xml:space="preserve">, </w:t>
      </w:r>
      <w:r w:rsidRPr="009070CC">
        <w:rPr>
          <w:i/>
          <w:iCs/>
          <w:color w:val="000000"/>
          <w:lang w:val="en-US"/>
        </w:rPr>
        <w:t>Tactus, Mensuration and Rhythm in Renaissance Music</w:t>
      </w:r>
      <w:r w:rsidRPr="009070CC">
        <w:rPr>
          <w:color w:val="000000"/>
          <w:lang w:val="en-US"/>
        </w:rPr>
        <w:t>, 55.</w:t>
      </w:r>
    </w:p>
  </w:footnote>
  <w:footnote w:id="600">
    <w:p w14:paraId="4BAFA346" w14:textId="77777777" w:rsidR="00182EED" w:rsidRDefault="00182EED" w:rsidP="00094F64">
      <w:pPr>
        <w:pStyle w:val="FootnoteText"/>
      </w:pPr>
      <w:r w:rsidRPr="00591949">
        <w:rPr>
          <w:rStyle w:val="FootnoteReference"/>
        </w:rPr>
        <w:footnoteRef/>
      </w:r>
      <w:r>
        <w:t xml:space="preserve"> </w:t>
      </w:r>
      <w:r w:rsidRPr="00FC35BE">
        <w:rPr>
          <w:color w:val="000000"/>
          <w:lang w:val="en-US"/>
        </w:rPr>
        <w:t xml:space="preserve">“Cum </w:t>
      </w:r>
      <w:proofErr w:type="spellStart"/>
      <w:r w:rsidRPr="00FC35BE">
        <w:rPr>
          <w:color w:val="000000"/>
          <w:lang w:val="en-US"/>
        </w:rPr>
        <w:t>igitur</w:t>
      </w:r>
      <w:proofErr w:type="spellEnd"/>
      <w:r w:rsidRPr="00FC35BE">
        <w:rPr>
          <w:color w:val="000000"/>
          <w:lang w:val="en-US"/>
        </w:rPr>
        <w:t xml:space="preserve"> cantor </w:t>
      </w:r>
      <w:proofErr w:type="spellStart"/>
      <w:r w:rsidRPr="00FC35BE">
        <w:rPr>
          <w:color w:val="000000"/>
          <w:lang w:val="en-US"/>
        </w:rPr>
        <w:t>recte</w:t>
      </w:r>
      <w:proofErr w:type="spellEnd"/>
      <w:r w:rsidRPr="00FC35BE">
        <w:rPr>
          <w:color w:val="000000"/>
          <w:lang w:val="en-US"/>
        </w:rPr>
        <w:t xml:space="preserve"> et commensurate </w:t>
      </w:r>
      <w:proofErr w:type="spellStart"/>
      <w:r w:rsidRPr="00FC35BE">
        <w:rPr>
          <w:color w:val="000000"/>
          <w:lang w:val="en-US"/>
        </w:rPr>
        <w:t>cantare</w:t>
      </w:r>
      <w:proofErr w:type="spellEnd"/>
      <w:r w:rsidRPr="00FC35BE">
        <w:rPr>
          <w:color w:val="000000"/>
          <w:lang w:val="en-US"/>
        </w:rPr>
        <w:t xml:space="preserve"> </w:t>
      </w:r>
      <w:proofErr w:type="spellStart"/>
      <w:r w:rsidRPr="00FC35BE">
        <w:rPr>
          <w:color w:val="000000"/>
          <w:lang w:val="en-US"/>
        </w:rPr>
        <w:t>desiderat</w:t>
      </w:r>
      <w:proofErr w:type="spellEnd"/>
      <w:r w:rsidRPr="00FC35BE">
        <w:rPr>
          <w:color w:val="000000"/>
          <w:lang w:val="en-US"/>
        </w:rPr>
        <w:t xml:space="preserve">, instar </w:t>
      </w:r>
      <w:proofErr w:type="spellStart"/>
      <w:r w:rsidRPr="00FC35BE">
        <w:rPr>
          <w:color w:val="000000"/>
          <w:lang w:val="en-US"/>
        </w:rPr>
        <w:t>pulsius</w:t>
      </w:r>
      <w:proofErr w:type="spellEnd"/>
      <w:r w:rsidRPr="00FC35BE">
        <w:rPr>
          <w:color w:val="000000"/>
          <w:lang w:val="en-US"/>
        </w:rPr>
        <w:t xml:space="preserve"> </w:t>
      </w:r>
      <w:proofErr w:type="spellStart"/>
      <w:r w:rsidRPr="00FC35BE">
        <w:rPr>
          <w:color w:val="000000"/>
          <w:lang w:val="en-US"/>
        </w:rPr>
        <w:t>istius</w:t>
      </w:r>
      <w:proofErr w:type="spellEnd"/>
      <w:r w:rsidRPr="00FC35BE">
        <w:rPr>
          <w:color w:val="000000"/>
          <w:lang w:val="en-US"/>
        </w:rPr>
        <w:t xml:space="preserve"> </w:t>
      </w:r>
      <w:proofErr w:type="spellStart"/>
      <w:r w:rsidRPr="00FC35BE">
        <w:rPr>
          <w:color w:val="000000"/>
          <w:lang w:val="en-US"/>
        </w:rPr>
        <w:t>pedem</w:t>
      </w:r>
      <w:proofErr w:type="spellEnd"/>
      <w:r w:rsidRPr="00FC35BE">
        <w:rPr>
          <w:color w:val="000000"/>
          <w:lang w:val="en-US"/>
        </w:rPr>
        <w:t xml:space="preserve"> </w:t>
      </w:r>
      <w:proofErr w:type="spellStart"/>
      <w:r w:rsidRPr="00FC35BE">
        <w:rPr>
          <w:color w:val="000000"/>
          <w:lang w:val="en-US"/>
        </w:rPr>
        <w:t>aut</w:t>
      </w:r>
      <w:proofErr w:type="spellEnd"/>
      <w:r w:rsidRPr="00FC35BE">
        <w:rPr>
          <w:color w:val="000000"/>
          <w:lang w:val="en-US"/>
        </w:rPr>
        <w:t xml:space="preserve"> </w:t>
      </w:r>
      <w:proofErr w:type="spellStart"/>
      <w:r w:rsidRPr="00FC35BE">
        <w:rPr>
          <w:color w:val="000000"/>
          <w:lang w:val="en-US"/>
        </w:rPr>
        <w:t>manum</w:t>
      </w:r>
      <w:proofErr w:type="spellEnd"/>
      <w:r w:rsidRPr="00FC35BE">
        <w:rPr>
          <w:color w:val="000000"/>
          <w:lang w:val="en-US"/>
        </w:rPr>
        <w:t xml:space="preserve"> </w:t>
      </w:r>
      <w:proofErr w:type="spellStart"/>
      <w:r w:rsidRPr="00FC35BE">
        <w:rPr>
          <w:color w:val="000000"/>
          <w:lang w:val="en-US"/>
        </w:rPr>
        <w:t>sive</w:t>
      </w:r>
      <w:proofErr w:type="spellEnd"/>
      <w:r w:rsidRPr="00FC35BE">
        <w:rPr>
          <w:color w:val="000000"/>
          <w:lang w:val="en-US"/>
        </w:rPr>
        <w:t xml:space="preserve"> </w:t>
      </w:r>
      <w:proofErr w:type="spellStart"/>
      <w:r w:rsidRPr="00FC35BE">
        <w:rPr>
          <w:color w:val="000000"/>
          <w:lang w:val="en-US"/>
        </w:rPr>
        <w:t>digitum</w:t>
      </w:r>
      <w:proofErr w:type="spellEnd"/>
      <w:r w:rsidRPr="00FC35BE">
        <w:rPr>
          <w:color w:val="000000"/>
          <w:lang w:val="en-US"/>
        </w:rPr>
        <w:t xml:space="preserve"> </w:t>
      </w:r>
      <w:proofErr w:type="spellStart"/>
      <w:r w:rsidRPr="00FC35BE">
        <w:rPr>
          <w:color w:val="000000"/>
          <w:lang w:val="en-US"/>
        </w:rPr>
        <w:t>tangens</w:t>
      </w:r>
      <w:proofErr w:type="spellEnd"/>
      <w:r w:rsidRPr="00FC35BE">
        <w:rPr>
          <w:color w:val="000000"/>
          <w:lang w:val="en-US"/>
        </w:rPr>
        <w:t xml:space="preserve"> in </w:t>
      </w:r>
      <w:proofErr w:type="spellStart"/>
      <w:r w:rsidRPr="00FC35BE">
        <w:rPr>
          <w:color w:val="000000"/>
          <w:lang w:val="en-US"/>
        </w:rPr>
        <w:t>aliquem</w:t>
      </w:r>
      <w:proofErr w:type="spellEnd"/>
      <w:r w:rsidRPr="00FC35BE">
        <w:rPr>
          <w:color w:val="000000"/>
          <w:lang w:val="en-US"/>
        </w:rPr>
        <w:t xml:space="preserve"> locum </w:t>
      </w:r>
      <w:proofErr w:type="spellStart"/>
      <w:r w:rsidRPr="00FC35BE">
        <w:rPr>
          <w:color w:val="000000"/>
          <w:lang w:val="en-US"/>
        </w:rPr>
        <w:t>canendo</w:t>
      </w:r>
      <w:proofErr w:type="spellEnd"/>
      <w:r w:rsidRPr="00FC35BE">
        <w:rPr>
          <w:color w:val="000000"/>
          <w:lang w:val="en-US"/>
        </w:rPr>
        <w:t xml:space="preserve"> </w:t>
      </w:r>
      <w:proofErr w:type="spellStart"/>
      <w:r w:rsidRPr="00FC35BE">
        <w:rPr>
          <w:color w:val="000000"/>
          <w:lang w:val="en-US"/>
        </w:rPr>
        <w:t>moveat</w:t>
      </w:r>
      <w:proofErr w:type="spellEnd"/>
      <w:r w:rsidRPr="00FC35BE">
        <w:rPr>
          <w:color w:val="000000"/>
          <w:lang w:val="en-US"/>
        </w:rPr>
        <w:t xml:space="preserve">.” Quoted in </w:t>
      </w:r>
      <w:proofErr w:type="spellStart"/>
      <w:r w:rsidRPr="00FC35BE">
        <w:rPr>
          <w:color w:val="000000"/>
          <w:lang w:val="en-US"/>
        </w:rPr>
        <w:t>DeFord</w:t>
      </w:r>
      <w:proofErr w:type="spellEnd"/>
      <w:r w:rsidRPr="00FC35BE">
        <w:rPr>
          <w:color w:val="000000"/>
          <w:lang w:val="en-US"/>
        </w:rPr>
        <w:t xml:space="preserve">, </w:t>
      </w:r>
      <w:r w:rsidRPr="00FC35BE">
        <w:rPr>
          <w:i/>
          <w:iCs/>
          <w:color w:val="000000"/>
          <w:lang w:val="en-US"/>
        </w:rPr>
        <w:t>Tactus, Mensuration and Rhythm in Renaissance Music</w:t>
      </w:r>
      <w:r w:rsidRPr="00FC35BE">
        <w:rPr>
          <w:color w:val="000000"/>
          <w:lang w:val="en-US"/>
        </w:rPr>
        <w:t xml:space="preserve">, 56; for a slightly different translation see </w:t>
      </w:r>
      <w:proofErr w:type="spellStart"/>
      <w:r w:rsidRPr="00FC35BE">
        <w:rPr>
          <w:color w:val="000000"/>
          <w:lang w:val="en-US"/>
        </w:rPr>
        <w:t>Blachly</w:t>
      </w:r>
      <w:proofErr w:type="spellEnd"/>
      <w:r w:rsidRPr="00FC35BE">
        <w:rPr>
          <w:color w:val="000000"/>
          <w:lang w:val="en-US"/>
        </w:rPr>
        <w:t>, “</w:t>
      </w:r>
      <w:r w:rsidRPr="00FC35BE">
        <w:rPr>
          <w:i/>
          <w:iCs/>
          <w:color w:val="000000"/>
          <w:lang w:val="en-US"/>
        </w:rPr>
        <w:t>Mensura</w:t>
      </w:r>
      <w:r w:rsidRPr="00FC35BE">
        <w:rPr>
          <w:color w:val="000000"/>
          <w:lang w:val="en-US"/>
        </w:rPr>
        <w:t xml:space="preserve"> versus </w:t>
      </w:r>
      <w:r w:rsidRPr="00FC35BE">
        <w:rPr>
          <w:i/>
          <w:iCs/>
          <w:color w:val="000000"/>
          <w:lang w:val="en-US"/>
        </w:rPr>
        <w:t>Tactus</w:t>
      </w:r>
      <w:r w:rsidRPr="00FC35BE">
        <w:rPr>
          <w:color w:val="000000"/>
          <w:lang w:val="en-US"/>
        </w:rPr>
        <w:t xml:space="preserve">,” 443–44 and Bank, </w:t>
      </w:r>
      <w:r w:rsidRPr="00FC35BE">
        <w:rPr>
          <w:i/>
          <w:iCs/>
          <w:color w:val="000000"/>
          <w:lang w:val="en-US"/>
        </w:rPr>
        <w:t>Tactus, Tempo and Notation in Mensural Music from the 13th to the 17th Century</w:t>
      </w:r>
      <w:r w:rsidRPr="00FC35BE">
        <w:rPr>
          <w:color w:val="000000"/>
          <w:lang w:val="en-US"/>
        </w:rPr>
        <w:t>, 123.</w:t>
      </w:r>
    </w:p>
  </w:footnote>
  <w:footnote w:id="601">
    <w:p w14:paraId="2C179012" w14:textId="77777777" w:rsidR="00182EED" w:rsidRDefault="00182EED" w:rsidP="00094F64">
      <w:pPr>
        <w:pStyle w:val="FootnoteText"/>
      </w:pPr>
      <w:r w:rsidRPr="00591949">
        <w:rPr>
          <w:rStyle w:val="FootnoteReference"/>
        </w:rPr>
        <w:footnoteRef/>
      </w:r>
      <w:r>
        <w:t xml:space="preserve"> </w:t>
      </w:r>
      <w:proofErr w:type="spellStart"/>
      <w:r w:rsidRPr="009070CC">
        <w:rPr>
          <w:color w:val="000000"/>
          <w:lang w:val="en-US"/>
        </w:rPr>
        <w:t>DeFord</w:t>
      </w:r>
      <w:proofErr w:type="spellEnd"/>
      <w:r w:rsidRPr="009070CC">
        <w:rPr>
          <w:color w:val="000000"/>
          <w:lang w:val="en-US"/>
        </w:rPr>
        <w:t xml:space="preserve">, </w:t>
      </w:r>
      <w:r w:rsidRPr="009070CC">
        <w:rPr>
          <w:i/>
          <w:iCs/>
          <w:color w:val="000000"/>
          <w:lang w:val="en-US"/>
        </w:rPr>
        <w:t>Tactus, Mensuration and Rhythm in Renaissance Music</w:t>
      </w:r>
      <w:r w:rsidRPr="009070CC">
        <w:rPr>
          <w:color w:val="000000"/>
          <w:lang w:val="en-US"/>
        </w:rPr>
        <w:t xml:space="preserve">, 55; </w:t>
      </w:r>
      <w:proofErr w:type="spellStart"/>
      <w:r w:rsidRPr="009070CC">
        <w:rPr>
          <w:color w:val="000000"/>
          <w:lang w:val="en-US"/>
        </w:rPr>
        <w:t>Blachly</w:t>
      </w:r>
      <w:proofErr w:type="spellEnd"/>
      <w:r w:rsidRPr="009070CC">
        <w:rPr>
          <w:color w:val="000000"/>
          <w:lang w:val="en-US"/>
        </w:rPr>
        <w:t>, “</w:t>
      </w:r>
      <w:r w:rsidRPr="009070CC">
        <w:rPr>
          <w:i/>
          <w:iCs/>
          <w:color w:val="000000"/>
          <w:lang w:val="en-US"/>
        </w:rPr>
        <w:t>Mensura</w:t>
      </w:r>
      <w:r w:rsidRPr="009070CC">
        <w:rPr>
          <w:color w:val="000000"/>
          <w:lang w:val="en-US"/>
        </w:rPr>
        <w:t xml:space="preserve"> versus </w:t>
      </w:r>
      <w:r w:rsidRPr="009070CC">
        <w:rPr>
          <w:i/>
          <w:iCs/>
          <w:color w:val="000000"/>
          <w:lang w:val="en-US"/>
        </w:rPr>
        <w:t>Tactus</w:t>
      </w:r>
      <w:r w:rsidRPr="009070CC">
        <w:rPr>
          <w:color w:val="000000"/>
          <w:lang w:val="en-US"/>
        </w:rPr>
        <w:t xml:space="preserve">,” 443–44; on music and pulse see Nancy G. </w:t>
      </w:r>
      <w:proofErr w:type="spellStart"/>
      <w:r w:rsidRPr="009070CC">
        <w:rPr>
          <w:color w:val="000000"/>
          <w:lang w:val="en-US"/>
        </w:rPr>
        <w:t>Siraisi</w:t>
      </w:r>
      <w:proofErr w:type="spellEnd"/>
      <w:r w:rsidRPr="009070CC">
        <w:rPr>
          <w:color w:val="000000"/>
          <w:lang w:val="en-US"/>
        </w:rPr>
        <w:t xml:space="preserve">, “The Music of Pulse in the Writings of Italian Academic Physicians (Fourteenth and Fifteenth Centuries),” </w:t>
      </w:r>
      <w:r w:rsidRPr="009070CC">
        <w:rPr>
          <w:i/>
          <w:iCs/>
          <w:color w:val="000000"/>
          <w:lang w:val="en-US"/>
        </w:rPr>
        <w:t>Speculum</w:t>
      </w:r>
      <w:r w:rsidRPr="009070CC">
        <w:rPr>
          <w:color w:val="000000"/>
          <w:lang w:val="en-US"/>
        </w:rPr>
        <w:t xml:space="preserve"> 50, no. 4 (1975): 689–710.</w:t>
      </w:r>
    </w:p>
  </w:footnote>
  <w:footnote w:id="602">
    <w:p w14:paraId="1EFEBBA3" w14:textId="77777777" w:rsidR="00182EED" w:rsidRDefault="00182EED" w:rsidP="00094F64">
      <w:pPr>
        <w:pStyle w:val="FootnoteText"/>
      </w:pPr>
      <w:r w:rsidRPr="00591949">
        <w:rPr>
          <w:rStyle w:val="FootnoteReference"/>
        </w:rPr>
        <w:footnoteRef/>
      </w:r>
      <w:r>
        <w:t xml:space="preserve"> </w:t>
      </w:r>
      <w:r w:rsidRPr="00131D48">
        <w:rPr>
          <w:color w:val="000000"/>
          <w:lang w:val="en-US"/>
        </w:rPr>
        <w:t xml:space="preserve">For an explanation of the meanings that </w:t>
      </w:r>
      <w:r w:rsidRPr="00131D48">
        <w:rPr>
          <w:i/>
          <w:iCs/>
          <w:color w:val="000000"/>
          <w:lang w:val="en-US"/>
        </w:rPr>
        <w:t>tactus</w:t>
      </w:r>
      <w:r w:rsidRPr="00131D48">
        <w:rPr>
          <w:color w:val="000000"/>
          <w:lang w:val="en-US"/>
        </w:rPr>
        <w:t xml:space="preserve"> could have during the Renaissance and some representations in visual art see Jane Hatter, “Col Tempo: Musical Time, Aging and Sexuality in 16th-Century Venetian Paintings,” </w:t>
      </w:r>
      <w:r w:rsidRPr="00131D48">
        <w:rPr>
          <w:i/>
          <w:iCs/>
          <w:color w:val="000000"/>
          <w:lang w:val="en-US"/>
        </w:rPr>
        <w:t>Early Music</w:t>
      </w:r>
      <w:r w:rsidRPr="00131D48">
        <w:rPr>
          <w:color w:val="000000"/>
          <w:lang w:val="en-US"/>
        </w:rPr>
        <w:t xml:space="preserve"> 39, no. 1 (2011): 3–14.</w:t>
      </w:r>
    </w:p>
  </w:footnote>
  <w:footnote w:id="603">
    <w:p w14:paraId="2D711F6D" w14:textId="77777777" w:rsidR="00182EED" w:rsidRDefault="00182EED" w:rsidP="00094F64">
      <w:pPr>
        <w:pStyle w:val="FootnoteText"/>
      </w:pPr>
      <w:r w:rsidRPr="00591949">
        <w:rPr>
          <w:rStyle w:val="FootnoteReference"/>
        </w:rPr>
        <w:footnoteRef/>
      </w:r>
      <w:r>
        <w:t xml:space="preserve"> </w:t>
      </w:r>
      <w:proofErr w:type="spellStart"/>
      <w:r w:rsidRPr="00FC35BE">
        <w:rPr>
          <w:color w:val="000000"/>
          <w:lang w:val="en-US"/>
        </w:rPr>
        <w:t>Gaffurius</w:t>
      </w:r>
      <w:proofErr w:type="spellEnd"/>
      <w:r w:rsidRPr="00FC35BE">
        <w:rPr>
          <w:color w:val="000000"/>
          <w:lang w:val="en-US"/>
        </w:rPr>
        <w:t xml:space="preserve">, </w:t>
      </w:r>
      <w:proofErr w:type="spellStart"/>
      <w:r w:rsidRPr="00FC35BE">
        <w:rPr>
          <w:i/>
          <w:iCs/>
          <w:color w:val="000000"/>
          <w:lang w:val="en-US"/>
        </w:rPr>
        <w:t>Practica</w:t>
      </w:r>
      <w:proofErr w:type="spellEnd"/>
      <w:r w:rsidRPr="00FC35BE">
        <w:rPr>
          <w:i/>
          <w:iCs/>
          <w:color w:val="000000"/>
          <w:lang w:val="en-US"/>
        </w:rPr>
        <w:t xml:space="preserve"> </w:t>
      </w:r>
      <w:proofErr w:type="spellStart"/>
      <w:r w:rsidRPr="00FC35BE">
        <w:rPr>
          <w:i/>
          <w:iCs/>
          <w:color w:val="000000"/>
          <w:lang w:val="en-US"/>
        </w:rPr>
        <w:t>musicae</w:t>
      </w:r>
      <w:proofErr w:type="spellEnd"/>
      <w:r w:rsidRPr="00FC35BE">
        <w:rPr>
          <w:color w:val="000000"/>
          <w:lang w:val="en-US"/>
        </w:rPr>
        <w:t xml:space="preserve">, fol. A1r. This illustration is mentioned in </w:t>
      </w:r>
      <w:proofErr w:type="spellStart"/>
      <w:r w:rsidRPr="00FC35BE">
        <w:rPr>
          <w:color w:val="000000"/>
          <w:lang w:val="en-US"/>
        </w:rPr>
        <w:t>DeFord</w:t>
      </w:r>
      <w:proofErr w:type="spellEnd"/>
      <w:r w:rsidRPr="00FC35BE">
        <w:rPr>
          <w:color w:val="000000"/>
          <w:lang w:val="en-US"/>
        </w:rPr>
        <w:t xml:space="preserve">, </w:t>
      </w:r>
      <w:r w:rsidRPr="00FC35BE">
        <w:rPr>
          <w:i/>
          <w:iCs/>
          <w:color w:val="000000"/>
          <w:lang w:val="en-US"/>
        </w:rPr>
        <w:t>Tactus, Mensuration and Rhythm in Renaissance Music</w:t>
      </w:r>
      <w:r w:rsidRPr="00FC35BE">
        <w:rPr>
          <w:color w:val="000000"/>
          <w:lang w:val="en-US"/>
        </w:rPr>
        <w:t>, 53 and Hatter, “Col Tempo,” 5–6.</w:t>
      </w:r>
    </w:p>
  </w:footnote>
  <w:footnote w:id="604">
    <w:p w14:paraId="67CF6FD0" w14:textId="77777777" w:rsidR="00182EED" w:rsidRDefault="00182EED" w:rsidP="00094F64">
      <w:pPr>
        <w:pStyle w:val="FootnoteText"/>
      </w:pPr>
      <w:r w:rsidRPr="00591949">
        <w:rPr>
          <w:rStyle w:val="FootnoteReference"/>
        </w:rPr>
        <w:footnoteRef/>
      </w:r>
      <w:r>
        <w:t xml:space="preserve"> </w:t>
      </w:r>
      <w:r w:rsidRPr="00FC35BE">
        <w:rPr>
          <w:color w:val="000000"/>
          <w:lang w:val="en-US"/>
        </w:rPr>
        <w:t xml:space="preserve">The role of </w:t>
      </w:r>
      <w:r w:rsidRPr="00FC35BE">
        <w:rPr>
          <w:i/>
          <w:iCs/>
          <w:color w:val="000000"/>
          <w:lang w:val="en-US"/>
        </w:rPr>
        <w:t>tactus</w:t>
      </w:r>
      <w:r w:rsidRPr="00FC35BE">
        <w:rPr>
          <w:color w:val="000000"/>
          <w:lang w:val="en-US"/>
        </w:rPr>
        <w:t xml:space="preserve"> Luca </w:t>
      </w:r>
      <w:proofErr w:type="spellStart"/>
      <w:r w:rsidRPr="00FC35BE">
        <w:rPr>
          <w:color w:val="000000"/>
          <w:lang w:val="en-US"/>
        </w:rPr>
        <w:t>della</w:t>
      </w:r>
      <w:proofErr w:type="spellEnd"/>
      <w:r w:rsidRPr="00FC35BE">
        <w:rPr>
          <w:color w:val="000000"/>
          <w:lang w:val="en-US"/>
        </w:rPr>
        <w:t xml:space="preserve"> </w:t>
      </w:r>
      <w:proofErr w:type="spellStart"/>
      <w:r w:rsidRPr="00FC35BE">
        <w:rPr>
          <w:color w:val="000000"/>
          <w:lang w:val="en-US"/>
        </w:rPr>
        <w:t>Robbia’s</w:t>
      </w:r>
      <w:proofErr w:type="spellEnd"/>
      <w:r w:rsidRPr="00FC35BE">
        <w:rPr>
          <w:color w:val="000000"/>
          <w:lang w:val="en-US"/>
        </w:rPr>
        <w:t xml:space="preserve"> </w:t>
      </w:r>
      <w:proofErr w:type="spellStart"/>
      <w:r w:rsidRPr="00FC35BE">
        <w:rPr>
          <w:i/>
          <w:iCs/>
          <w:color w:val="000000"/>
          <w:lang w:val="en-US"/>
        </w:rPr>
        <w:t>Cantoria</w:t>
      </w:r>
      <w:proofErr w:type="spellEnd"/>
      <w:r w:rsidRPr="00FC35BE">
        <w:rPr>
          <w:color w:val="000000"/>
          <w:lang w:val="en-US"/>
        </w:rPr>
        <w:t xml:space="preserve"> is discussed in </w:t>
      </w:r>
      <w:proofErr w:type="spellStart"/>
      <w:r w:rsidRPr="00FC35BE">
        <w:rPr>
          <w:color w:val="000000"/>
          <w:lang w:val="en-US"/>
        </w:rPr>
        <w:t>Blachly</w:t>
      </w:r>
      <w:proofErr w:type="spellEnd"/>
      <w:r w:rsidRPr="00FC35BE">
        <w:rPr>
          <w:color w:val="000000"/>
          <w:lang w:val="en-US"/>
        </w:rPr>
        <w:t>, “</w:t>
      </w:r>
      <w:r w:rsidRPr="00FC35BE">
        <w:rPr>
          <w:i/>
          <w:iCs/>
          <w:color w:val="000000"/>
          <w:lang w:val="en-US"/>
        </w:rPr>
        <w:t>Mensura</w:t>
      </w:r>
      <w:r w:rsidRPr="00FC35BE">
        <w:rPr>
          <w:color w:val="000000"/>
          <w:lang w:val="en-US"/>
        </w:rPr>
        <w:t xml:space="preserve"> versus </w:t>
      </w:r>
      <w:r w:rsidRPr="00FC35BE">
        <w:rPr>
          <w:i/>
          <w:iCs/>
          <w:color w:val="000000"/>
          <w:lang w:val="en-US"/>
        </w:rPr>
        <w:t>Tactus</w:t>
      </w:r>
      <w:r w:rsidRPr="00FC35BE">
        <w:rPr>
          <w:color w:val="000000"/>
          <w:lang w:val="en-US"/>
        </w:rPr>
        <w:t xml:space="preserve">” and is mentioned in Mode, “Adolescent </w:t>
      </w:r>
      <w:proofErr w:type="spellStart"/>
      <w:r w:rsidRPr="00FC35BE">
        <w:rPr>
          <w:color w:val="000000"/>
          <w:lang w:val="en-US"/>
        </w:rPr>
        <w:t>Confratelli</w:t>
      </w:r>
      <w:proofErr w:type="spellEnd"/>
      <w:r w:rsidRPr="00FC35BE">
        <w:rPr>
          <w:color w:val="000000"/>
          <w:lang w:val="en-US"/>
        </w:rPr>
        <w:t xml:space="preserve"> and the </w:t>
      </w:r>
      <w:proofErr w:type="spellStart"/>
      <w:r w:rsidRPr="00FC35BE">
        <w:rPr>
          <w:color w:val="000000"/>
          <w:lang w:val="en-US"/>
        </w:rPr>
        <w:t>Cantoria</w:t>
      </w:r>
      <w:proofErr w:type="spellEnd"/>
      <w:r w:rsidRPr="00FC35BE">
        <w:rPr>
          <w:color w:val="000000"/>
          <w:lang w:val="en-US"/>
        </w:rPr>
        <w:t xml:space="preserve"> of Luca Della Robbia,” 67–71; Radke, </w:t>
      </w:r>
      <w:r w:rsidRPr="00FC35BE">
        <w:rPr>
          <w:i/>
          <w:iCs/>
          <w:color w:val="000000"/>
          <w:lang w:val="en-US"/>
        </w:rPr>
        <w:t>Make a Joyful Noise</w:t>
      </w:r>
      <w:r w:rsidRPr="00FC35BE">
        <w:rPr>
          <w:color w:val="000000"/>
          <w:lang w:val="en-US"/>
        </w:rPr>
        <w:t xml:space="preserve">, 26; </w:t>
      </w:r>
      <w:proofErr w:type="spellStart"/>
      <w:r w:rsidRPr="00FC35BE">
        <w:rPr>
          <w:color w:val="000000"/>
          <w:lang w:val="en-US"/>
        </w:rPr>
        <w:t>DeFord</w:t>
      </w:r>
      <w:proofErr w:type="spellEnd"/>
      <w:r w:rsidRPr="00FC35BE">
        <w:rPr>
          <w:color w:val="000000"/>
          <w:lang w:val="en-US"/>
        </w:rPr>
        <w:t xml:space="preserve">, </w:t>
      </w:r>
      <w:r w:rsidRPr="00FC35BE">
        <w:rPr>
          <w:i/>
          <w:iCs/>
          <w:color w:val="000000"/>
          <w:lang w:val="en-US"/>
        </w:rPr>
        <w:t>Tactus, Mensuration and Rhythm in Renaissance Music</w:t>
      </w:r>
      <w:r w:rsidRPr="00FC35BE">
        <w:rPr>
          <w:color w:val="000000"/>
          <w:lang w:val="en-US"/>
        </w:rPr>
        <w:t>, 53; Hatter, “Col Tempo,” 5.</w:t>
      </w:r>
    </w:p>
  </w:footnote>
  <w:footnote w:id="605">
    <w:p w14:paraId="1C0168E3" w14:textId="77777777" w:rsidR="00182EED" w:rsidRDefault="00182EED" w:rsidP="00094F64">
      <w:pPr>
        <w:pStyle w:val="FootnoteText"/>
      </w:pPr>
      <w:r w:rsidRPr="00591949">
        <w:rPr>
          <w:rStyle w:val="FootnoteReference"/>
        </w:rPr>
        <w:footnoteRef/>
      </w:r>
      <w:r>
        <w:t xml:space="preserve"> </w:t>
      </w:r>
      <w:r w:rsidRPr="00131D48">
        <w:rPr>
          <w:color w:val="000000"/>
          <w:lang w:val="en-US"/>
        </w:rPr>
        <w:t xml:space="preserve">Mode, “Adolescent </w:t>
      </w:r>
      <w:proofErr w:type="spellStart"/>
      <w:r w:rsidRPr="00131D48">
        <w:rPr>
          <w:color w:val="000000"/>
          <w:lang w:val="en-US"/>
        </w:rPr>
        <w:t>Confratelli</w:t>
      </w:r>
      <w:proofErr w:type="spellEnd"/>
      <w:r w:rsidRPr="00131D48">
        <w:rPr>
          <w:color w:val="000000"/>
          <w:lang w:val="en-US"/>
        </w:rPr>
        <w:t xml:space="preserve"> and the </w:t>
      </w:r>
      <w:proofErr w:type="spellStart"/>
      <w:r w:rsidRPr="00131D48">
        <w:rPr>
          <w:color w:val="000000"/>
          <w:lang w:val="en-US"/>
        </w:rPr>
        <w:t>Cantoria</w:t>
      </w:r>
      <w:proofErr w:type="spellEnd"/>
      <w:r w:rsidRPr="00131D48">
        <w:rPr>
          <w:color w:val="000000"/>
          <w:lang w:val="en-US"/>
        </w:rPr>
        <w:t xml:space="preserve"> of Luca Della Robbia,” 67–71; Radke, </w:t>
      </w:r>
      <w:r w:rsidRPr="00131D48">
        <w:rPr>
          <w:i/>
          <w:iCs/>
          <w:color w:val="000000"/>
          <w:lang w:val="en-US"/>
        </w:rPr>
        <w:t>Make a Joyful Noise</w:t>
      </w:r>
      <w:r w:rsidRPr="00131D48">
        <w:rPr>
          <w:color w:val="000000"/>
          <w:lang w:val="en-US"/>
        </w:rPr>
        <w:t>, 26.</w:t>
      </w:r>
    </w:p>
  </w:footnote>
  <w:footnote w:id="606">
    <w:p w14:paraId="7D219CA2" w14:textId="77777777" w:rsidR="00182EED" w:rsidRDefault="00182EED" w:rsidP="00094F64">
      <w:pPr>
        <w:pStyle w:val="FootnoteText"/>
      </w:pPr>
      <w:r w:rsidRPr="00591949">
        <w:rPr>
          <w:rStyle w:val="FootnoteReference"/>
        </w:rPr>
        <w:footnoteRef/>
      </w:r>
      <w:r>
        <w:t xml:space="preserve"> </w:t>
      </w:r>
      <w:r w:rsidRPr="00FC35BE">
        <w:rPr>
          <w:color w:val="000000"/>
          <w:lang w:val="en-US"/>
        </w:rPr>
        <w:t xml:space="preserve">“Il </w:t>
      </w:r>
      <w:proofErr w:type="spellStart"/>
      <w:r w:rsidRPr="00FC35BE">
        <w:rPr>
          <w:color w:val="000000"/>
          <w:lang w:val="en-US"/>
        </w:rPr>
        <w:t>gonfiare</w:t>
      </w:r>
      <w:proofErr w:type="spellEnd"/>
      <w:r w:rsidRPr="00FC35BE">
        <w:rPr>
          <w:color w:val="000000"/>
          <w:lang w:val="en-US"/>
        </w:rPr>
        <w:t xml:space="preserve"> </w:t>
      </w:r>
      <w:proofErr w:type="spellStart"/>
      <w:r w:rsidRPr="00FC35BE">
        <w:rPr>
          <w:color w:val="000000"/>
          <w:lang w:val="en-US"/>
        </w:rPr>
        <w:t>delle</w:t>
      </w:r>
      <w:proofErr w:type="spellEnd"/>
      <w:r w:rsidRPr="00FC35BE">
        <w:rPr>
          <w:color w:val="000000"/>
          <w:lang w:val="en-US"/>
        </w:rPr>
        <w:t xml:space="preserve"> </w:t>
      </w:r>
      <w:proofErr w:type="spellStart"/>
      <w:r w:rsidRPr="00FC35BE">
        <w:rPr>
          <w:color w:val="000000"/>
          <w:lang w:val="en-US"/>
        </w:rPr>
        <w:t>gole</w:t>
      </w:r>
      <w:proofErr w:type="spellEnd"/>
      <w:r w:rsidRPr="00FC35BE">
        <w:rPr>
          <w:color w:val="000000"/>
          <w:lang w:val="en-US"/>
        </w:rPr>
        <w:t xml:space="preserve"> di chi </w:t>
      </w:r>
      <w:proofErr w:type="spellStart"/>
      <w:r w:rsidRPr="00FC35BE">
        <w:rPr>
          <w:color w:val="000000"/>
          <w:lang w:val="en-US"/>
        </w:rPr>
        <w:t>canta</w:t>
      </w:r>
      <w:proofErr w:type="spellEnd"/>
      <w:r w:rsidRPr="00FC35BE">
        <w:rPr>
          <w:color w:val="000000"/>
          <w:lang w:val="en-US"/>
        </w:rPr>
        <w:t xml:space="preserve">, </w:t>
      </w:r>
      <w:proofErr w:type="spellStart"/>
      <w:r w:rsidRPr="00FC35BE">
        <w:rPr>
          <w:color w:val="000000"/>
          <w:lang w:val="en-US"/>
        </w:rPr>
        <w:t>il</w:t>
      </w:r>
      <w:proofErr w:type="spellEnd"/>
      <w:r w:rsidRPr="00FC35BE">
        <w:rPr>
          <w:color w:val="000000"/>
          <w:lang w:val="en-US"/>
        </w:rPr>
        <w:t xml:space="preserve"> </w:t>
      </w:r>
      <w:proofErr w:type="spellStart"/>
      <w:r w:rsidRPr="00FC35BE">
        <w:rPr>
          <w:color w:val="000000"/>
          <w:lang w:val="en-US"/>
        </w:rPr>
        <w:t>battere</w:t>
      </w:r>
      <w:proofErr w:type="spellEnd"/>
      <w:r w:rsidRPr="00FC35BE">
        <w:rPr>
          <w:color w:val="000000"/>
          <w:lang w:val="en-US"/>
        </w:rPr>
        <w:t xml:space="preserve"> </w:t>
      </w:r>
      <w:proofErr w:type="spellStart"/>
      <w:r w:rsidRPr="00FC35BE">
        <w:rPr>
          <w:color w:val="000000"/>
          <w:lang w:val="en-US"/>
        </w:rPr>
        <w:t>della</w:t>
      </w:r>
      <w:proofErr w:type="spellEnd"/>
      <w:r w:rsidRPr="00FC35BE">
        <w:rPr>
          <w:color w:val="000000"/>
          <w:lang w:val="en-US"/>
        </w:rPr>
        <w:t xml:space="preserve"> </w:t>
      </w:r>
      <w:proofErr w:type="spellStart"/>
      <w:r w:rsidRPr="00FC35BE">
        <w:rPr>
          <w:color w:val="000000"/>
          <w:lang w:val="en-US"/>
        </w:rPr>
        <w:t>mani</w:t>
      </w:r>
      <w:proofErr w:type="spellEnd"/>
      <w:r w:rsidRPr="00FC35BE">
        <w:rPr>
          <w:color w:val="000000"/>
          <w:lang w:val="en-US"/>
        </w:rPr>
        <w:t xml:space="preserve"> da chi </w:t>
      </w:r>
      <w:proofErr w:type="spellStart"/>
      <w:r w:rsidRPr="00FC35BE">
        <w:rPr>
          <w:color w:val="000000"/>
          <w:lang w:val="en-US"/>
        </w:rPr>
        <w:t>regge</w:t>
      </w:r>
      <w:proofErr w:type="spellEnd"/>
      <w:r w:rsidRPr="00FC35BE">
        <w:rPr>
          <w:color w:val="000000"/>
          <w:lang w:val="en-US"/>
        </w:rPr>
        <w:t xml:space="preserve"> la </w:t>
      </w:r>
      <w:proofErr w:type="spellStart"/>
      <w:r w:rsidRPr="00FC35BE">
        <w:rPr>
          <w:color w:val="000000"/>
          <w:lang w:val="en-US"/>
        </w:rPr>
        <w:t>musica</w:t>
      </w:r>
      <w:proofErr w:type="spellEnd"/>
      <w:r w:rsidRPr="00FC35BE">
        <w:rPr>
          <w:color w:val="000000"/>
          <w:lang w:val="en-US"/>
        </w:rPr>
        <w:t xml:space="preserve"> in </w:t>
      </w:r>
      <w:proofErr w:type="spellStart"/>
      <w:r w:rsidRPr="00FC35BE">
        <w:rPr>
          <w:color w:val="000000"/>
          <w:lang w:val="en-US"/>
        </w:rPr>
        <w:t>sulle</w:t>
      </w:r>
      <w:proofErr w:type="spellEnd"/>
      <w:r w:rsidRPr="00FC35BE">
        <w:rPr>
          <w:color w:val="000000"/>
          <w:lang w:val="en-US"/>
        </w:rPr>
        <w:t xml:space="preserve"> </w:t>
      </w:r>
      <w:proofErr w:type="spellStart"/>
      <w:r w:rsidRPr="00FC35BE">
        <w:rPr>
          <w:color w:val="000000"/>
          <w:lang w:val="en-US"/>
        </w:rPr>
        <w:t>spalle</w:t>
      </w:r>
      <w:proofErr w:type="spellEnd"/>
      <w:r w:rsidRPr="00FC35BE">
        <w:rPr>
          <w:color w:val="000000"/>
          <w:lang w:val="en-US"/>
        </w:rPr>
        <w:t xml:space="preserve"> de’ </w:t>
      </w:r>
      <w:proofErr w:type="spellStart"/>
      <w:r w:rsidRPr="00FC35BE">
        <w:rPr>
          <w:color w:val="000000"/>
          <w:lang w:val="en-US"/>
        </w:rPr>
        <w:t>minori</w:t>
      </w:r>
      <w:proofErr w:type="spellEnd"/>
      <w:r w:rsidRPr="00FC35BE">
        <w:rPr>
          <w:color w:val="000000"/>
          <w:lang w:val="en-US"/>
        </w:rPr>
        <w:t xml:space="preserve">, et </w:t>
      </w:r>
      <w:proofErr w:type="spellStart"/>
      <w:r w:rsidRPr="00FC35BE">
        <w:rPr>
          <w:color w:val="000000"/>
          <w:lang w:val="en-US"/>
        </w:rPr>
        <w:t>insomma</w:t>
      </w:r>
      <w:proofErr w:type="spellEnd"/>
      <w:r w:rsidRPr="00FC35BE">
        <w:rPr>
          <w:color w:val="000000"/>
          <w:lang w:val="en-US"/>
        </w:rPr>
        <w:t xml:space="preserve"> diverse </w:t>
      </w:r>
      <w:proofErr w:type="spellStart"/>
      <w:r w:rsidRPr="00FC35BE">
        <w:rPr>
          <w:color w:val="000000"/>
          <w:lang w:val="en-US"/>
        </w:rPr>
        <w:t>maniere</w:t>
      </w:r>
      <w:proofErr w:type="spellEnd"/>
      <w:r w:rsidRPr="00FC35BE">
        <w:rPr>
          <w:color w:val="000000"/>
          <w:lang w:val="en-US"/>
        </w:rPr>
        <w:t xml:space="preserve"> di </w:t>
      </w:r>
      <w:proofErr w:type="spellStart"/>
      <w:r w:rsidRPr="00FC35BE">
        <w:rPr>
          <w:color w:val="000000"/>
          <w:lang w:val="en-US"/>
        </w:rPr>
        <w:t>suoni</w:t>
      </w:r>
      <w:proofErr w:type="spellEnd"/>
      <w:r w:rsidRPr="00FC35BE">
        <w:rPr>
          <w:color w:val="000000"/>
          <w:lang w:val="en-US"/>
        </w:rPr>
        <w:t xml:space="preserve">, </w:t>
      </w:r>
      <w:proofErr w:type="spellStart"/>
      <w:r w:rsidRPr="00FC35BE">
        <w:rPr>
          <w:color w:val="000000"/>
          <w:lang w:val="en-US"/>
        </w:rPr>
        <w:t>canti</w:t>
      </w:r>
      <w:proofErr w:type="spellEnd"/>
      <w:r w:rsidRPr="00FC35BE">
        <w:rPr>
          <w:color w:val="000000"/>
          <w:lang w:val="en-US"/>
        </w:rPr>
        <w:t xml:space="preserve">, </w:t>
      </w:r>
      <w:proofErr w:type="spellStart"/>
      <w:r w:rsidRPr="00FC35BE">
        <w:rPr>
          <w:color w:val="000000"/>
          <w:lang w:val="en-US"/>
        </w:rPr>
        <w:t>balli</w:t>
      </w:r>
      <w:proofErr w:type="spellEnd"/>
      <w:r w:rsidRPr="00FC35BE">
        <w:rPr>
          <w:color w:val="000000"/>
          <w:lang w:val="en-US"/>
        </w:rPr>
        <w:t xml:space="preserve"> et alter </w:t>
      </w:r>
      <w:proofErr w:type="spellStart"/>
      <w:r w:rsidRPr="00FC35BE">
        <w:rPr>
          <w:color w:val="000000"/>
          <w:lang w:val="en-US"/>
        </w:rPr>
        <w:t>azzioni</w:t>
      </w:r>
      <w:proofErr w:type="spellEnd"/>
      <w:r w:rsidRPr="00FC35BE">
        <w:rPr>
          <w:color w:val="000000"/>
          <w:lang w:val="en-US"/>
        </w:rPr>
        <w:t xml:space="preserve"> </w:t>
      </w:r>
      <w:proofErr w:type="spellStart"/>
      <w:r w:rsidRPr="00FC35BE">
        <w:rPr>
          <w:color w:val="000000"/>
          <w:lang w:val="en-US"/>
        </w:rPr>
        <w:t>piacevoli</w:t>
      </w:r>
      <w:proofErr w:type="spellEnd"/>
      <w:r w:rsidRPr="00FC35BE">
        <w:rPr>
          <w:color w:val="000000"/>
          <w:lang w:val="en-US"/>
        </w:rPr>
        <w:t xml:space="preserve"> </w:t>
      </w:r>
      <w:proofErr w:type="spellStart"/>
      <w:r w:rsidRPr="00FC35BE">
        <w:rPr>
          <w:color w:val="000000"/>
          <w:lang w:val="en-US"/>
        </w:rPr>
        <w:t>che</w:t>
      </w:r>
      <w:proofErr w:type="spellEnd"/>
      <w:r w:rsidRPr="00FC35BE">
        <w:rPr>
          <w:color w:val="000000"/>
          <w:lang w:val="en-US"/>
        </w:rPr>
        <w:t xml:space="preserve"> </w:t>
      </w:r>
      <w:proofErr w:type="spellStart"/>
      <w:r w:rsidRPr="00FC35BE">
        <w:rPr>
          <w:color w:val="000000"/>
          <w:lang w:val="en-US"/>
        </w:rPr>
        <w:t>porge</w:t>
      </w:r>
      <w:proofErr w:type="spellEnd"/>
      <w:r w:rsidRPr="00FC35BE">
        <w:rPr>
          <w:color w:val="000000"/>
          <w:lang w:val="en-US"/>
        </w:rPr>
        <w:t xml:space="preserve"> </w:t>
      </w:r>
      <w:proofErr w:type="spellStart"/>
      <w:r w:rsidRPr="00FC35BE">
        <w:rPr>
          <w:color w:val="000000"/>
          <w:lang w:val="en-US"/>
        </w:rPr>
        <w:t>il</w:t>
      </w:r>
      <w:proofErr w:type="spellEnd"/>
      <w:r w:rsidRPr="00FC35BE">
        <w:rPr>
          <w:color w:val="000000"/>
          <w:lang w:val="en-US"/>
        </w:rPr>
        <w:t xml:space="preserve"> </w:t>
      </w:r>
      <w:proofErr w:type="spellStart"/>
      <w:r w:rsidRPr="00FC35BE">
        <w:rPr>
          <w:color w:val="000000"/>
          <w:lang w:val="en-US"/>
        </w:rPr>
        <w:t>diletto</w:t>
      </w:r>
      <w:proofErr w:type="spellEnd"/>
      <w:r w:rsidRPr="00FC35BE">
        <w:rPr>
          <w:color w:val="000000"/>
          <w:lang w:val="en-US"/>
        </w:rPr>
        <w:t xml:space="preserve"> </w:t>
      </w:r>
      <w:proofErr w:type="spellStart"/>
      <w:r w:rsidRPr="00FC35BE">
        <w:rPr>
          <w:color w:val="000000"/>
          <w:lang w:val="en-US"/>
        </w:rPr>
        <w:t>della</w:t>
      </w:r>
      <w:proofErr w:type="spellEnd"/>
      <w:r w:rsidRPr="00FC35BE">
        <w:rPr>
          <w:color w:val="000000"/>
          <w:lang w:val="en-US"/>
        </w:rPr>
        <w:t xml:space="preserve"> </w:t>
      </w:r>
      <w:proofErr w:type="spellStart"/>
      <w:r w:rsidRPr="00FC35BE">
        <w:rPr>
          <w:color w:val="000000"/>
          <w:lang w:val="en-US"/>
        </w:rPr>
        <w:t>musica</w:t>
      </w:r>
      <w:proofErr w:type="spellEnd"/>
      <w:r w:rsidRPr="00FC35BE">
        <w:rPr>
          <w:color w:val="000000"/>
          <w:lang w:val="en-US"/>
        </w:rPr>
        <w:t xml:space="preserve">.” Vasari, </w:t>
      </w:r>
      <w:r w:rsidRPr="00FC35BE">
        <w:rPr>
          <w:i/>
          <w:iCs/>
          <w:color w:val="000000"/>
          <w:lang w:val="en-US"/>
        </w:rPr>
        <w:t xml:space="preserve">Le </w:t>
      </w:r>
      <w:proofErr w:type="spellStart"/>
      <w:r w:rsidRPr="00FC35BE">
        <w:rPr>
          <w:i/>
          <w:iCs/>
          <w:color w:val="000000"/>
          <w:lang w:val="en-US"/>
        </w:rPr>
        <w:t>vite</w:t>
      </w:r>
      <w:proofErr w:type="spellEnd"/>
      <w:r w:rsidRPr="00FC35BE">
        <w:rPr>
          <w:i/>
          <w:iCs/>
          <w:color w:val="000000"/>
          <w:lang w:val="en-US"/>
        </w:rPr>
        <w:t xml:space="preserve"> </w:t>
      </w:r>
      <w:proofErr w:type="spellStart"/>
      <w:r w:rsidRPr="00FC35BE">
        <w:rPr>
          <w:i/>
          <w:iCs/>
          <w:color w:val="000000"/>
          <w:lang w:val="en-US"/>
        </w:rPr>
        <w:t>dei</w:t>
      </w:r>
      <w:proofErr w:type="spellEnd"/>
      <w:r w:rsidRPr="00FC35BE">
        <w:rPr>
          <w:i/>
          <w:iCs/>
          <w:color w:val="000000"/>
          <w:lang w:val="en-US"/>
        </w:rPr>
        <w:t xml:space="preserve"> </w:t>
      </w:r>
      <w:proofErr w:type="spellStart"/>
      <w:r w:rsidRPr="00FC35BE">
        <w:rPr>
          <w:i/>
          <w:iCs/>
          <w:color w:val="000000"/>
          <w:lang w:val="en-US"/>
        </w:rPr>
        <w:t>più</w:t>
      </w:r>
      <w:proofErr w:type="spellEnd"/>
      <w:r w:rsidRPr="00FC35BE">
        <w:rPr>
          <w:i/>
          <w:iCs/>
          <w:color w:val="000000"/>
          <w:lang w:val="en-US"/>
        </w:rPr>
        <w:t xml:space="preserve"> </w:t>
      </w:r>
      <w:proofErr w:type="spellStart"/>
      <w:r w:rsidRPr="00FC35BE">
        <w:rPr>
          <w:i/>
          <w:iCs/>
          <w:color w:val="000000"/>
          <w:lang w:val="en-US"/>
        </w:rPr>
        <w:t>eccellenti</w:t>
      </w:r>
      <w:proofErr w:type="spellEnd"/>
      <w:r w:rsidRPr="00FC35BE">
        <w:rPr>
          <w:i/>
          <w:iCs/>
          <w:color w:val="000000"/>
          <w:lang w:val="en-US"/>
        </w:rPr>
        <w:t xml:space="preserve"> </w:t>
      </w:r>
      <w:proofErr w:type="spellStart"/>
      <w:r w:rsidRPr="00FC35BE">
        <w:rPr>
          <w:i/>
          <w:iCs/>
          <w:color w:val="000000"/>
          <w:lang w:val="en-US"/>
        </w:rPr>
        <w:t>pittori</w:t>
      </w:r>
      <w:proofErr w:type="spellEnd"/>
      <w:r w:rsidRPr="00FC35BE">
        <w:rPr>
          <w:i/>
          <w:iCs/>
          <w:color w:val="000000"/>
          <w:lang w:val="en-US"/>
        </w:rPr>
        <w:t xml:space="preserve">, </w:t>
      </w:r>
      <w:proofErr w:type="spellStart"/>
      <w:r w:rsidRPr="00FC35BE">
        <w:rPr>
          <w:i/>
          <w:iCs/>
          <w:color w:val="000000"/>
          <w:lang w:val="en-US"/>
        </w:rPr>
        <w:t>scultori</w:t>
      </w:r>
      <w:proofErr w:type="spellEnd"/>
      <w:r w:rsidRPr="00FC35BE">
        <w:rPr>
          <w:i/>
          <w:iCs/>
          <w:color w:val="000000"/>
          <w:lang w:val="en-US"/>
        </w:rPr>
        <w:t xml:space="preserve"> e </w:t>
      </w:r>
      <w:proofErr w:type="spellStart"/>
      <w:r w:rsidRPr="00FC35BE">
        <w:rPr>
          <w:i/>
          <w:iCs/>
          <w:color w:val="000000"/>
          <w:lang w:val="en-US"/>
        </w:rPr>
        <w:t>architetti</w:t>
      </w:r>
      <w:proofErr w:type="spellEnd"/>
      <w:r w:rsidRPr="00FC35BE">
        <w:rPr>
          <w:color w:val="000000"/>
          <w:lang w:val="en-US"/>
        </w:rPr>
        <w:t>, 289 (</w:t>
      </w:r>
      <w:r w:rsidRPr="00FC35BE">
        <w:rPr>
          <w:i/>
          <w:iCs/>
          <w:color w:val="000000"/>
          <w:lang w:val="en-US"/>
        </w:rPr>
        <w:t xml:space="preserve">Vita di Luca </w:t>
      </w:r>
      <w:proofErr w:type="spellStart"/>
      <w:r w:rsidRPr="00FC35BE">
        <w:rPr>
          <w:i/>
          <w:iCs/>
          <w:color w:val="000000"/>
          <w:lang w:val="en-US"/>
        </w:rPr>
        <w:t>della</w:t>
      </w:r>
      <w:proofErr w:type="spellEnd"/>
      <w:r w:rsidRPr="00FC35BE">
        <w:rPr>
          <w:i/>
          <w:iCs/>
          <w:color w:val="000000"/>
          <w:lang w:val="en-US"/>
        </w:rPr>
        <w:t xml:space="preserve"> Robbia</w:t>
      </w:r>
      <w:r w:rsidRPr="00FC35BE">
        <w:rPr>
          <w:color w:val="000000"/>
          <w:lang w:val="en-US"/>
        </w:rPr>
        <w:t xml:space="preserve">); for a different translation, see Radke, </w:t>
      </w:r>
      <w:r w:rsidRPr="00FC35BE">
        <w:rPr>
          <w:i/>
          <w:iCs/>
          <w:color w:val="000000"/>
          <w:lang w:val="en-US"/>
        </w:rPr>
        <w:t>Make a Joyful Noise</w:t>
      </w:r>
      <w:r w:rsidRPr="00FC35BE">
        <w:rPr>
          <w:color w:val="000000"/>
          <w:lang w:val="en-US"/>
        </w:rPr>
        <w:t>, 29.</w:t>
      </w:r>
    </w:p>
  </w:footnote>
  <w:footnote w:id="607">
    <w:p w14:paraId="0D8300B2" w14:textId="77777777" w:rsidR="00182EED" w:rsidRDefault="00182EED" w:rsidP="00094F64">
      <w:pPr>
        <w:pStyle w:val="FootnoteText"/>
      </w:pPr>
      <w:r w:rsidRPr="00591949">
        <w:rPr>
          <w:rStyle w:val="FootnoteReference"/>
        </w:rPr>
        <w:footnoteRef/>
      </w:r>
      <w:r>
        <w:t xml:space="preserve"> </w:t>
      </w:r>
      <w:r w:rsidRPr="00131D48">
        <w:rPr>
          <w:color w:val="000000"/>
          <w:lang w:val="en-US"/>
        </w:rPr>
        <w:t xml:space="preserve">Radke, </w:t>
      </w:r>
      <w:r w:rsidRPr="00131D48">
        <w:rPr>
          <w:i/>
          <w:iCs/>
          <w:color w:val="000000"/>
          <w:lang w:val="en-US"/>
        </w:rPr>
        <w:t>Make a Joyful Noise</w:t>
      </w:r>
      <w:r w:rsidRPr="00131D48">
        <w:rPr>
          <w:color w:val="000000"/>
          <w:lang w:val="en-US"/>
        </w:rPr>
        <w:t>, 29.</w:t>
      </w:r>
    </w:p>
  </w:footnote>
  <w:footnote w:id="608">
    <w:p w14:paraId="75BE5A4B" w14:textId="77777777" w:rsidR="00182EED" w:rsidRDefault="00182EED" w:rsidP="00094F64">
      <w:pPr>
        <w:pStyle w:val="FootnoteText"/>
      </w:pPr>
      <w:r w:rsidRPr="00591949">
        <w:rPr>
          <w:rStyle w:val="FootnoteReference"/>
        </w:rPr>
        <w:footnoteRef/>
      </w:r>
      <w:r>
        <w:t xml:space="preserve"> </w:t>
      </w:r>
      <w:r w:rsidRPr="003F70AE">
        <w:rPr>
          <w:color w:val="000000"/>
          <w:lang w:val="en-US"/>
        </w:rPr>
        <w:t xml:space="preserve">On the Magi chapel, see Cristina </w:t>
      </w:r>
      <w:proofErr w:type="spellStart"/>
      <w:r w:rsidRPr="003F70AE">
        <w:rPr>
          <w:color w:val="000000"/>
          <w:lang w:val="en-US"/>
        </w:rPr>
        <w:t>Acidini</w:t>
      </w:r>
      <w:proofErr w:type="spellEnd"/>
      <w:r w:rsidRPr="003F70AE">
        <w:rPr>
          <w:color w:val="000000"/>
          <w:lang w:val="en-US"/>
        </w:rPr>
        <w:t xml:space="preserve"> </w:t>
      </w:r>
      <w:proofErr w:type="spellStart"/>
      <w:r w:rsidRPr="003F70AE">
        <w:rPr>
          <w:color w:val="000000"/>
          <w:lang w:val="en-US"/>
        </w:rPr>
        <w:t>Luchinat</w:t>
      </w:r>
      <w:proofErr w:type="spellEnd"/>
      <w:r w:rsidRPr="003F70AE">
        <w:rPr>
          <w:color w:val="000000"/>
          <w:lang w:val="en-US"/>
        </w:rPr>
        <w:t xml:space="preserve">, </w:t>
      </w:r>
      <w:r w:rsidRPr="003F70AE">
        <w:rPr>
          <w:i/>
          <w:iCs/>
          <w:color w:val="000000"/>
          <w:lang w:val="en-US"/>
        </w:rPr>
        <w:t xml:space="preserve">The Chapel of the Magi: </w:t>
      </w:r>
      <w:proofErr w:type="spellStart"/>
      <w:r w:rsidRPr="003F70AE">
        <w:rPr>
          <w:i/>
          <w:iCs/>
          <w:color w:val="000000"/>
          <w:lang w:val="en-US"/>
        </w:rPr>
        <w:t>Benozzo</w:t>
      </w:r>
      <w:proofErr w:type="spellEnd"/>
      <w:r w:rsidRPr="003F70AE">
        <w:rPr>
          <w:i/>
          <w:iCs/>
          <w:color w:val="000000"/>
          <w:lang w:val="en-US"/>
        </w:rPr>
        <w:t xml:space="preserve"> </w:t>
      </w:r>
      <w:proofErr w:type="spellStart"/>
      <w:r w:rsidRPr="003F70AE">
        <w:rPr>
          <w:i/>
          <w:iCs/>
          <w:color w:val="000000"/>
          <w:lang w:val="en-US"/>
        </w:rPr>
        <w:t>Gozzoli’s</w:t>
      </w:r>
      <w:proofErr w:type="spellEnd"/>
      <w:r w:rsidRPr="003F70AE">
        <w:rPr>
          <w:i/>
          <w:iCs/>
          <w:color w:val="000000"/>
          <w:lang w:val="en-US"/>
        </w:rPr>
        <w:t xml:space="preserve"> Frescoes in the Palazzo Medici-</w:t>
      </w:r>
      <w:proofErr w:type="spellStart"/>
      <w:r w:rsidRPr="003F70AE">
        <w:rPr>
          <w:i/>
          <w:iCs/>
          <w:color w:val="000000"/>
          <w:lang w:val="en-US"/>
        </w:rPr>
        <w:t>Riccardi</w:t>
      </w:r>
      <w:proofErr w:type="spellEnd"/>
      <w:r w:rsidRPr="003F70AE">
        <w:rPr>
          <w:i/>
          <w:iCs/>
          <w:color w:val="000000"/>
          <w:lang w:val="en-US"/>
        </w:rPr>
        <w:t xml:space="preserve"> Florence</w:t>
      </w:r>
      <w:r w:rsidRPr="003F70AE">
        <w:rPr>
          <w:color w:val="000000"/>
          <w:lang w:val="en-US"/>
        </w:rPr>
        <w:t xml:space="preserve">, ed. Cristina </w:t>
      </w:r>
      <w:proofErr w:type="spellStart"/>
      <w:r w:rsidRPr="003F70AE">
        <w:rPr>
          <w:color w:val="000000"/>
          <w:lang w:val="en-US"/>
        </w:rPr>
        <w:t>Acidini</w:t>
      </w:r>
      <w:proofErr w:type="spellEnd"/>
      <w:r w:rsidRPr="003F70AE">
        <w:rPr>
          <w:color w:val="000000"/>
          <w:lang w:val="en-US"/>
        </w:rPr>
        <w:t xml:space="preserve"> </w:t>
      </w:r>
      <w:proofErr w:type="spellStart"/>
      <w:r w:rsidRPr="003F70AE">
        <w:rPr>
          <w:color w:val="000000"/>
          <w:lang w:val="en-US"/>
        </w:rPr>
        <w:t>Luchinat</w:t>
      </w:r>
      <w:proofErr w:type="spellEnd"/>
      <w:r w:rsidRPr="003F70AE">
        <w:rPr>
          <w:color w:val="000000"/>
          <w:lang w:val="en-US"/>
        </w:rPr>
        <w:t xml:space="preserve">, trans. Eleanor Daunt (London: Thames and Hudson, 1994); Dale Kent, </w:t>
      </w:r>
      <w:r w:rsidRPr="003F70AE">
        <w:rPr>
          <w:i/>
          <w:iCs/>
          <w:color w:val="000000"/>
          <w:lang w:val="en-US"/>
        </w:rPr>
        <w:t>Cosimo De’ Medici and the Florentine Renaissance: The Patron’s Oeuvre</w:t>
      </w:r>
      <w:r w:rsidRPr="003F70AE">
        <w:rPr>
          <w:color w:val="000000"/>
          <w:lang w:val="en-US"/>
        </w:rPr>
        <w:t xml:space="preserve"> (New Haven and London: Yale University Press, 2000).</w:t>
      </w:r>
    </w:p>
  </w:footnote>
  <w:footnote w:id="609">
    <w:p w14:paraId="229AE0D7" w14:textId="77777777" w:rsidR="00182EED" w:rsidRDefault="00182EED" w:rsidP="00094F64">
      <w:pPr>
        <w:pStyle w:val="FootnoteText"/>
      </w:pPr>
      <w:r w:rsidRPr="00591949">
        <w:rPr>
          <w:rStyle w:val="FootnoteReference"/>
        </w:rPr>
        <w:footnoteRef/>
      </w:r>
      <w:r>
        <w:t xml:space="preserve"> </w:t>
      </w:r>
      <w:r w:rsidRPr="00864D94">
        <w:rPr>
          <w:color w:val="000000"/>
          <w:lang w:val="en-US"/>
        </w:rPr>
        <w:t>The haloes of the angels in the foreground, who are not singing, are inscribed “</w:t>
      </w:r>
      <w:proofErr w:type="spellStart"/>
      <w:r w:rsidRPr="00864D94">
        <w:rPr>
          <w:color w:val="000000"/>
          <w:lang w:val="en-US"/>
        </w:rPr>
        <w:t>Adoramus</w:t>
      </w:r>
      <w:proofErr w:type="spellEnd"/>
      <w:r w:rsidRPr="00864D94">
        <w:rPr>
          <w:color w:val="000000"/>
          <w:lang w:val="en-US"/>
        </w:rPr>
        <w:t xml:space="preserve"> </w:t>
      </w:r>
      <w:proofErr w:type="spellStart"/>
      <w:r w:rsidRPr="00864D94">
        <w:rPr>
          <w:color w:val="000000"/>
          <w:lang w:val="en-US"/>
        </w:rPr>
        <w:t>Te</w:t>
      </w:r>
      <w:proofErr w:type="spellEnd"/>
      <w:r w:rsidRPr="00864D94">
        <w:rPr>
          <w:color w:val="000000"/>
          <w:lang w:val="en-US"/>
        </w:rPr>
        <w:t xml:space="preserve">, </w:t>
      </w:r>
      <w:proofErr w:type="spellStart"/>
      <w:r w:rsidRPr="00864D94">
        <w:rPr>
          <w:color w:val="000000"/>
          <w:lang w:val="en-US"/>
        </w:rPr>
        <w:t>Glorificamus</w:t>
      </w:r>
      <w:proofErr w:type="spellEnd"/>
      <w:r w:rsidRPr="00864D94">
        <w:rPr>
          <w:color w:val="000000"/>
          <w:lang w:val="en-US"/>
        </w:rPr>
        <w:t xml:space="preserve"> </w:t>
      </w:r>
      <w:proofErr w:type="spellStart"/>
      <w:r w:rsidRPr="00864D94">
        <w:rPr>
          <w:color w:val="000000"/>
          <w:lang w:val="en-US"/>
        </w:rPr>
        <w:t>Te</w:t>
      </w:r>
      <w:proofErr w:type="spellEnd"/>
      <w:r w:rsidRPr="00864D94">
        <w:rPr>
          <w:color w:val="000000"/>
          <w:lang w:val="en-US"/>
        </w:rPr>
        <w:t xml:space="preserve">”. This fresco is discussed in </w:t>
      </w:r>
      <w:proofErr w:type="spellStart"/>
      <w:r w:rsidRPr="00864D94">
        <w:rPr>
          <w:color w:val="000000"/>
          <w:lang w:val="en-US"/>
        </w:rPr>
        <w:t>Josep</w:t>
      </w:r>
      <w:proofErr w:type="spellEnd"/>
      <w:r w:rsidRPr="00864D94">
        <w:rPr>
          <w:color w:val="000000"/>
          <w:lang w:val="en-US"/>
        </w:rPr>
        <w:t xml:space="preserve"> Smits van </w:t>
      </w:r>
      <w:proofErr w:type="spellStart"/>
      <w:r w:rsidRPr="00864D94">
        <w:rPr>
          <w:color w:val="000000"/>
          <w:lang w:val="en-US"/>
        </w:rPr>
        <w:t>Waesberghe</w:t>
      </w:r>
      <w:proofErr w:type="spellEnd"/>
      <w:r w:rsidRPr="00864D94">
        <w:rPr>
          <w:color w:val="000000"/>
          <w:lang w:val="en-US"/>
        </w:rPr>
        <w:t>, “</w:t>
      </w:r>
      <w:proofErr w:type="spellStart"/>
      <w:r w:rsidRPr="00864D94">
        <w:rPr>
          <w:color w:val="000000"/>
          <w:lang w:val="en-US"/>
        </w:rPr>
        <w:t>Singen</w:t>
      </w:r>
      <w:proofErr w:type="spellEnd"/>
      <w:r w:rsidRPr="00864D94">
        <w:rPr>
          <w:color w:val="000000"/>
          <w:lang w:val="en-US"/>
        </w:rPr>
        <w:t xml:space="preserve"> und </w:t>
      </w:r>
      <w:proofErr w:type="spellStart"/>
      <w:r w:rsidRPr="00864D94">
        <w:rPr>
          <w:color w:val="000000"/>
          <w:lang w:val="en-US"/>
        </w:rPr>
        <w:t>Dirigieren</w:t>
      </w:r>
      <w:proofErr w:type="spellEnd"/>
      <w:r w:rsidRPr="00864D94">
        <w:rPr>
          <w:color w:val="000000"/>
          <w:lang w:val="en-US"/>
        </w:rPr>
        <w:t xml:space="preserve"> der </w:t>
      </w:r>
      <w:proofErr w:type="spellStart"/>
      <w:r w:rsidRPr="00864D94">
        <w:rPr>
          <w:color w:val="000000"/>
          <w:lang w:val="en-US"/>
        </w:rPr>
        <w:t>mehrstimmigen</w:t>
      </w:r>
      <w:proofErr w:type="spellEnd"/>
      <w:r w:rsidRPr="00864D94">
        <w:rPr>
          <w:color w:val="000000"/>
          <w:lang w:val="en-US"/>
        </w:rPr>
        <w:t xml:space="preserve"> </w:t>
      </w:r>
      <w:proofErr w:type="spellStart"/>
      <w:r w:rsidRPr="00864D94">
        <w:rPr>
          <w:color w:val="000000"/>
          <w:lang w:val="en-US"/>
        </w:rPr>
        <w:t>Musik</w:t>
      </w:r>
      <w:proofErr w:type="spellEnd"/>
      <w:r w:rsidRPr="00864D94">
        <w:rPr>
          <w:color w:val="000000"/>
          <w:lang w:val="en-US"/>
        </w:rPr>
        <w:t xml:space="preserve"> </w:t>
      </w:r>
      <w:proofErr w:type="spellStart"/>
      <w:r w:rsidRPr="00864D94">
        <w:rPr>
          <w:color w:val="000000"/>
          <w:lang w:val="en-US"/>
        </w:rPr>
        <w:t>im</w:t>
      </w:r>
      <w:proofErr w:type="spellEnd"/>
      <w:r w:rsidRPr="00864D94">
        <w:rPr>
          <w:color w:val="000000"/>
          <w:lang w:val="en-US"/>
        </w:rPr>
        <w:t xml:space="preserve"> </w:t>
      </w:r>
      <w:proofErr w:type="spellStart"/>
      <w:r w:rsidRPr="00864D94">
        <w:rPr>
          <w:color w:val="000000"/>
          <w:lang w:val="en-US"/>
        </w:rPr>
        <w:t>Mittelalter</w:t>
      </w:r>
      <w:proofErr w:type="spellEnd"/>
      <w:r w:rsidRPr="00864D94">
        <w:rPr>
          <w:color w:val="000000"/>
          <w:lang w:val="en-US"/>
        </w:rPr>
        <w:t xml:space="preserve">: Was </w:t>
      </w:r>
      <w:proofErr w:type="spellStart"/>
      <w:r w:rsidRPr="00864D94">
        <w:rPr>
          <w:color w:val="000000"/>
          <w:lang w:val="en-US"/>
        </w:rPr>
        <w:t>Miniaturen</w:t>
      </w:r>
      <w:proofErr w:type="spellEnd"/>
      <w:r w:rsidRPr="00864D94">
        <w:rPr>
          <w:color w:val="000000"/>
          <w:lang w:val="en-US"/>
        </w:rPr>
        <w:t xml:space="preserve"> </w:t>
      </w:r>
      <w:proofErr w:type="spellStart"/>
      <w:r w:rsidRPr="00864D94">
        <w:rPr>
          <w:color w:val="000000"/>
          <w:lang w:val="en-US"/>
        </w:rPr>
        <w:t>uns</w:t>
      </w:r>
      <w:proofErr w:type="spellEnd"/>
      <w:r w:rsidRPr="00864D94">
        <w:rPr>
          <w:color w:val="000000"/>
          <w:lang w:val="en-US"/>
        </w:rPr>
        <w:t xml:space="preserve"> </w:t>
      </w:r>
      <w:proofErr w:type="spellStart"/>
      <w:r w:rsidRPr="00864D94">
        <w:rPr>
          <w:color w:val="000000"/>
          <w:lang w:val="en-US"/>
        </w:rPr>
        <w:t>hierüber</w:t>
      </w:r>
      <w:proofErr w:type="spellEnd"/>
      <w:r w:rsidRPr="00864D94">
        <w:rPr>
          <w:color w:val="000000"/>
          <w:lang w:val="en-US"/>
        </w:rPr>
        <w:t xml:space="preserve"> </w:t>
      </w:r>
      <w:proofErr w:type="spellStart"/>
      <w:r w:rsidRPr="00864D94">
        <w:rPr>
          <w:color w:val="000000"/>
          <w:lang w:val="en-US"/>
        </w:rPr>
        <w:t>lehren</w:t>
      </w:r>
      <w:proofErr w:type="spellEnd"/>
      <w:r w:rsidRPr="00864D94">
        <w:rPr>
          <w:color w:val="000000"/>
          <w:lang w:val="en-US"/>
        </w:rPr>
        <w:t xml:space="preserve">,” in </w:t>
      </w:r>
      <w:r w:rsidRPr="00864D94">
        <w:rPr>
          <w:i/>
          <w:iCs/>
          <w:color w:val="000000"/>
          <w:lang w:val="en-US"/>
        </w:rPr>
        <w:t xml:space="preserve">Mélanges </w:t>
      </w:r>
      <w:proofErr w:type="spellStart"/>
      <w:r w:rsidRPr="00864D94">
        <w:rPr>
          <w:i/>
          <w:iCs/>
          <w:color w:val="000000"/>
          <w:lang w:val="en-US"/>
        </w:rPr>
        <w:t>offerts</w:t>
      </w:r>
      <w:proofErr w:type="spellEnd"/>
      <w:r w:rsidRPr="00864D94">
        <w:rPr>
          <w:i/>
          <w:iCs/>
          <w:color w:val="000000"/>
          <w:lang w:val="en-US"/>
        </w:rPr>
        <w:t xml:space="preserve"> à René Crozet</w:t>
      </w:r>
      <w:r w:rsidRPr="00864D94">
        <w:rPr>
          <w:color w:val="000000"/>
          <w:lang w:val="en-US"/>
        </w:rPr>
        <w:t xml:space="preserve">, ed. Pierre </w:t>
      </w:r>
      <w:proofErr w:type="spellStart"/>
      <w:r w:rsidRPr="00864D94">
        <w:rPr>
          <w:color w:val="000000"/>
          <w:lang w:val="en-US"/>
        </w:rPr>
        <w:t>Gallais</w:t>
      </w:r>
      <w:proofErr w:type="spellEnd"/>
      <w:r w:rsidRPr="00864D94">
        <w:rPr>
          <w:color w:val="000000"/>
          <w:lang w:val="en-US"/>
        </w:rPr>
        <w:t xml:space="preserve"> and Yves-Jean </w:t>
      </w:r>
      <w:proofErr w:type="spellStart"/>
      <w:r w:rsidRPr="00864D94">
        <w:rPr>
          <w:color w:val="000000"/>
          <w:lang w:val="en-US"/>
        </w:rPr>
        <w:t>Riou</w:t>
      </w:r>
      <w:proofErr w:type="spellEnd"/>
      <w:r w:rsidRPr="00864D94">
        <w:rPr>
          <w:color w:val="000000"/>
          <w:lang w:val="en-US"/>
        </w:rPr>
        <w:t xml:space="preserve">, vol. II (Poitiers: </w:t>
      </w:r>
      <w:proofErr w:type="spellStart"/>
      <w:r w:rsidRPr="00864D94">
        <w:rPr>
          <w:color w:val="000000"/>
          <w:lang w:val="en-US"/>
        </w:rPr>
        <w:t>Societé</w:t>
      </w:r>
      <w:proofErr w:type="spellEnd"/>
      <w:r w:rsidRPr="00864D94">
        <w:rPr>
          <w:color w:val="000000"/>
          <w:lang w:val="en-US"/>
        </w:rPr>
        <w:t xml:space="preserve"> </w:t>
      </w:r>
      <w:proofErr w:type="spellStart"/>
      <w:r w:rsidRPr="00864D94">
        <w:rPr>
          <w:color w:val="000000"/>
          <w:lang w:val="en-US"/>
        </w:rPr>
        <w:t>d’Études</w:t>
      </w:r>
      <w:proofErr w:type="spellEnd"/>
      <w:r w:rsidRPr="00864D94">
        <w:rPr>
          <w:color w:val="000000"/>
          <w:lang w:val="en-US"/>
        </w:rPr>
        <w:t xml:space="preserve"> </w:t>
      </w:r>
      <w:proofErr w:type="spellStart"/>
      <w:r w:rsidRPr="00864D94">
        <w:rPr>
          <w:color w:val="000000"/>
          <w:lang w:val="en-US"/>
        </w:rPr>
        <w:t>Médiévales</w:t>
      </w:r>
      <w:proofErr w:type="spellEnd"/>
      <w:r w:rsidRPr="00864D94">
        <w:rPr>
          <w:color w:val="000000"/>
          <w:lang w:val="en-US"/>
        </w:rPr>
        <w:t>, 1966), 1348.</w:t>
      </w:r>
    </w:p>
  </w:footnote>
  <w:footnote w:id="610">
    <w:p w14:paraId="2AB059AB" w14:textId="77777777" w:rsidR="00182EED" w:rsidRDefault="00182EED" w:rsidP="00094F64">
      <w:pPr>
        <w:pStyle w:val="FootnoteText"/>
      </w:pPr>
      <w:r w:rsidRPr="00591949">
        <w:rPr>
          <w:rStyle w:val="FootnoteReference"/>
        </w:rPr>
        <w:footnoteRef/>
      </w:r>
      <w:r>
        <w:t xml:space="preserve"> </w:t>
      </w:r>
      <w:r w:rsidRPr="00864D94">
        <w:rPr>
          <w:color w:val="000000"/>
          <w:lang w:val="en-US"/>
        </w:rPr>
        <w:t>The notes on the scroll are not realistic. On the scroll is written “po-r-</w:t>
      </w:r>
      <w:proofErr w:type="spellStart"/>
      <w:r w:rsidRPr="00864D94">
        <w:rPr>
          <w:color w:val="000000"/>
          <w:lang w:val="en-US"/>
        </w:rPr>
        <w:t>te</w:t>
      </w:r>
      <w:proofErr w:type="spellEnd"/>
      <w:r w:rsidRPr="00864D94">
        <w:rPr>
          <w:color w:val="000000"/>
          <w:lang w:val="en-US"/>
        </w:rPr>
        <w:t>”. See ibid., 1346.</w:t>
      </w:r>
    </w:p>
  </w:footnote>
  <w:footnote w:id="611">
    <w:p w14:paraId="4A6CCC7D" w14:textId="77777777" w:rsidR="00182EED" w:rsidRDefault="00182EED" w:rsidP="00094F64">
      <w:pPr>
        <w:pStyle w:val="FootnoteText"/>
      </w:pPr>
      <w:r w:rsidRPr="00591949">
        <w:rPr>
          <w:rStyle w:val="FootnoteReference"/>
        </w:rPr>
        <w:footnoteRef/>
      </w:r>
      <w:r>
        <w:t xml:space="preserve"> </w:t>
      </w:r>
      <w:proofErr w:type="spellStart"/>
      <w:r w:rsidRPr="00864D94">
        <w:rPr>
          <w:color w:val="000000"/>
          <w:lang w:val="en-US"/>
        </w:rPr>
        <w:t>Jaynie</w:t>
      </w:r>
      <w:proofErr w:type="spellEnd"/>
      <w:r w:rsidRPr="00864D94">
        <w:rPr>
          <w:color w:val="000000"/>
          <w:lang w:val="en-US"/>
        </w:rPr>
        <w:t xml:space="preserve"> Anderson, </w:t>
      </w:r>
      <w:r w:rsidRPr="00864D94">
        <w:rPr>
          <w:i/>
          <w:iCs/>
          <w:color w:val="000000"/>
          <w:lang w:val="en-US"/>
        </w:rPr>
        <w:t>Giorgione: The Painter of “Poetic Brevity”</w:t>
      </w:r>
      <w:r w:rsidRPr="00864D94">
        <w:rPr>
          <w:color w:val="000000"/>
          <w:lang w:val="en-US"/>
        </w:rPr>
        <w:t xml:space="preserve"> (Paris: Flammarion, 1997), 298.</w:t>
      </w:r>
    </w:p>
  </w:footnote>
  <w:footnote w:id="612">
    <w:p w14:paraId="4AEDA94E" w14:textId="77777777" w:rsidR="00182EED" w:rsidRDefault="00182EED" w:rsidP="00094F64">
      <w:pPr>
        <w:pStyle w:val="FootnoteText"/>
      </w:pPr>
      <w:r w:rsidRPr="00591949">
        <w:rPr>
          <w:rStyle w:val="FootnoteReference"/>
        </w:rPr>
        <w:footnoteRef/>
      </w:r>
      <w:r>
        <w:t xml:space="preserve"> </w:t>
      </w:r>
      <w:r w:rsidRPr="00864D94">
        <w:rPr>
          <w:color w:val="000000"/>
          <w:lang w:val="en-US"/>
        </w:rPr>
        <w:t>Ibid., 164–65.</w:t>
      </w:r>
    </w:p>
  </w:footnote>
  <w:footnote w:id="613">
    <w:p w14:paraId="1A8503A2" w14:textId="77777777" w:rsidR="00182EED" w:rsidRDefault="00182EED" w:rsidP="00094F64">
      <w:pPr>
        <w:pStyle w:val="FootnoteText"/>
      </w:pPr>
      <w:r w:rsidRPr="00591949">
        <w:rPr>
          <w:rStyle w:val="FootnoteReference"/>
        </w:rPr>
        <w:footnoteRef/>
      </w:r>
      <w:r>
        <w:t xml:space="preserve"> </w:t>
      </w:r>
      <w:r>
        <w:rPr>
          <w:noProof/>
        </w:rPr>
        <w:t>Ibid.</w:t>
      </w:r>
    </w:p>
  </w:footnote>
  <w:footnote w:id="614">
    <w:p w14:paraId="7BE91FB6" w14:textId="77777777" w:rsidR="00182EED" w:rsidRDefault="00182EED" w:rsidP="00094F64">
      <w:pPr>
        <w:pStyle w:val="FootnoteText"/>
      </w:pPr>
      <w:r w:rsidRPr="00591949">
        <w:rPr>
          <w:rStyle w:val="FootnoteReference"/>
        </w:rPr>
        <w:footnoteRef/>
      </w:r>
      <w:r>
        <w:t xml:space="preserve"> </w:t>
      </w:r>
      <w:r w:rsidRPr="00654E07">
        <w:rPr>
          <w:color w:val="000000"/>
          <w:lang w:val="en-US"/>
        </w:rPr>
        <w:t xml:space="preserve">Enrico Maria dal </w:t>
      </w:r>
      <w:proofErr w:type="spellStart"/>
      <w:r w:rsidRPr="00654E07">
        <w:rPr>
          <w:color w:val="000000"/>
          <w:lang w:val="en-US"/>
        </w:rPr>
        <w:t>Pozzolo</w:t>
      </w:r>
      <w:proofErr w:type="spellEnd"/>
      <w:r w:rsidRPr="00654E07">
        <w:rPr>
          <w:color w:val="000000"/>
          <w:lang w:val="en-US"/>
        </w:rPr>
        <w:t xml:space="preserve">, “Entry 42,” in </w:t>
      </w:r>
      <w:r w:rsidRPr="00654E07">
        <w:rPr>
          <w:i/>
          <w:iCs/>
          <w:color w:val="000000"/>
          <w:lang w:val="en-US"/>
        </w:rPr>
        <w:t>Giorgione</w:t>
      </w:r>
      <w:r w:rsidRPr="00654E07">
        <w:rPr>
          <w:color w:val="000000"/>
          <w:lang w:val="en-US"/>
        </w:rPr>
        <w:t xml:space="preserve">, ed. Enrico Maria dal </w:t>
      </w:r>
      <w:proofErr w:type="spellStart"/>
      <w:r w:rsidRPr="00654E07">
        <w:rPr>
          <w:color w:val="000000"/>
          <w:lang w:val="en-US"/>
        </w:rPr>
        <w:t>Pozzolo</w:t>
      </w:r>
      <w:proofErr w:type="spellEnd"/>
      <w:r w:rsidRPr="00654E07">
        <w:rPr>
          <w:color w:val="000000"/>
          <w:lang w:val="en-US"/>
        </w:rPr>
        <w:t xml:space="preserve"> and </w:t>
      </w:r>
      <w:proofErr w:type="spellStart"/>
      <w:r w:rsidRPr="00654E07">
        <w:rPr>
          <w:color w:val="000000"/>
          <w:lang w:val="en-US"/>
        </w:rPr>
        <w:t>Lionello</w:t>
      </w:r>
      <w:proofErr w:type="spellEnd"/>
      <w:r w:rsidRPr="00654E07">
        <w:rPr>
          <w:color w:val="000000"/>
          <w:lang w:val="en-US"/>
        </w:rPr>
        <w:t xml:space="preserve"> </w:t>
      </w:r>
      <w:proofErr w:type="spellStart"/>
      <w:r w:rsidRPr="00654E07">
        <w:rPr>
          <w:color w:val="000000"/>
          <w:lang w:val="en-US"/>
        </w:rPr>
        <w:t>Puppi</w:t>
      </w:r>
      <w:proofErr w:type="spellEnd"/>
      <w:r w:rsidRPr="00654E07">
        <w:rPr>
          <w:color w:val="000000"/>
          <w:lang w:val="en-US"/>
        </w:rPr>
        <w:t xml:space="preserve"> (Milano: </w:t>
      </w:r>
      <w:proofErr w:type="spellStart"/>
      <w:r w:rsidRPr="00654E07">
        <w:rPr>
          <w:color w:val="000000"/>
          <w:lang w:val="en-US"/>
        </w:rPr>
        <w:t>Skira</w:t>
      </w:r>
      <w:proofErr w:type="spellEnd"/>
      <w:r w:rsidRPr="00654E07">
        <w:rPr>
          <w:color w:val="000000"/>
          <w:lang w:val="en-US"/>
        </w:rPr>
        <w:t>, 2009), 421–23, esp. 422.</w:t>
      </w:r>
    </w:p>
  </w:footnote>
  <w:footnote w:id="615">
    <w:p w14:paraId="39727C5C" w14:textId="77777777" w:rsidR="00182EED" w:rsidRDefault="00182EED" w:rsidP="00094F64">
      <w:pPr>
        <w:pStyle w:val="FootnoteText"/>
      </w:pPr>
      <w:r w:rsidRPr="00591949">
        <w:rPr>
          <w:rStyle w:val="FootnoteReference"/>
        </w:rPr>
        <w:footnoteRef/>
      </w:r>
      <w:r>
        <w:t xml:space="preserve"> </w:t>
      </w:r>
      <w:r w:rsidRPr="00FC35BE">
        <w:rPr>
          <w:color w:val="000000"/>
          <w:lang w:val="en-US"/>
        </w:rPr>
        <w:t xml:space="preserve">Nicholas Penny, </w:t>
      </w:r>
      <w:r w:rsidRPr="00FC35BE">
        <w:rPr>
          <w:i/>
          <w:iCs/>
          <w:color w:val="000000"/>
          <w:lang w:val="en-US"/>
        </w:rPr>
        <w:t xml:space="preserve">National Gallery Catalogues the Sixteenth Century Italian Paintings: Volume </w:t>
      </w:r>
      <w:r w:rsidRPr="00FC35BE">
        <w:rPr>
          <w:i/>
          <w:iCs/>
          <w:color w:val="000000"/>
          <w:lang w:val="en-US"/>
        </w:rPr>
        <w:t>II : Venice 1540-1600</w:t>
      </w:r>
      <w:r w:rsidRPr="00FC35BE">
        <w:rPr>
          <w:color w:val="000000"/>
          <w:lang w:val="en-US"/>
        </w:rPr>
        <w:t xml:space="preserve"> (London: National Gallery Company, 2008), 298.</w:t>
      </w:r>
    </w:p>
  </w:footnote>
  <w:footnote w:id="616">
    <w:p w14:paraId="781996FB" w14:textId="77777777" w:rsidR="00182EED" w:rsidRDefault="00182EED" w:rsidP="00094F64">
      <w:pPr>
        <w:pStyle w:val="FootnoteText"/>
      </w:pPr>
      <w:r w:rsidRPr="00591949">
        <w:rPr>
          <w:rStyle w:val="FootnoteReference"/>
        </w:rPr>
        <w:footnoteRef/>
      </w:r>
      <w:r>
        <w:t xml:space="preserve"> </w:t>
      </w:r>
      <w:r w:rsidRPr="00F54B80">
        <w:rPr>
          <w:color w:val="000000"/>
          <w:lang w:val="en-US"/>
        </w:rPr>
        <w:t xml:space="preserve">Lightbown, </w:t>
      </w:r>
      <w:r w:rsidRPr="00F54B80">
        <w:rPr>
          <w:i/>
          <w:iCs/>
          <w:color w:val="000000"/>
          <w:lang w:val="en-US"/>
        </w:rPr>
        <w:t>Sandro Botticelli: Life and Work</w:t>
      </w:r>
      <w:r w:rsidRPr="00F54B80">
        <w:rPr>
          <w:color w:val="000000"/>
          <w:lang w:val="en-US"/>
        </w:rPr>
        <w:t xml:space="preserve">, vol.2 c25; Ruben </w:t>
      </w:r>
      <w:proofErr w:type="spellStart"/>
      <w:r w:rsidRPr="00F54B80">
        <w:rPr>
          <w:color w:val="000000"/>
          <w:lang w:val="en-US"/>
        </w:rPr>
        <w:t>Rebmann</w:t>
      </w:r>
      <w:proofErr w:type="spellEnd"/>
      <w:r w:rsidRPr="00F54B80">
        <w:rPr>
          <w:color w:val="000000"/>
          <w:lang w:val="en-US"/>
        </w:rPr>
        <w:t xml:space="preserve">, “Entries 124,125,” in </w:t>
      </w:r>
      <w:r w:rsidRPr="00F54B80">
        <w:rPr>
          <w:i/>
          <w:iCs/>
          <w:color w:val="000000"/>
          <w:lang w:val="en-US"/>
        </w:rPr>
        <w:t>Botticelli Reimagined</w:t>
      </w:r>
      <w:r w:rsidRPr="00F54B80">
        <w:rPr>
          <w:color w:val="000000"/>
          <w:lang w:val="en-US"/>
        </w:rPr>
        <w:t xml:space="preserve">, ed. Mark Evans, Stefan </w:t>
      </w:r>
      <w:proofErr w:type="spellStart"/>
      <w:r w:rsidRPr="00F54B80">
        <w:rPr>
          <w:color w:val="000000"/>
          <w:lang w:val="en-US"/>
        </w:rPr>
        <w:t>Weppelmann</w:t>
      </w:r>
      <w:proofErr w:type="spellEnd"/>
      <w:r w:rsidRPr="00F54B80">
        <w:rPr>
          <w:color w:val="000000"/>
          <w:lang w:val="en-US"/>
        </w:rPr>
        <w:t xml:space="preserve">, and Ana </w:t>
      </w:r>
      <w:proofErr w:type="spellStart"/>
      <w:r w:rsidRPr="00F54B80">
        <w:rPr>
          <w:color w:val="000000"/>
          <w:lang w:val="en-US"/>
        </w:rPr>
        <w:t>Debenedetti</w:t>
      </w:r>
      <w:proofErr w:type="spellEnd"/>
      <w:r w:rsidRPr="00F54B80">
        <w:rPr>
          <w:color w:val="000000"/>
          <w:lang w:val="en-US"/>
        </w:rPr>
        <w:t xml:space="preserve"> (London: V &amp; A Publishing, 2016), 274–75.</w:t>
      </w:r>
    </w:p>
  </w:footnote>
  <w:footnote w:id="617">
    <w:p w14:paraId="08C218EB" w14:textId="77777777" w:rsidR="00182EED" w:rsidRDefault="00182EED" w:rsidP="00094F64">
      <w:pPr>
        <w:pStyle w:val="FootnoteText"/>
      </w:pPr>
      <w:r w:rsidRPr="00591949">
        <w:rPr>
          <w:rStyle w:val="FootnoteReference"/>
        </w:rPr>
        <w:footnoteRef/>
      </w:r>
      <w:r>
        <w:t xml:space="preserve"> </w:t>
      </w:r>
      <w:r w:rsidRPr="00FC35BE">
        <w:rPr>
          <w:color w:val="000000"/>
          <w:lang w:val="en-US"/>
        </w:rPr>
        <w:t xml:space="preserve">The earliest mention in the sixteenth century of a tactus composed by an upwards and downwards movement can be found in Martin Agricola’s </w:t>
      </w:r>
      <w:proofErr w:type="spellStart"/>
      <w:r w:rsidRPr="00FC35BE">
        <w:rPr>
          <w:i/>
          <w:iCs/>
          <w:color w:val="000000"/>
          <w:lang w:val="en-US"/>
        </w:rPr>
        <w:t>Musica</w:t>
      </w:r>
      <w:proofErr w:type="spellEnd"/>
      <w:r w:rsidRPr="00FC35BE">
        <w:rPr>
          <w:i/>
          <w:iCs/>
          <w:color w:val="000000"/>
          <w:lang w:val="en-US"/>
        </w:rPr>
        <w:t xml:space="preserve"> </w:t>
      </w:r>
      <w:proofErr w:type="spellStart"/>
      <w:r w:rsidRPr="00FC35BE">
        <w:rPr>
          <w:i/>
          <w:iCs/>
          <w:color w:val="000000"/>
          <w:lang w:val="en-US"/>
        </w:rPr>
        <w:t>figuralis</w:t>
      </w:r>
      <w:proofErr w:type="spellEnd"/>
      <w:r w:rsidRPr="00FC35BE">
        <w:rPr>
          <w:i/>
          <w:iCs/>
          <w:color w:val="000000"/>
          <w:lang w:val="en-US"/>
        </w:rPr>
        <w:t xml:space="preserve"> </w:t>
      </w:r>
      <w:proofErr w:type="spellStart"/>
      <w:r w:rsidRPr="00FC35BE">
        <w:rPr>
          <w:i/>
          <w:iCs/>
          <w:color w:val="000000"/>
          <w:lang w:val="en-US"/>
        </w:rPr>
        <w:t>deudsch</w:t>
      </w:r>
      <w:proofErr w:type="spellEnd"/>
      <w:r w:rsidRPr="00FC35BE">
        <w:rPr>
          <w:color w:val="000000"/>
          <w:lang w:val="en-US"/>
        </w:rPr>
        <w:t xml:space="preserve"> (1532), who described the tactus as a motion of the hand of the singer, lowering and raising it: “The beat, as it is usually understood, is a steady and measured motion of the hand of the singer, by means of which–like a gauge–the note of song are measured in accordance with the [mensuration] signs” (“Der Tact odder </w:t>
      </w:r>
      <w:proofErr w:type="spellStart"/>
      <w:r w:rsidRPr="00FC35BE">
        <w:rPr>
          <w:color w:val="000000"/>
          <w:lang w:val="en-US"/>
        </w:rPr>
        <w:t>Schlag</w:t>
      </w:r>
      <w:proofErr w:type="spellEnd"/>
      <w:r w:rsidRPr="00FC35BE">
        <w:rPr>
          <w:color w:val="000000"/>
          <w:lang w:val="en-US"/>
        </w:rPr>
        <w:t xml:space="preserve">, </w:t>
      </w:r>
      <w:proofErr w:type="spellStart"/>
      <w:r w:rsidRPr="00FC35BE">
        <w:rPr>
          <w:color w:val="000000"/>
          <w:lang w:val="en-US"/>
        </w:rPr>
        <w:t>wie</w:t>
      </w:r>
      <w:proofErr w:type="spellEnd"/>
      <w:r w:rsidRPr="00FC35BE">
        <w:rPr>
          <w:color w:val="000000"/>
          <w:lang w:val="en-US"/>
        </w:rPr>
        <w:t xml:space="preserve"> </w:t>
      </w:r>
      <w:proofErr w:type="spellStart"/>
      <w:r w:rsidRPr="00FC35BE">
        <w:rPr>
          <w:color w:val="000000"/>
          <w:lang w:val="en-US"/>
        </w:rPr>
        <w:t>er</w:t>
      </w:r>
      <w:proofErr w:type="spellEnd"/>
      <w:r w:rsidRPr="00FC35BE">
        <w:rPr>
          <w:color w:val="000000"/>
          <w:lang w:val="en-US"/>
        </w:rPr>
        <w:t xml:space="preserve"> </w:t>
      </w:r>
      <w:proofErr w:type="spellStart"/>
      <w:r w:rsidRPr="00FC35BE">
        <w:rPr>
          <w:color w:val="000000"/>
          <w:lang w:val="en-US"/>
        </w:rPr>
        <w:t>alhie</w:t>
      </w:r>
      <w:proofErr w:type="spellEnd"/>
      <w:r w:rsidRPr="00FC35BE">
        <w:rPr>
          <w:color w:val="000000"/>
          <w:lang w:val="en-US"/>
        </w:rPr>
        <w:t xml:space="preserve"> </w:t>
      </w:r>
      <w:proofErr w:type="spellStart"/>
      <w:r w:rsidRPr="00FC35BE">
        <w:rPr>
          <w:color w:val="000000"/>
          <w:lang w:val="en-US"/>
        </w:rPr>
        <w:t>genomen</w:t>
      </w:r>
      <w:proofErr w:type="spellEnd"/>
      <w:r w:rsidRPr="00FC35BE">
        <w:rPr>
          <w:color w:val="000000"/>
          <w:lang w:val="en-US"/>
        </w:rPr>
        <w:t xml:space="preserve"> </w:t>
      </w:r>
      <w:proofErr w:type="spellStart"/>
      <w:r w:rsidRPr="00FC35BE">
        <w:rPr>
          <w:color w:val="000000"/>
          <w:lang w:val="en-US"/>
        </w:rPr>
        <w:t>wird</w:t>
      </w:r>
      <w:proofErr w:type="spellEnd"/>
      <w:r w:rsidRPr="00FC35BE">
        <w:rPr>
          <w:color w:val="000000"/>
          <w:lang w:val="en-US"/>
        </w:rPr>
        <w:t xml:space="preserve"> </w:t>
      </w:r>
      <w:proofErr w:type="spellStart"/>
      <w:r w:rsidRPr="00FC35BE">
        <w:rPr>
          <w:color w:val="000000"/>
          <w:lang w:val="en-US"/>
        </w:rPr>
        <w:t>ist</w:t>
      </w:r>
      <w:proofErr w:type="spellEnd"/>
      <w:r w:rsidRPr="00FC35BE">
        <w:rPr>
          <w:color w:val="000000"/>
          <w:lang w:val="en-US"/>
        </w:rPr>
        <w:t xml:space="preserve"> </w:t>
      </w:r>
      <w:proofErr w:type="spellStart"/>
      <w:r w:rsidRPr="00FC35BE">
        <w:rPr>
          <w:color w:val="000000"/>
          <w:lang w:val="en-US"/>
        </w:rPr>
        <w:t>eine</w:t>
      </w:r>
      <w:proofErr w:type="spellEnd"/>
      <w:r w:rsidRPr="00FC35BE">
        <w:rPr>
          <w:color w:val="000000"/>
          <w:lang w:val="en-US"/>
        </w:rPr>
        <w:t xml:space="preserve"> </w:t>
      </w:r>
      <w:proofErr w:type="spellStart"/>
      <w:r w:rsidRPr="00FC35BE">
        <w:rPr>
          <w:color w:val="000000"/>
          <w:lang w:val="en-US"/>
        </w:rPr>
        <w:t>stete</w:t>
      </w:r>
      <w:proofErr w:type="spellEnd"/>
      <w:r w:rsidRPr="00FC35BE">
        <w:rPr>
          <w:color w:val="000000"/>
          <w:lang w:val="en-US"/>
        </w:rPr>
        <w:t xml:space="preserve"> und </w:t>
      </w:r>
      <w:proofErr w:type="spellStart"/>
      <w:r w:rsidRPr="00FC35BE">
        <w:rPr>
          <w:color w:val="000000"/>
          <w:lang w:val="en-US"/>
        </w:rPr>
        <w:t>messige</w:t>
      </w:r>
      <w:proofErr w:type="spellEnd"/>
      <w:r w:rsidRPr="00FC35BE">
        <w:rPr>
          <w:color w:val="000000"/>
          <w:lang w:val="en-US"/>
        </w:rPr>
        <w:t xml:space="preserve"> </w:t>
      </w:r>
      <w:proofErr w:type="spellStart"/>
      <w:r w:rsidRPr="00FC35BE">
        <w:rPr>
          <w:color w:val="000000"/>
          <w:lang w:val="en-US"/>
        </w:rPr>
        <w:t>bewegung</w:t>
      </w:r>
      <w:proofErr w:type="spellEnd"/>
      <w:r w:rsidRPr="00FC35BE">
        <w:rPr>
          <w:color w:val="000000"/>
          <w:lang w:val="en-US"/>
        </w:rPr>
        <w:t xml:space="preserve"> der hand des </w:t>
      </w:r>
      <w:proofErr w:type="spellStart"/>
      <w:r w:rsidRPr="00FC35BE">
        <w:rPr>
          <w:color w:val="000000"/>
          <w:lang w:val="en-US"/>
        </w:rPr>
        <w:t>sengers</w:t>
      </w:r>
      <w:proofErr w:type="spellEnd"/>
      <w:r w:rsidRPr="00FC35BE">
        <w:rPr>
          <w:color w:val="000000"/>
          <w:lang w:val="en-US"/>
        </w:rPr>
        <w:t xml:space="preserve">, </w:t>
      </w:r>
      <w:proofErr w:type="spellStart"/>
      <w:r w:rsidRPr="00FC35BE">
        <w:rPr>
          <w:color w:val="000000"/>
          <w:lang w:val="en-US"/>
        </w:rPr>
        <w:t>durch</w:t>
      </w:r>
      <w:proofErr w:type="spellEnd"/>
      <w:r w:rsidRPr="00FC35BE">
        <w:rPr>
          <w:color w:val="000000"/>
          <w:lang w:val="en-US"/>
        </w:rPr>
        <w:t xml:space="preserve"> </w:t>
      </w:r>
      <w:proofErr w:type="spellStart"/>
      <w:r w:rsidRPr="00FC35BE">
        <w:rPr>
          <w:color w:val="000000"/>
          <w:lang w:val="en-US"/>
        </w:rPr>
        <w:t>welche</w:t>
      </w:r>
      <w:proofErr w:type="spellEnd"/>
      <w:r w:rsidRPr="00FC35BE">
        <w:rPr>
          <w:color w:val="000000"/>
          <w:lang w:val="en-US"/>
        </w:rPr>
        <w:t xml:space="preserve"> </w:t>
      </w:r>
      <w:proofErr w:type="spellStart"/>
      <w:r w:rsidRPr="00FC35BE">
        <w:rPr>
          <w:color w:val="000000"/>
          <w:lang w:val="en-US"/>
        </w:rPr>
        <w:t>gleichsam</w:t>
      </w:r>
      <w:proofErr w:type="spellEnd"/>
      <w:r w:rsidRPr="00FC35BE">
        <w:rPr>
          <w:color w:val="000000"/>
          <w:lang w:val="en-US"/>
        </w:rPr>
        <w:t xml:space="preserve"> in </w:t>
      </w:r>
      <w:proofErr w:type="spellStart"/>
      <w:r w:rsidRPr="00FC35BE">
        <w:rPr>
          <w:color w:val="000000"/>
          <w:lang w:val="en-US"/>
        </w:rPr>
        <w:t>richtscheit</w:t>
      </w:r>
      <w:proofErr w:type="spellEnd"/>
      <w:r w:rsidRPr="00FC35BE">
        <w:rPr>
          <w:color w:val="000000"/>
          <w:lang w:val="en-US"/>
        </w:rPr>
        <w:t xml:space="preserve">, </w:t>
      </w:r>
      <w:proofErr w:type="spellStart"/>
      <w:r w:rsidRPr="00FC35BE">
        <w:rPr>
          <w:color w:val="000000"/>
          <w:lang w:val="en-US"/>
        </w:rPr>
        <w:t>nach</w:t>
      </w:r>
      <w:proofErr w:type="spellEnd"/>
      <w:r w:rsidRPr="00FC35BE">
        <w:rPr>
          <w:color w:val="000000"/>
          <w:lang w:val="en-US"/>
        </w:rPr>
        <w:t xml:space="preserve"> </w:t>
      </w:r>
      <w:proofErr w:type="spellStart"/>
      <w:r w:rsidRPr="00FC35BE">
        <w:rPr>
          <w:color w:val="000000"/>
          <w:lang w:val="en-US"/>
        </w:rPr>
        <w:t>ausweisung</w:t>
      </w:r>
      <w:proofErr w:type="spellEnd"/>
      <w:r w:rsidRPr="00FC35BE">
        <w:rPr>
          <w:color w:val="000000"/>
          <w:lang w:val="en-US"/>
        </w:rPr>
        <w:t xml:space="preserve"> der </w:t>
      </w:r>
      <w:proofErr w:type="spellStart"/>
      <w:r w:rsidRPr="00FC35BE">
        <w:rPr>
          <w:color w:val="000000"/>
          <w:lang w:val="en-US"/>
        </w:rPr>
        <w:t>zeichen</w:t>
      </w:r>
      <w:proofErr w:type="spellEnd"/>
      <w:r w:rsidRPr="00FC35BE">
        <w:rPr>
          <w:color w:val="000000"/>
          <w:lang w:val="en-US"/>
        </w:rPr>
        <w:t xml:space="preserve">, die </w:t>
      </w:r>
      <w:proofErr w:type="spellStart"/>
      <w:r w:rsidRPr="00FC35BE">
        <w:rPr>
          <w:color w:val="000000"/>
          <w:lang w:val="en-US"/>
        </w:rPr>
        <w:t>gleicheit</w:t>
      </w:r>
      <w:proofErr w:type="spellEnd"/>
      <w:r w:rsidRPr="00FC35BE">
        <w:rPr>
          <w:color w:val="000000"/>
          <w:lang w:val="en-US"/>
        </w:rPr>
        <w:t xml:space="preserve"> der </w:t>
      </w:r>
      <w:proofErr w:type="spellStart"/>
      <w:r w:rsidRPr="00FC35BE">
        <w:rPr>
          <w:color w:val="000000"/>
          <w:lang w:val="en-US"/>
        </w:rPr>
        <w:t>stymmen</w:t>
      </w:r>
      <w:proofErr w:type="spellEnd"/>
      <w:r w:rsidRPr="00FC35BE">
        <w:rPr>
          <w:color w:val="000000"/>
          <w:lang w:val="en-US"/>
        </w:rPr>
        <w:t xml:space="preserve"> und </w:t>
      </w:r>
      <w:proofErr w:type="spellStart"/>
      <w:r w:rsidRPr="00FC35BE">
        <w:rPr>
          <w:color w:val="000000"/>
          <w:lang w:val="en-US"/>
        </w:rPr>
        <w:t>Noten</w:t>
      </w:r>
      <w:proofErr w:type="spellEnd"/>
      <w:r w:rsidRPr="00FC35BE">
        <w:rPr>
          <w:color w:val="000000"/>
          <w:lang w:val="en-US"/>
        </w:rPr>
        <w:t xml:space="preserve"> des </w:t>
      </w:r>
      <w:proofErr w:type="spellStart"/>
      <w:r w:rsidRPr="00FC35BE">
        <w:rPr>
          <w:color w:val="000000"/>
          <w:lang w:val="en-US"/>
        </w:rPr>
        <w:t>gesangs</w:t>
      </w:r>
      <w:proofErr w:type="spellEnd"/>
      <w:r w:rsidRPr="00FC35BE">
        <w:rPr>
          <w:color w:val="000000"/>
          <w:lang w:val="en-US"/>
        </w:rPr>
        <w:t xml:space="preserve"> </w:t>
      </w:r>
      <w:proofErr w:type="spellStart"/>
      <w:r w:rsidRPr="00FC35BE">
        <w:rPr>
          <w:color w:val="000000"/>
          <w:lang w:val="en-US"/>
        </w:rPr>
        <w:t>recht</w:t>
      </w:r>
      <w:proofErr w:type="spellEnd"/>
      <w:r w:rsidRPr="00FC35BE">
        <w:rPr>
          <w:color w:val="000000"/>
          <w:lang w:val="en-US"/>
        </w:rPr>
        <w:t xml:space="preserve"> </w:t>
      </w:r>
      <w:proofErr w:type="spellStart"/>
      <w:r w:rsidRPr="00FC35BE">
        <w:rPr>
          <w:color w:val="000000"/>
          <w:lang w:val="en-US"/>
        </w:rPr>
        <w:t>geleitet</w:t>
      </w:r>
      <w:proofErr w:type="spellEnd"/>
      <w:r w:rsidRPr="00FC35BE">
        <w:rPr>
          <w:color w:val="000000"/>
          <w:lang w:val="en-US"/>
        </w:rPr>
        <w:t xml:space="preserve"> und </w:t>
      </w:r>
      <w:proofErr w:type="spellStart"/>
      <w:r w:rsidRPr="00FC35BE">
        <w:rPr>
          <w:color w:val="000000"/>
          <w:lang w:val="en-US"/>
        </w:rPr>
        <w:t>gemessen</w:t>
      </w:r>
      <w:proofErr w:type="spellEnd"/>
      <w:r w:rsidRPr="00FC35BE">
        <w:rPr>
          <w:color w:val="000000"/>
          <w:lang w:val="en-US"/>
        </w:rPr>
        <w:t xml:space="preserve"> </w:t>
      </w:r>
      <w:proofErr w:type="spellStart"/>
      <w:r w:rsidRPr="00FC35BE">
        <w:rPr>
          <w:color w:val="000000"/>
          <w:lang w:val="en-US"/>
        </w:rPr>
        <w:t>wird</w:t>
      </w:r>
      <w:proofErr w:type="spellEnd"/>
      <w:r w:rsidRPr="00FC35BE">
        <w:rPr>
          <w:color w:val="000000"/>
          <w:lang w:val="en-US"/>
        </w:rPr>
        <w:t xml:space="preserve">.”) Quoted in Roger Mathew Grant, </w:t>
      </w:r>
      <w:r w:rsidRPr="00FC35BE">
        <w:rPr>
          <w:i/>
          <w:iCs/>
          <w:color w:val="000000"/>
          <w:lang w:val="en-US"/>
        </w:rPr>
        <w:t>Beating Time and Measuring Music in Early Modern Era</w:t>
      </w:r>
      <w:r w:rsidRPr="00FC35BE">
        <w:rPr>
          <w:color w:val="000000"/>
          <w:lang w:val="en-US"/>
        </w:rPr>
        <w:t xml:space="preserve"> (New York: Oxford University Press, 2014), 19; </w:t>
      </w:r>
      <w:proofErr w:type="spellStart"/>
      <w:r w:rsidRPr="00FC35BE">
        <w:rPr>
          <w:color w:val="000000"/>
          <w:lang w:val="en-US"/>
        </w:rPr>
        <w:t>Zarlino</w:t>
      </w:r>
      <w:proofErr w:type="spellEnd"/>
      <w:r w:rsidRPr="00FC35BE">
        <w:rPr>
          <w:color w:val="000000"/>
          <w:lang w:val="en-US"/>
        </w:rPr>
        <w:t xml:space="preserve"> states that: “such a sign was best when it was made by the hand in a way visible to all the singers” (Et </w:t>
      </w:r>
      <w:proofErr w:type="spellStart"/>
      <w:r w:rsidRPr="00FC35BE">
        <w:rPr>
          <w:color w:val="000000"/>
          <w:lang w:val="en-US"/>
        </w:rPr>
        <w:t>s’imaginarono</w:t>
      </w:r>
      <w:proofErr w:type="spellEnd"/>
      <w:r w:rsidRPr="00FC35BE">
        <w:rPr>
          <w:color w:val="000000"/>
          <w:lang w:val="en-US"/>
        </w:rPr>
        <w:t xml:space="preserve"> </w:t>
      </w:r>
      <w:proofErr w:type="spellStart"/>
      <w:r w:rsidRPr="00FC35BE">
        <w:rPr>
          <w:color w:val="000000"/>
          <w:lang w:val="en-US"/>
        </w:rPr>
        <w:t>che</w:t>
      </w:r>
      <w:proofErr w:type="spellEnd"/>
      <w:r w:rsidRPr="00FC35BE">
        <w:rPr>
          <w:color w:val="000000"/>
          <w:lang w:val="en-US"/>
        </w:rPr>
        <w:t xml:space="preserve"> </w:t>
      </w:r>
      <w:proofErr w:type="spellStart"/>
      <w:r w:rsidRPr="00FC35BE">
        <w:rPr>
          <w:color w:val="000000"/>
          <w:lang w:val="en-US"/>
        </w:rPr>
        <w:t>fusse</w:t>
      </w:r>
      <w:proofErr w:type="spellEnd"/>
      <w:r w:rsidRPr="00FC35BE">
        <w:rPr>
          <w:color w:val="000000"/>
          <w:lang w:val="en-US"/>
        </w:rPr>
        <w:t xml:space="preserve"> bene, se </w:t>
      </w:r>
      <w:proofErr w:type="spellStart"/>
      <w:r w:rsidRPr="00FC35BE">
        <w:rPr>
          <w:color w:val="000000"/>
          <w:lang w:val="en-US"/>
        </w:rPr>
        <w:t>cotal</w:t>
      </w:r>
      <w:proofErr w:type="spellEnd"/>
      <w:r w:rsidRPr="00FC35BE">
        <w:rPr>
          <w:color w:val="000000"/>
          <w:lang w:val="en-US"/>
        </w:rPr>
        <w:t xml:space="preserve"> segno </w:t>
      </w:r>
      <w:proofErr w:type="spellStart"/>
      <w:r w:rsidRPr="00FC35BE">
        <w:rPr>
          <w:color w:val="000000"/>
          <w:lang w:val="en-US"/>
        </w:rPr>
        <w:t>fusse</w:t>
      </w:r>
      <w:proofErr w:type="spellEnd"/>
      <w:r w:rsidRPr="00FC35BE">
        <w:rPr>
          <w:color w:val="000000"/>
          <w:lang w:val="en-US"/>
        </w:rPr>
        <w:t xml:space="preserve"> </w:t>
      </w:r>
      <w:proofErr w:type="spellStart"/>
      <w:r w:rsidRPr="00FC35BE">
        <w:rPr>
          <w:color w:val="000000"/>
          <w:lang w:val="en-US"/>
        </w:rPr>
        <w:t>fatto</w:t>
      </w:r>
      <w:proofErr w:type="spellEnd"/>
      <w:r w:rsidRPr="00FC35BE">
        <w:rPr>
          <w:color w:val="000000"/>
          <w:lang w:val="en-US"/>
        </w:rPr>
        <w:t xml:space="preserve"> con la mano; </w:t>
      </w:r>
      <w:proofErr w:type="spellStart"/>
      <w:r w:rsidRPr="00FC35BE">
        <w:rPr>
          <w:color w:val="000000"/>
          <w:lang w:val="en-US"/>
        </w:rPr>
        <w:t>accioche</w:t>
      </w:r>
      <w:proofErr w:type="spellEnd"/>
      <w:r w:rsidRPr="00FC35BE">
        <w:rPr>
          <w:color w:val="000000"/>
          <w:lang w:val="en-US"/>
        </w:rPr>
        <w:t xml:space="preserve"> </w:t>
      </w:r>
      <w:proofErr w:type="spellStart"/>
      <w:r w:rsidRPr="00FC35BE">
        <w:rPr>
          <w:color w:val="000000"/>
          <w:lang w:val="en-US"/>
        </w:rPr>
        <w:t>ogn’uno</w:t>
      </w:r>
      <w:proofErr w:type="spellEnd"/>
      <w:r w:rsidRPr="00FC35BE">
        <w:rPr>
          <w:color w:val="000000"/>
          <w:lang w:val="en-US"/>
        </w:rPr>
        <w:t xml:space="preserve"> de </w:t>
      </w:r>
      <w:proofErr w:type="spellStart"/>
      <w:r w:rsidRPr="00FC35BE">
        <w:rPr>
          <w:color w:val="000000"/>
          <w:lang w:val="en-US"/>
        </w:rPr>
        <w:t>i</w:t>
      </w:r>
      <w:proofErr w:type="spellEnd"/>
      <w:r w:rsidRPr="00FC35BE">
        <w:rPr>
          <w:color w:val="000000"/>
          <w:lang w:val="en-US"/>
        </w:rPr>
        <w:t xml:space="preserve"> </w:t>
      </w:r>
      <w:proofErr w:type="spellStart"/>
      <w:r w:rsidRPr="00FC35BE">
        <w:rPr>
          <w:color w:val="000000"/>
          <w:lang w:val="en-US"/>
        </w:rPr>
        <w:t>cantori</w:t>
      </w:r>
      <w:proofErr w:type="spellEnd"/>
      <w:r w:rsidRPr="00FC35BE">
        <w:rPr>
          <w:color w:val="000000"/>
          <w:lang w:val="en-US"/>
        </w:rPr>
        <w:t xml:space="preserve"> lo </w:t>
      </w:r>
      <w:proofErr w:type="spellStart"/>
      <w:r w:rsidRPr="00FC35BE">
        <w:rPr>
          <w:color w:val="000000"/>
          <w:lang w:val="en-US"/>
        </w:rPr>
        <w:t>potesse</w:t>
      </w:r>
      <w:proofErr w:type="spellEnd"/>
      <w:r w:rsidRPr="00FC35BE">
        <w:rPr>
          <w:color w:val="000000"/>
          <w:lang w:val="en-US"/>
        </w:rPr>
        <w:t xml:space="preserve"> </w:t>
      </w:r>
      <w:proofErr w:type="spellStart"/>
      <w:r w:rsidRPr="00FC35BE">
        <w:rPr>
          <w:color w:val="000000"/>
          <w:lang w:val="en-US"/>
        </w:rPr>
        <w:t>vedere</w:t>
      </w:r>
      <w:proofErr w:type="spellEnd"/>
      <w:r w:rsidRPr="00FC35BE">
        <w:rPr>
          <w:color w:val="000000"/>
          <w:lang w:val="en-US"/>
        </w:rPr>
        <w:t xml:space="preserve">”). </w:t>
      </w:r>
      <w:proofErr w:type="spellStart"/>
      <w:r w:rsidRPr="00FC35BE">
        <w:rPr>
          <w:color w:val="000000"/>
          <w:lang w:val="en-US"/>
        </w:rPr>
        <w:t>Gioseffo</w:t>
      </w:r>
      <w:proofErr w:type="spellEnd"/>
      <w:r w:rsidRPr="00FC35BE">
        <w:rPr>
          <w:color w:val="000000"/>
          <w:lang w:val="en-US"/>
        </w:rPr>
        <w:t xml:space="preserve"> </w:t>
      </w:r>
      <w:proofErr w:type="spellStart"/>
      <w:r w:rsidRPr="00FC35BE">
        <w:rPr>
          <w:color w:val="000000"/>
          <w:lang w:val="en-US"/>
        </w:rPr>
        <w:t>Zarlino</w:t>
      </w:r>
      <w:proofErr w:type="spellEnd"/>
      <w:r w:rsidRPr="00FC35BE">
        <w:rPr>
          <w:color w:val="000000"/>
          <w:lang w:val="en-US"/>
        </w:rPr>
        <w:t xml:space="preserve">, </w:t>
      </w:r>
      <w:r w:rsidRPr="00FC35BE">
        <w:rPr>
          <w:i/>
          <w:iCs/>
          <w:color w:val="000000"/>
          <w:lang w:val="en-US"/>
        </w:rPr>
        <w:t xml:space="preserve">La terza </w:t>
      </w:r>
      <w:proofErr w:type="spellStart"/>
      <w:r w:rsidRPr="00FC35BE">
        <w:rPr>
          <w:i/>
          <w:iCs/>
          <w:color w:val="000000"/>
          <w:lang w:val="en-US"/>
        </w:rPr>
        <w:t>parte</w:t>
      </w:r>
      <w:proofErr w:type="spellEnd"/>
      <w:r w:rsidRPr="00FC35BE">
        <w:rPr>
          <w:i/>
          <w:iCs/>
          <w:color w:val="000000"/>
          <w:lang w:val="en-US"/>
        </w:rPr>
        <w:t xml:space="preserve"> </w:t>
      </w:r>
      <w:proofErr w:type="spellStart"/>
      <w:r w:rsidRPr="00FC35BE">
        <w:rPr>
          <w:i/>
          <w:iCs/>
          <w:color w:val="000000"/>
          <w:lang w:val="en-US"/>
        </w:rPr>
        <w:t>delle</w:t>
      </w:r>
      <w:proofErr w:type="spellEnd"/>
      <w:r w:rsidRPr="00FC35BE">
        <w:rPr>
          <w:i/>
          <w:iCs/>
          <w:color w:val="000000"/>
          <w:lang w:val="en-US"/>
        </w:rPr>
        <w:t xml:space="preserve"> </w:t>
      </w:r>
      <w:proofErr w:type="spellStart"/>
      <w:r w:rsidRPr="00FC35BE">
        <w:rPr>
          <w:i/>
          <w:iCs/>
          <w:color w:val="000000"/>
          <w:lang w:val="en-US"/>
        </w:rPr>
        <w:t>istituizioni</w:t>
      </w:r>
      <w:proofErr w:type="spellEnd"/>
      <w:r w:rsidRPr="00FC35BE">
        <w:rPr>
          <w:i/>
          <w:iCs/>
          <w:color w:val="000000"/>
          <w:lang w:val="en-US"/>
        </w:rPr>
        <w:t xml:space="preserve"> </w:t>
      </w:r>
      <w:proofErr w:type="spellStart"/>
      <w:r w:rsidRPr="00FC35BE">
        <w:rPr>
          <w:i/>
          <w:iCs/>
          <w:color w:val="000000"/>
          <w:lang w:val="en-US"/>
        </w:rPr>
        <w:t>harmoniche</w:t>
      </w:r>
      <w:proofErr w:type="spellEnd"/>
      <w:r w:rsidRPr="00FC35BE">
        <w:rPr>
          <w:color w:val="000000"/>
          <w:lang w:val="en-US"/>
        </w:rPr>
        <w:t xml:space="preserve">. Venice 1588, quoted in Alison </w:t>
      </w:r>
      <w:proofErr w:type="spellStart"/>
      <w:r w:rsidRPr="00FC35BE">
        <w:rPr>
          <w:color w:val="000000"/>
          <w:lang w:val="en-US"/>
        </w:rPr>
        <w:t>McLamore</w:t>
      </w:r>
      <w:proofErr w:type="spellEnd"/>
      <w:r w:rsidRPr="00FC35BE">
        <w:rPr>
          <w:color w:val="000000"/>
          <w:lang w:val="en-US"/>
        </w:rPr>
        <w:t xml:space="preserve">, “A Tactus Primer,” in </w:t>
      </w:r>
      <w:proofErr w:type="spellStart"/>
      <w:r w:rsidRPr="00FC35BE">
        <w:rPr>
          <w:i/>
          <w:iCs/>
          <w:color w:val="000000"/>
          <w:lang w:val="en-US"/>
        </w:rPr>
        <w:t>Musica</w:t>
      </w:r>
      <w:proofErr w:type="spellEnd"/>
      <w:r w:rsidRPr="00FC35BE">
        <w:rPr>
          <w:i/>
          <w:iCs/>
          <w:color w:val="000000"/>
          <w:lang w:val="en-US"/>
        </w:rPr>
        <w:t xml:space="preserve"> Franca: Essays in Honor of Frank A. </w:t>
      </w:r>
      <w:proofErr w:type="spellStart"/>
      <w:r w:rsidRPr="00FC35BE">
        <w:rPr>
          <w:i/>
          <w:iCs/>
          <w:color w:val="000000"/>
          <w:lang w:val="en-US"/>
        </w:rPr>
        <w:t>D’Accone</w:t>
      </w:r>
      <w:proofErr w:type="spellEnd"/>
      <w:r w:rsidRPr="00FC35BE">
        <w:rPr>
          <w:color w:val="000000"/>
          <w:lang w:val="en-US"/>
        </w:rPr>
        <w:t xml:space="preserve">, ed. Irene </w:t>
      </w:r>
      <w:proofErr w:type="spellStart"/>
      <w:r w:rsidRPr="00FC35BE">
        <w:rPr>
          <w:color w:val="000000"/>
          <w:lang w:val="en-US"/>
        </w:rPr>
        <w:t>Alm</w:t>
      </w:r>
      <w:proofErr w:type="spellEnd"/>
      <w:r w:rsidRPr="00FC35BE">
        <w:rPr>
          <w:color w:val="000000"/>
          <w:lang w:val="en-US"/>
        </w:rPr>
        <w:t xml:space="preserve">, Alison </w:t>
      </w:r>
      <w:proofErr w:type="spellStart"/>
      <w:r w:rsidRPr="00FC35BE">
        <w:rPr>
          <w:color w:val="000000"/>
          <w:lang w:val="en-US"/>
        </w:rPr>
        <w:t>McLamore</w:t>
      </w:r>
      <w:proofErr w:type="spellEnd"/>
      <w:r w:rsidRPr="00FC35BE">
        <w:rPr>
          <w:color w:val="000000"/>
          <w:lang w:val="en-US"/>
        </w:rPr>
        <w:t xml:space="preserve">, and Colleen Reardon (Stuyvesant, N.Y: Pendragon Press, 1996), 302; and in Grant, </w:t>
      </w:r>
      <w:r w:rsidRPr="00FC35BE">
        <w:rPr>
          <w:i/>
          <w:iCs/>
          <w:color w:val="000000"/>
          <w:lang w:val="en-US"/>
        </w:rPr>
        <w:t>Beating Time and Measuring Music in Early Modern Era</w:t>
      </w:r>
      <w:r w:rsidRPr="00FC35BE">
        <w:rPr>
          <w:color w:val="000000"/>
          <w:lang w:val="en-US"/>
        </w:rPr>
        <w:t>, 23, 60 in a slightly different translation</w:t>
      </w:r>
      <w:r>
        <w:rPr>
          <w:color w:val="000000"/>
          <w:lang w:val="en-US"/>
        </w:rPr>
        <w:t>. S</w:t>
      </w:r>
      <w:r w:rsidRPr="00FC35BE">
        <w:rPr>
          <w:color w:val="000000"/>
          <w:lang w:val="en-US"/>
        </w:rPr>
        <w:t xml:space="preserve">ee also </w:t>
      </w:r>
      <w:proofErr w:type="spellStart"/>
      <w:r w:rsidRPr="00FC35BE">
        <w:rPr>
          <w:color w:val="000000"/>
          <w:lang w:val="en-US"/>
        </w:rPr>
        <w:t>Blachly</w:t>
      </w:r>
      <w:proofErr w:type="spellEnd"/>
      <w:r w:rsidRPr="00FC35BE">
        <w:rPr>
          <w:color w:val="000000"/>
          <w:lang w:val="en-US"/>
        </w:rPr>
        <w:t>, “</w:t>
      </w:r>
      <w:r w:rsidRPr="00FC35BE">
        <w:rPr>
          <w:i/>
          <w:iCs/>
          <w:color w:val="000000"/>
          <w:lang w:val="en-US"/>
        </w:rPr>
        <w:t>Mensura</w:t>
      </w:r>
      <w:r w:rsidRPr="00FC35BE">
        <w:rPr>
          <w:color w:val="000000"/>
          <w:lang w:val="en-US"/>
        </w:rPr>
        <w:t xml:space="preserve"> versus </w:t>
      </w:r>
      <w:r w:rsidRPr="00FC35BE">
        <w:rPr>
          <w:i/>
          <w:iCs/>
          <w:color w:val="000000"/>
          <w:lang w:val="en-US"/>
        </w:rPr>
        <w:t>Tactus</w:t>
      </w:r>
      <w:r w:rsidRPr="00FC35BE">
        <w:rPr>
          <w:color w:val="000000"/>
          <w:lang w:val="en-US"/>
        </w:rPr>
        <w:t>,” 427.</w:t>
      </w:r>
      <w:r w:rsidRPr="0047699F">
        <w:t xml:space="preserve"> </w:t>
      </w:r>
      <w:r w:rsidRPr="007D3C38">
        <w:t xml:space="preserve">Also Giovanni Maria </w:t>
      </w:r>
      <w:proofErr w:type="spellStart"/>
      <w:r w:rsidRPr="007D3C38">
        <w:t>Lanfranco</w:t>
      </w:r>
      <w:proofErr w:type="spellEnd"/>
      <w:r w:rsidRPr="007D3C38">
        <w:t xml:space="preserve"> in his </w:t>
      </w:r>
      <w:proofErr w:type="spellStart"/>
      <w:r w:rsidRPr="007D3C38">
        <w:rPr>
          <w:i/>
        </w:rPr>
        <w:t>Scintille</w:t>
      </w:r>
      <w:proofErr w:type="spellEnd"/>
      <w:r w:rsidRPr="007D3C38">
        <w:rPr>
          <w:i/>
        </w:rPr>
        <w:t xml:space="preserve"> di </w:t>
      </w:r>
      <w:proofErr w:type="spellStart"/>
      <w:r w:rsidRPr="007D3C38">
        <w:rPr>
          <w:i/>
        </w:rPr>
        <w:t>Musica</w:t>
      </w:r>
      <w:proofErr w:type="spellEnd"/>
      <w:r w:rsidRPr="007D3C38">
        <w:t xml:space="preserve"> (1533), Stephano </w:t>
      </w:r>
      <w:proofErr w:type="spellStart"/>
      <w:r w:rsidRPr="007D3C38">
        <w:t>Vanneo</w:t>
      </w:r>
      <w:proofErr w:type="spellEnd"/>
      <w:r w:rsidRPr="007D3C38">
        <w:t xml:space="preserve"> in his </w:t>
      </w:r>
      <w:proofErr w:type="spellStart"/>
      <w:r w:rsidRPr="007D3C38">
        <w:rPr>
          <w:i/>
        </w:rPr>
        <w:t>Recanetum</w:t>
      </w:r>
      <w:proofErr w:type="spellEnd"/>
      <w:r w:rsidRPr="007D3C38">
        <w:rPr>
          <w:i/>
        </w:rPr>
        <w:t xml:space="preserve"> de </w:t>
      </w:r>
      <w:proofErr w:type="spellStart"/>
      <w:r w:rsidRPr="007D3C38">
        <w:rPr>
          <w:i/>
        </w:rPr>
        <w:t>Musica</w:t>
      </w:r>
      <w:proofErr w:type="spellEnd"/>
      <w:r w:rsidRPr="007D3C38">
        <w:rPr>
          <w:i/>
        </w:rPr>
        <w:t xml:space="preserve"> </w:t>
      </w:r>
      <w:proofErr w:type="spellStart"/>
      <w:r w:rsidRPr="007D3C38">
        <w:rPr>
          <w:i/>
        </w:rPr>
        <w:t>aurea</w:t>
      </w:r>
      <w:proofErr w:type="spellEnd"/>
      <w:r w:rsidRPr="007D3C38">
        <w:rPr>
          <w:i/>
        </w:rPr>
        <w:t xml:space="preserve"> </w:t>
      </w:r>
      <w:r w:rsidRPr="007D3C38">
        <w:t xml:space="preserve">(1533) and </w:t>
      </w:r>
      <w:proofErr w:type="spellStart"/>
      <w:r w:rsidRPr="007D3C38">
        <w:t>Gioseffo</w:t>
      </w:r>
      <w:proofErr w:type="spellEnd"/>
      <w:r w:rsidRPr="007D3C38">
        <w:t xml:space="preserve"> </w:t>
      </w:r>
      <w:proofErr w:type="spellStart"/>
      <w:r w:rsidRPr="007D3C38">
        <w:t>Zarlino</w:t>
      </w:r>
      <w:proofErr w:type="spellEnd"/>
      <w:r w:rsidRPr="007D3C38">
        <w:t xml:space="preserve"> in his </w:t>
      </w:r>
      <w:proofErr w:type="spellStart"/>
      <w:r w:rsidRPr="007D3C38">
        <w:rPr>
          <w:i/>
        </w:rPr>
        <w:t>Istituzioni</w:t>
      </w:r>
      <w:proofErr w:type="spellEnd"/>
      <w:r w:rsidRPr="007D3C38">
        <w:rPr>
          <w:i/>
        </w:rPr>
        <w:t xml:space="preserve"> </w:t>
      </w:r>
      <w:proofErr w:type="spellStart"/>
      <w:r w:rsidRPr="007D3C38">
        <w:rPr>
          <w:i/>
        </w:rPr>
        <w:t>harmoniche</w:t>
      </w:r>
      <w:proofErr w:type="spellEnd"/>
      <w:r w:rsidRPr="007D3C38">
        <w:rPr>
          <w:i/>
        </w:rPr>
        <w:t xml:space="preserve"> </w:t>
      </w:r>
      <w:r w:rsidRPr="007D3C38">
        <w:t xml:space="preserve">(1558) wrote about </w:t>
      </w:r>
      <w:r w:rsidRPr="007D3C38">
        <w:rPr>
          <w:shd w:val="clear" w:color="auto" w:fill="FFFFFF"/>
        </w:rPr>
        <w:t>beating musical time with a visible motion of the hand in the air, downwards and upwards</w:t>
      </w:r>
      <w:r w:rsidRPr="007D3C38">
        <w:t xml:space="preserve">. See </w:t>
      </w:r>
      <w:proofErr w:type="spellStart"/>
      <w:r w:rsidRPr="00FC35BE">
        <w:rPr>
          <w:color w:val="000000"/>
          <w:lang w:val="en-US"/>
        </w:rPr>
        <w:t>Blachly</w:t>
      </w:r>
      <w:proofErr w:type="spellEnd"/>
      <w:r w:rsidRPr="00FC35BE">
        <w:rPr>
          <w:color w:val="000000"/>
          <w:lang w:val="en-US"/>
        </w:rPr>
        <w:t>, “</w:t>
      </w:r>
      <w:r w:rsidRPr="00FC35BE">
        <w:rPr>
          <w:i/>
          <w:iCs/>
          <w:color w:val="000000"/>
          <w:lang w:val="en-US"/>
        </w:rPr>
        <w:t>Mensura</w:t>
      </w:r>
      <w:r w:rsidRPr="00FC35BE">
        <w:rPr>
          <w:color w:val="000000"/>
          <w:lang w:val="en-US"/>
        </w:rPr>
        <w:t xml:space="preserve"> versus </w:t>
      </w:r>
      <w:r w:rsidRPr="00FC35BE">
        <w:rPr>
          <w:i/>
          <w:iCs/>
          <w:color w:val="000000"/>
          <w:lang w:val="en-US"/>
        </w:rPr>
        <w:t>Tactus</w:t>
      </w:r>
      <w:r w:rsidRPr="00FC35BE">
        <w:rPr>
          <w:color w:val="000000"/>
          <w:lang w:val="en-US"/>
        </w:rPr>
        <w:t>,”</w:t>
      </w:r>
      <w:r>
        <w:rPr>
          <w:color w:val="000000"/>
          <w:lang w:val="en-US"/>
        </w:rPr>
        <w:t xml:space="preserve"> </w:t>
      </w:r>
      <w:r w:rsidRPr="007D3C38">
        <w:t xml:space="preserve">425-427; </w:t>
      </w:r>
      <w:proofErr w:type="spellStart"/>
      <w:r w:rsidRPr="007D3C38">
        <w:t>DeFord</w:t>
      </w:r>
      <w:proofErr w:type="spellEnd"/>
      <w:r w:rsidRPr="007D3C38">
        <w:t xml:space="preserve">, </w:t>
      </w:r>
      <w:r w:rsidRPr="007D3C38">
        <w:rPr>
          <w:i/>
        </w:rPr>
        <w:t>Tactus</w:t>
      </w:r>
      <w:r w:rsidRPr="007D3C38">
        <w:t>, 53 and 58-59.</w:t>
      </w:r>
    </w:p>
  </w:footnote>
  <w:footnote w:id="618">
    <w:p w14:paraId="19429B0F" w14:textId="77777777" w:rsidR="00182EED" w:rsidRDefault="00182EED" w:rsidP="00094F64">
      <w:pPr>
        <w:pStyle w:val="FootnoteText"/>
      </w:pPr>
      <w:r w:rsidRPr="00591949">
        <w:rPr>
          <w:rStyle w:val="FootnoteReference"/>
        </w:rPr>
        <w:footnoteRef/>
      </w:r>
      <w:r>
        <w:t xml:space="preserve"> </w:t>
      </w:r>
      <w:proofErr w:type="spellStart"/>
      <w:r w:rsidRPr="00F54B80">
        <w:rPr>
          <w:color w:val="000000"/>
          <w:lang w:val="en-US"/>
        </w:rPr>
        <w:t>Blachly</w:t>
      </w:r>
      <w:proofErr w:type="spellEnd"/>
      <w:r w:rsidRPr="00F54B80">
        <w:rPr>
          <w:color w:val="000000"/>
          <w:lang w:val="en-US"/>
        </w:rPr>
        <w:t>, “</w:t>
      </w:r>
      <w:r w:rsidRPr="00F54B80">
        <w:rPr>
          <w:i/>
          <w:iCs/>
          <w:color w:val="000000"/>
          <w:lang w:val="en-US"/>
        </w:rPr>
        <w:t>Mensura</w:t>
      </w:r>
      <w:r w:rsidRPr="00F54B80">
        <w:rPr>
          <w:color w:val="000000"/>
          <w:lang w:val="en-US"/>
        </w:rPr>
        <w:t xml:space="preserve"> versus </w:t>
      </w:r>
      <w:r w:rsidRPr="00F54B80">
        <w:rPr>
          <w:i/>
          <w:iCs/>
          <w:color w:val="000000"/>
          <w:lang w:val="en-US"/>
        </w:rPr>
        <w:t>Tactus</w:t>
      </w:r>
      <w:r w:rsidRPr="00F54B80">
        <w:rPr>
          <w:color w:val="000000"/>
          <w:lang w:val="en-US"/>
        </w:rPr>
        <w:t>,” 442–45.</w:t>
      </w:r>
    </w:p>
  </w:footnote>
  <w:footnote w:id="619">
    <w:p w14:paraId="2B433DF5" w14:textId="77777777" w:rsidR="00182EED" w:rsidRDefault="00182EED" w:rsidP="00094F64">
      <w:pPr>
        <w:pStyle w:val="FootnoteText"/>
      </w:pPr>
      <w:r w:rsidRPr="00591949">
        <w:rPr>
          <w:rStyle w:val="FootnoteReference"/>
        </w:rPr>
        <w:footnoteRef/>
      </w:r>
      <w:r>
        <w:t xml:space="preserve"> </w:t>
      </w:r>
      <w:r w:rsidRPr="00F54B80">
        <w:rPr>
          <w:color w:val="000000"/>
          <w:lang w:val="en-US"/>
        </w:rPr>
        <w:t xml:space="preserve">Augustine, in the fifth century, had described a </w:t>
      </w:r>
      <w:proofErr w:type="spellStart"/>
      <w:r w:rsidRPr="00D06F9F">
        <w:rPr>
          <w:i/>
          <w:iCs/>
          <w:color w:val="000000"/>
          <w:lang w:val="en-US"/>
        </w:rPr>
        <w:t>plausus</w:t>
      </w:r>
      <w:proofErr w:type="spellEnd"/>
      <w:r w:rsidRPr="00F54B80">
        <w:rPr>
          <w:color w:val="000000"/>
          <w:lang w:val="en-US"/>
        </w:rPr>
        <w:t xml:space="preserve"> in which “the hand is raised and lowered”, clearly explaining that tactus was a visual device: “Fix your ears on the sound and your eyes on the beat. For the hand beating time is not to be heard but seen”, cited ibid., 430: “</w:t>
      </w:r>
      <w:proofErr w:type="spellStart"/>
      <w:r w:rsidRPr="00F54B80">
        <w:rPr>
          <w:color w:val="000000"/>
          <w:lang w:val="en-US"/>
        </w:rPr>
        <w:t>Intende</w:t>
      </w:r>
      <w:proofErr w:type="spellEnd"/>
      <w:r w:rsidRPr="00F54B80">
        <w:rPr>
          <w:color w:val="000000"/>
          <w:lang w:val="en-US"/>
        </w:rPr>
        <w:t xml:space="preserve"> ergo et </w:t>
      </w:r>
      <w:proofErr w:type="spellStart"/>
      <w:r w:rsidRPr="00F54B80">
        <w:rPr>
          <w:color w:val="000000"/>
          <w:lang w:val="en-US"/>
        </w:rPr>
        <w:t>aurem</w:t>
      </w:r>
      <w:proofErr w:type="spellEnd"/>
      <w:r w:rsidRPr="00F54B80">
        <w:rPr>
          <w:color w:val="000000"/>
          <w:lang w:val="en-US"/>
        </w:rPr>
        <w:t xml:space="preserve"> in </w:t>
      </w:r>
      <w:proofErr w:type="spellStart"/>
      <w:r w:rsidRPr="00F54B80">
        <w:rPr>
          <w:color w:val="000000"/>
          <w:lang w:val="en-US"/>
        </w:rPr>
        <w:t>sonum</w:t>
      </w:r>
      <w:proofErr w:type="spellEnd"/>
      <w:r w:rsidRPr="00F54B80">
        <w:rPr>
          <w:color w:val="000000"/>
          <w:lang w:val="en-US"/>
        </w:rPr>
        <w:t xml:space="preserve">, et in </w:t>
      </w:r>
      <w:proofErr w:type="spellStart"/>
      <w:r w:rsidRPr="00F54B80">
        <w:rPr>
          <w:color w:val="000000"/>
          <w:lang w:val="en-US"/>
        </w:rPr>
        <w:t>plausum</w:t>
      </w:r>
      <w:proofErr w:type="spellEnd"/>
      <w:r w:rsidRPr="00F54B80">
        <w:rPr>
          <w:color w:val="000000"/>
          <w:lang w:val="en-US"/>
        </w:rPr>
        <w:t xml:space="preserve"> </w:t>
      </w:r>
      <w:proofErr w:type="spellStart"/>
      <w:r w:rsidRPr="00F54B80">
        <w:rPr>
          <w:color w:val="000000"/>
          <w:lang w:val="en-US"/>
        </w:rPr>
        <w:t>oculos</w:t>
      </w:r>
      <w:proofErr w:type="spellEnd"/>
      <w:r w:rsidRPr="00F54B80">
        <w:rPr>
          <w:color w:val="000000"/>
          <w:lang w:val="en-US"/>
        </w:rPr>
        <w:t xml:space="preserve">, non </w:t>
      </w:r>
      <w:proofErr w:type="spellStart"/>
      <w:r w:rsidRPr="00F54B80">
        <w:rPr>
          <w:color w:val="000000"/>
          <w:lang w:val="en-US"/>
        </w:rPr>
        <w:t>enim</w:t>
      </w:r>
      <w:proofErr w:type="spellEnd"/>
      <w:r w:rsidRPr="00F54B80">
        <w:rPr>
          <w:color w:val="000000"/>
          <w:lang w:val="en-US"/>
        </w:rPr>
        <w:t xml:space="preserve"> </w:t>
      </w:r>
      <w:proofErr w:type="spellStart"/>
      <w:r w:rsidRPr="00F54B80">
        <w:rPr>
          <w:color w:val="000000"/>
          <w:lang w:val="en-US"/>
        </w:rPr>
        <w:t>audiri</w:t>
      </w:r>
      <w:proofErr w:type="spellEnd"/>
      <w:r w:rsidRPr="00F54B80">
        <w:rPr>
          <w:color w:val="000000"/>
          <w:lang w:val="en-US"/>
        </w:rPr>
        <w:t xml:space="preserve">, sed </w:t>
      </w:r>
      <w:proofErr w:type="spellStart"/>
      <w:r w:rsidRPr="00F54B80">
        <w:rPr>
          <w:color w:val="000000"/>
          <w:lang w:val="en-US"/>
        </w:rPr>
        <w:t>videri</w:t>
      </w:r>
      <w:proofErr w:type="spellEnd"/>
      <w:r w:rsidRPr="00F54B80">
        <w:rPr>
          <w:color w:val="000000"/>
          <w:lang w:val="en-US"/>
        </w:rPr>
        <w:t xml:space="preserve"> opus </w:t>
      </w:r>
      <w:proofErr w:type="spellStart"/>
      <w:r w:rsidRPr="00F54B80">
        <w:rPr>
          <w:color w:val="000000"/>
          <w:lang w:val="en-US"/>
        </w:rPr>
        <w:t>est</w:t>
      </w:r>
      <w:proofErr w:type="spellEnd"/>
      <w:r w:rsidRPr="00F54B80">
        <w:rPr>
          <w:color w:val="000000"/>
          <w:lang w:val="en-US"/>
        </w:rPr>
        <w:t xml:space="preserve"> </w:t>
      </w:r>
      <w:proofErr w:type="spellStart"/>
      <w:r w:rsidRPr="00F54B80">
        <w:rPr>
          <w:color w:val="000000"/>
          <w:lang w:val="en-US"/>
        </w:rPr>
        <w:t>plaudentem</w:t>
      </w:r>
      <w:proofErr w:type="spellEnd"/>
      <w:r w:rsidRPr="00F54B80">
        <w:rPr>
          <w:color w:val="000000"/>
          <w:lang w:val="en-US"/>
        </w:rPr>
        <w:t xml:space="preserve"> </w:t>
      </w:r>
      <w:proofErr w:type="spellStart"/>
      <w:r w:rsidRPr="00F54B80">
        <w:rPr>
          <w:color w:val="000000"/>
          <w:lang w:val="en-US"/>
        </w:rPr>
        <w:t>manum</w:t>
      </w:r>
      <w:proofErr w:type="spellEnd"/>
      <w:r w:rsidRPr="00F54B80">
        <w:rPr>
          <w:color w:val="000000"/>
          <w:lang w:val="en-US"/>
        </w:rPr>
        <w:t xml:space="preserve">, et </w:t>
      </w:r>
      <w:proofErr w:type="spellStart"/>
      <w:r w:rsidRPr="00F54B80">
        <w:rPr>
          <w:color w:val="000000"/>
          <w:lang w:val="en-US"/>
        </w:rPr>
        <w:t>animadverti</w:t>
      </w:r>
      <w:proofErr w:type="spellEnd"/>
      <w:r w:rsidRPr="00F54B80">
        <w:rPr>
          <w:color w:val="000000"/>
          <w:lang w:val="en-US"/>
        </w:rPr>
        <w:t xml:space="preserve"> </w:t>
      </w:r>
      <w:proofErr w:type="spellStart"/>
      <w:r w:rsidRPr="00F54B80">
        <w:rPr>
          <w:color w:val="000000"/>
          <w:lang w:val="en-US"/>
        </w:rPr>
        <w:t>acriter</w:t>
      </w:r>
      <w:proofErr w:type="spellEnd"/>
      <w:r w:rsidRPr="00F54B80">
        <w:rPr>
          <w:color w:val="000000"/>
          <w:lang w:val="en-US"/>
        </w:rPr>
        <w:t xml:space="preserve"> quanta </w:t>
      </w:r>
      <w:proofErr w:type="spellStart"/>
      <w:r w:rsidRPr="00F54B80">
        <w:rPr>
          <w:color w:val="000000"/>
          <w:lang w:val="en-US"/>
        </w:rPr>
        <w:t>temporis</w:t>
      </w:r>
      <w:proofErr w:type="spellEnd"/>
      <w:r w:rsidRPr="00F54B80">
        <w:rPr>
          <w:color w:val="000000"/>
          <w:lang w:val="en-US"/>
        </w:rPr>
        <w:t xml:space="preserve"> mora in </w:t>
      </w:r>
      <w:proofErr w:type="spellStart"/>
      <w:r w:rsidRPr="00F54B80">
        <w:rPr>
          <w:color w:val="000000"/>
          <w:lang w:val="en-US"/>
        </w:rPr>
        <w:t>levatione</w:t>
      </w:r>
      <w:proofErr w:type="spellEnd"/>
      <w:r w:rsidRPr="00F54B80">
        <w:rPr>
          <w:color w:val="000000"/>
          <w:lang w:val="en-US"/>
        </w:rPr>
        <w:t xml:space="preserve">, quanta in </w:t>
      </w:r>
      <w:proofErr w:type="spellStart"/>
      <w:r w:rsidRPr="00F54B80">
        <w:rPr>
          <w:color w:val="000000"/>
          <w:lang w:val="en-US"/>
        </w:rPr>
        <w:t>positione</w:t>
      </w:r>
      <w:proofErr w:type="spellEnd"/>
      <w:r w:rsidRPr="00F54B80">
        <w:rPr>
          <w:color w:val="000000"/>
          <w:lang w:val="en-US"/>
        </w:rPr>
        <w:t xml:space="preserve"> sit.”; see also ibid., 440.</w:t>
      </w:r>
    </w:p>
  </w:footnote>
  <w:footnote w:id="620">
    <w:p w14:paraId="4DAC99A0" w14:textId="77777777" w:rsidR="00182EED" w:rsidRDefault="00182EED" w:rsidP="00094F64">
      <w:pPr>
        <w:pStyle w:val="FootnoteText"/>
      </w:pPr>
      <w:r w:rsidRPr="00591949">
        <w:rPr>
          <w:rStyle w:val="FootnoteReference"/>
        </w:rPr>
        <w:footnoteRef/>
      </w:r>
      <w:r>
        <w:t xml:space="preserve"> </w:t>
      </w:r>
      <w:r w:rsidRPr="00811874">
        <w:rPr>
          <w:color w:val="000000"/>
          <w:lang w:val="en-US"/>
        </w:rPr>
        <w:t xml:space="preserve">In a personal communication to the writer, Jane Hatter agrees that, given the volume of similar representations of </w:t>
      </w:r>
      <w:r w:rsidRPr="00811874">
        <w:rPr>
          <w:i/>
          <w:iCs/>
          <w:color w:val="000000"/>
          <w:lang w:val="en-US"/>
        </w:rPr>
        <w:t>tactus</w:t>
      </w:r>
      <w:r w:rsidRPr="00811874">
        <w:rPr>
          <w:color w:val="000000"/>
          <w:lang w:val="en-US"/>
        </w:rPr>
        <w:t xml:space="preserve"> from the same period and location, Botticelli’s painting in Vienna is probably depicting tapped </w:t>
      </w:r>
      <w:r w:rsidRPr="00811874">
        <w:rPr>
          <w:i/>
          <w:iCs/>
          <w:color w:val="000000"/>
          <w:lang w:val="en-US"/>
        </w:rPr>
        <w:t>tactus</w:t>
      </w:r>
      <w:r w:rsidRPr="00811874">
        <w:rPr>
          <w:color w:val="000000"/>
          <w:lang w:val="en-US"/>
        </w:rPr>
        <w:t>. Jane Hatter, “Personal Communication - Tactus,” June 2016.</w:t>
      </w:r>
    </w:p>
  </w:footnote>
  <w:footnote w:id="621">
    <w:p w14:paraId="718E5CBF" w14:textId="77777777" w:rsidR="00182EED" w:rsidRDefault="00182EED" w:rsidP="00094F64">
      <w:pPr>
        <w:pStyle w:val="FootnoteText"/>
      </w:pPr>
      <w:r w:rsidRPr="00591949">
        <w:rPr>
          <w:rStyle w:val="FootnoteReference"/>
        </w:rPr>
        <w:footnoteRef/>
      </w:r>
      <w:r>
        <w:t xml:space="preserve"> </w:t>
      </w:r>
      <w:r w:rsidRPr="00F54B80">
        <w:rPr>
          <w:color w:val="000000"/>
          <w:lang w:val="en-US"/>
        </w:rPr>
        <w:t xml:space="preserve">Lightbown, </w:t>
      </w:r>
      <w:r w:rsidRPr="00F54B80">
        <w:rPr>
          <w:i/>
          <w:iCs/>
          <w:color w:val="000000"/>
          <w:lang w:val="en-US"/>
        </w:rPr>
        <w:t>Sandro Botticelli: Life and Work</w:t>
      </w:r>
      <w:r w:rsidRPr="00F54B80">
        <w:rPr>
          <w:color w:val="000000"/>
          <w:lang w:val="en-US"/>
        </w:rPr>
        <w:t>, vol.2, 129.</w:t>
      </w:r>
    </w:p>
  </w:footnote>
  <w:footnote w:id="622">
    <w:p w14:paraId="7D89127B" w14:textId="77777777" w:rsidR="00182EED" w:rsidRDefault="00182EED" w:rsidP="00094F64">
      <w:pPr>
        <w:pStyle w:val="FootnoteText"/>
      </w:pPr>
      <w:r w:rsidRPr="00591949">
        <w:rPr>
          <w:rStyle w:val="FootnoteReference"/>
        </w:rPr>
        <w:footnoteRef/>
      </w:r>
      <w:r>
        <w:t xml:space="preserve"> </w:t>
      </w:r>
      <w:proofErr w:type="spellStart"/>
      <w:r w:rsidRPr="00F54B80">
        <w:rPr>
          <w:color w:val="000000"/>
          <w:lang w:val="en-US"/>
        </w:rPr>
        <w:t>Rebmann</w:t>
      </w:r>
      <w:proofErr w:type="spellEnd"/>
      <w:r w:rsidRPr="00F54B80">
        <w:rPr>
          <w:color w:val="000000"/>
          <w:lang w:val="en-US"/>
        </w:rPr>
        <w:t>, “Entries 124,125,” 274–75.</w:t>
      </w:r>
    </w:p>
  </w:footnote>
  <w:footnote w:id="623">
    <w:p w14:paraId="0E96E5B5" w14:textId="77777777" w:rsidR="00182EED" w:rsidRDefault="00182EED" w:rsidP="00094F64">
      <w:pPr>
        <w:pStyle w:val="FootnoteText"/>
      </w:pPr>
      <w:r w:rsidRPr="00591949">
        <w:rPr>
          <w:rStyle w:val="FootnoteReference"/>
        </w:rPr>
        <w:footnoteRef/>
      </w:r>
      <w:r>
        <w:t xml:space="preserve"> </w:t>
      </w:r>
      <w:r w:rsidRPr="00F54B80">
        <w:rPr>
          <w:color w:val="000000"/>
          <w:lang w:val="en-US"/>
        </w:rPr>
        <w:t xml:space="preserve">Lightbown, </w:t>
      </w:r>
      <w:r w:rsidRPr="00F54B80">
        <w:rPr>
          <w:i/>
          <w:iCs/>
          <w:color w:val="000000"/>
          <w:lang w:val="en-US"/>
        </w:rPr>
        <w:t>Sandro Botticelli: Life and Work</w:t>
      </w:r>
      <w:r w:rsidRPr="00F54B80">
        <w:rPr>
          <w:color w:val="000000"/>
          <w:lang w:val="en-US"/>
        </w:rPr>
        <w:t xml:space="preserve">, vol.1, 54; see also </w:t>
      </w:r>
      <w:proofErr w:type="spellStart"/>
      <w:r w:rsidRPr="00F54B80">
        <w:rPr>
          <w:color w:val="000000"/>
          <w:lang w:val="en-US"/>
        </w:rPr>
        <w:t>Zöllner</w:t>
      </w:r>
      <w:proofErr w:type="spellEnd"/>
      <w:r w:rsidRPr="00F54B80">
        <w:rPr>
          <w:color w:val="000000"/>
          <w:lang w:val="en-US"/>
        </w:rPr>
        <w:t xml:space="preserve">, </w:t>
      </w:r>
      <w:r w:rsidRPr="00F54B80">
        <w:rPr>
          <w:i/>
          <w:iCs/>
          <w:color w:val="000000"/>
          <w:lang w:val="en-US"/>
        </w:rPr>
        <w:t>Sandro Botticelli</w:t>
      </w:r>
      <w:r w:rsidRPr="00F54B80">
        <w:rPr>
          <w:color w:val="000000"/>
          <w:lang w:val="en-US"/>
        </w:rPr>
        <w:t xml:space="preserve">, 209; Pons, </w:t>
      </w:r>
      <w:r w:rsidRPr="00F54B80">
        <w:rPr>
          <w:i/>
          <w:iCs/>
          <w:color w:val="000000"/>
          <w:lang w:val="en-US"/>
        </w:rPr>
        <w:t xml:space="preserve">Botticelli: </w:t>
      </w:r>
      <w:proofErr w:type="spellStart"/>
      <w:r w:rsidRPr="00F54B80">
        <w:rPr>
          <w:i/>
          <w:iCs/>
          <w:color w:val="000000"/>
          <w:lang w:val="en-US"/>
        </w:rPr>
        <w:t>Catalogo</w:t>
      </w:r>
      <w:proofErr w:type="spellEnd"/>
      <w:r w:rsidRPr="00F54B80">
        <w:rPr>
          <w:i/>
          <w:iCs/>
          <w:color w:val="000000"/>
          <w:lang w:val="en-US"/>
        </w:rPr>
        <w:t xml:space="preserve"> complete</w:t>
      </w:r>
      <w:r w:rsidRPr="00F54B80">
        <w:rPr>
          <w:color w:val="000000"/>
          <w:lang w:val="en-US"/>
        </w:rPr>
        <w:t xml:space="preserve">; Olson, </w:t>
      </w:r>
      <w:r w:rsidRPr="00F54B80">
        <w:rPr>
          <w:i/>
          <w:iCs/>
          <w:color w:val="000000"/>
          <w:lang w:val="en-US"/>
        </w:rPr>
        <w:t>The Florentine Tondo</w:t>
      </w:r>
      <w:r w:rsidRPr="00F54B80">
        <w:rPr>
          <w:color w:val="000000"/>
          <w:lang w:val="en-US"/>
        </w:rPr>
        <w:t>, 187.</w:t>
      </w:r>
    </w:p>
  </w:footnote>
  <w:footnote w:id="624">
    <w:p w14:paraId="4DF70F52" w14:textId="77777777" w:rsidR="00182EED" w:rsidRDefault="00182EED" w:rsidP="00094F64">
      <w:pPr>
        <w:pStyle w:val="FootnoteText"/>
      </w:pPr>
      <w:r w:rsidRPr="00591949">
        <w:rPr>
          <w:rStyle w:val="FootnoteReference"/>
        </w:rPr>
        <w:footnoteRef/>
      </w:r>
      <w:r>
        <w:t xml:space="preserve"> </w:t>
      </w:r>
      <w:r w:rsidRPr="00F54B80">
        <w:rPr>
          <w:color w:val="000000"/>
          <w:lang w:val="en-US"/>
        </w:rPr>
        <w:t xml:space="preserve">Lightbown, </w:t>
      </w:r>
      <w:r w:rsidRPr="00F54B80">
        <w:rPr>
          <w:i/>
          <w:iCs/>
          <w:color w:val="000000"/>
          <w:lang w:val="en-US"/>
        </w:rPr>
        <w:t>Sandro Botticelli: Life and Work</w:t>
      </w:r>
      <w:r w:rsidRPr="00F54B80">
        <w:rPr>
          <w:color w:val="000000"/>
          <w:lang w:val="en-US"/>
        </w:rPr>
        <w:t>, vol.1, 55.</w:t>
      </w:r>
    </w:p>
  </w:footnote>
  <w:footnote w:id="625">
    <w:p w14:paraId="1A1389F8" w14:textId="77777777" w:rsidR="00182EED" w:rsidRDefault="00182EED" w:rsidP="00094F64">
      <w:pPr>
        <w:pStyle w:val="FootnoteText"/>
      </w:pPr>
      <w:r w:rsidRPr="00591949">
        <w:rPr>
          <w:rStyle w:val="FootnoteReference"/>
        </w:rPr>
        <w:footnoteRef/>
      </w:r>
      <w:r>
        <w:t xml:space="preserve"> </w:t>
      </w:r>
      <w:r>
        <w:rPr>
          <w:noProof/>
        </w:rPr>
        <w:t>Ibid., vol.2, 43.</w:t>
      </w:r>
    </w:p>
  </w:footnote>
  <w:footnote w:id="626">
    <w:p w14:paraId="7AA0A603" w14:textId="77777777" w:rsidR="00182EED" w:rsidRDefault="00182EED" w:rsidP="00094F64">
      <w:pPr>
        <w:pStyle w:val="FootnoteText"/>
      </w:pPr>
      <w:r w:rsidRPr="00591949">
        <w:rPr>
          <w:rStyle w:val="FootnoteReference"/>
        </w:rPr>
        <w:footnoteRef/>
      </w:r>
      <w:r>
        <w:t xml:space="preserve"> </w:t>
      </w:r>
      <w:r w:rsidRPr="00F54B80">
        <w:rPr>
          <w:color w:val="000000"/>
          <w:lang w:val="en-US"/>
        </w:rPr>
        <w:t xml:space="preserve">Susan </w:t>
      </w:r>
      <w:proofErr w:type="spellStart"/>
      <w:r w:rsidRPr="00F54B80">
        <w:rPr>
          <w:color w:val="000000"/>
          <w:lang w:val="en-US"/>
        </w:rPr>
        <w:t>Schibanoff</w:t>
      </w:r>
      <w:proofErr w:type="spellEnd"/>
      <w:r w:rsidRPr="00F54B80">
        <w:rPr>
          <w:color w:val="000000"/>
          <w:lang w:val="en-US"/>
        </w:rPr>
        <w:t xml:space="preserve">, “Botticelli’s Madonna Del Magnificat: Constructing the Woman Writer in Early Humanist Italy,” </w:t>
      </w:r>
      <w:r w:rsidRPr="00F54B80">
        <w:rPr>
          <w:i/>
          <w:iCs/>
          <w:color w:val="000000"/>
          <w:lang w:val="en-US"/>
        </w:rPr>
        <w:t>PMLA</w:t>
      </w:r>
      <w:r w:rsidRPr="00F54B80">
        <w:rPr>
          <w:color w:val="000000"/>
          <w:lang w:val="en-US"/>
        </w:rPr>
        <w:t xml:space="preserve"> 109, no. 2 (1994): 190–92, 195.</w:t>
      </w:r>
    </w:p>
  </w:footnote>
  <w:footnote w:id="627">
    <w:p w14:paraId="000DC6C4" w14:textId="77777777" w:rsidR="00182EED" w:rsidRDefault="00182EED" w:rsidP="00094F64">
      <w:pPr>
        <w:pStyle w:val="FootnoteText"/>
      </w:pPr>
      <w:r w:rsidRPr="00591949">
        <w:rPr>
          <w:rStyle w:val="FootnoteReference"/>
        </w:rPr>
        <w:footnoteRef/>
      </w:r>
      <w:r>
        <w:t xml:space="preserve"> </w:t>
      </w:r>
      <w:r w:rsidRPr="00F54B80">
        <w:rPr>
          <w:color w:val="000000"/>
          <w:lang w:val="en-US"/>
        </w:rPr>
        <w:t xml:space="preserve">Lightbown, </w:t>
      </w:r>
      <w:r w:rsidRPr="00F54B80">
        <w:rPr>
          <w:i/>
          <w:iCs/>
          <w:color w:val="000000"/>
          <w:lang w:val="en-US"/>
        </w:rPr>
        <w:t>Sandro Botticelli: Life and Work</w:t>
      </w:r>
      <w:r w:rsidRPr="00F54B80">
        <w:rPr>
          <w:color w:val="000000"/>
          <w:lang w:val="en-US"/>
        </w:rPr>
        <w:t>, vol.1, 55.</w:t>
      </w:r>
    </w:p>
  </w:footnote>
  <w:footnote w:id="628">
    <w:p w14:paraId="2B8F027B" w14:textId="77777777" w:rsidR="00182EED" w:rsidRPr="007D3C38" w:rsidRDefault="00182EED" w:rsidP="00094F64">
      <w:pPr>
        <w:pStyle w:val="FootnoteText"/>
      </w:pPr>
      <w:r w:rsidRPr="00591949">
        <w:rPr>
          <w:rStyle w:val="FootnoteReference"/>
        </w:rPr>
        <w:footnoteRef/>
      </w:r>
      <w:r w:rsidRPr="007D3C38">
        <w:t xml:space="preserve"> Luke 1:46–55, English Standard Version. “Magnificat anima </w:t>
      </w:r>
      <w:proofErr w:type="spellStart"/>
      <w:r w:rsidRPr="007D3C38">
        <w:t>mea</w:t>
      </w:r>
      <w:proofErr w:type="spellEnd"/>
      <w:r w:rsidRPr="007D3C38">
        <w:t xml:space="preserve"> </w:t>
      </w:r>
      <w:proofErr w:type="spellStart"/>
      <w:r w:rsidRPr="007D3C38">
        <w:t>Dominum</w:t>
      </w:r>
      <w:proofErr w:type="spellEnd"/>
      <w:r w:rsidRPr="007D3C38">
        <w:t xml:space="preserve">: et </w:t>
      </w:r>
      <w:proofErr w:type="spellStart"/>
      <w:r w:rsidRPr="007D3C38">
        <w:t>exsultavit</w:t>
      </w:r>
      <w:proofErr w:type="spellEnd"/>
      <w:r w:rsidRPr="007D3C38">
        <w:t xml:space="preserve"> spiritus meus in Deo </w:t>
      </w:r>
      <w:proofErr w:type="spellStart"/>
      <w:r w:rsidRPr="007D3C38">
        <w:t>salutari</w:t>
      </w:r>
      <w:proofErr w:type="spellEnd"/>
      <w:r w:rsidRPr="007D3C38">
        <w:t xml:space="preserve"> </w:t>
      </w:r>
      <w:proofErr w:type="spellStart"/>
      <w:r w:rsidRPr="007D3C38">
        <w:t>meo</w:t>
      </w:r>
      <w:proofErr w:type="spellEnd"/>
      <w:r w:rsidRPr="007D3C38">
        <w:t xml:space="preserve">. </w:t>
      </w:r>
      <w:proofErr w:type="spellStart"/>
      <w:r w:rsidRPr="007D3C38">
        <w:t>Quia</w:t>
      </w:r>
      <w:proofErr w:type="spellEnd"/>
      <w:r w:rsidRPr="007D3C38">
        <w:t xml:space="preserve"> </w:t>
      </w:r>
      <w:proofErr w:type="spellStart"/>
      <w:r w:rsidRPr="007D3C38">
        <w:t>respexit</w:t>
      </w:r>
      <w:proofErr w:type="spellEnd"/>
      <w:r w:rsidRPr="007D3C38">
        <w:t xml:space="preserve"> </w:t>
      </w:r>
      <w:proofErr w:type="spellStart"/>
      <w:r w:rsidRPr="007D3C38">
        <w:t>humilitatem</w:t>
      </w:r>
      <w:proofErr w:type="spellEnd"/>
      <w:r w:rsidRPr="007D3C38">
        <w:t xml:space="preserve"> </w:t>
      </w:r>
      <w:proofErr w:type="spellStart"/>
      <w:r w:rsidRPr="007D3C38">
        <w:t>ancillae</w:t>
      </w:r>
      <w:proofErr w:type="spellEnd"/>
      <w:r w:rsidRPr="007D3C38">
        <w:t xml:space="preserve"> </w:t>
      </w:r>
      <w:proofErr w:type="spellStart"/>
      <w:r w:rsidRPr="007D3C38">
        <w:t>suae</w:t>
      </w:r>
      <w:proofErr w:type="spellEnd"/>
      <w:r w:rsidRPr="007D3C38">
        <w:t xml:space="preserve">: ecce </w:t>
      </w:r>
      <w:proofErr w:type="spellStart"/>
      <w:r w:rsidRPr="007D3C38">
        <w:t>enim</w:t>
      </w:r>
      <w:proofErr w:type="spellEnd"/>
      <w:r w:rsidRPr="007D3C38">
        <w:t xml:space="preserve"> ex hoc </w:t>
      </w:r>
      <w:proofErr w:type="spellStart"/>
      <w:r w:rsidRPr="007D3C38">
        <w:t>beatam</w:t>
      </w:r>
      <w:proofErr w:type="spellEnd"/>
      <w:r w:rsidRPr="007D3C38">
        <w:t xml:space="preserve"> me </w:t>
      </w:r>
      <w:proofErr w:type="spellStart"/>
      <w:r w:rsidRPr="007D3C38">
        <w:t>dicent</w:t>
      </w:r>
      <w:proofErr w:type="spellEnd"/>
      <w:r w:rsidRPr="007D3C38">
        <w:t xml:space="preserve"> </w:t>
      </w:r>
      <w:proofErr w:type="spellStart"/>
      <w:r w:rsidRPr="007D3C38">
        <w:t>omnes</w:t>
      </w:r>
      <w:proofErr w:type="spellEnd"/>
      <w:r w:rsidRPr="007D3C38">
        <w:t xml:space="preserve"> </w:t>
      </w:r>
      <w:proofErr w:type="spellStart"/>
      <w:r w:rsidRPr="007D3C38">
        <w:t>generationes</w:t>
      </w:r>
      <w:proofErr w:type="spellEnd"/>
      <w:r w:rsidRPr="007D3C38">
        <w:t xml:space="preserve">, </w:t>
      </w:r>
      <w:proofErr w:type="spellStart"/>
      <w:r w:rsidRPr="007D3C38">
        <w:t>quia</w:t>
      </w:r>
      <w:proofErr w:type="spellEnd"/>
      <w:r w:rsidRPr="007D3C38">
        <w:t xml:space="preserve"> </w:t>
      </w:r>
      <w:proofErr w:type="spellStart"/>
      <w:r w:rsidRPr="007D3C38">
        <w:t>fecit</w:t>
      </w:r>
      <w:proofErr w:type="spellEnd"/>
      <w:r w:rsidRPr="007D3C38">
        <w:t xml:space="preserve"> mihi magna qui </w:t>
      </w:r>
      <w:proofErr w:type="spellStart"/>
      <w:r w:rsidRPr="007D3C38">
        <w:t>potens</w:t>
      </w:r>
      <w:proofErr w:type="spellEnd"/>
      <w:r w:rsidRPr="007D3C38">
        <w:t xml:space="preserve"> </w:t>
      </w:r>
      <w:proofErr w:type="spellStart"/>
      <w:r w:rsidRPr="007D3C38">
        <w:t>est</w:t>
      </w:r>
      <w:proofErr w:type="spellEnd"/>
      <w:r w:rsidRPr="007D3C38">
        <w:t xml:space="preserve">: et sanctum </w:t>
      </w:r>
      <w:proofErr w:type="spellStart"/>
      <w:r w:rsidRPr="007D3C38">
        <w:t>nomen</w:t>
      </w:r>
      <w:proofErr w:type="spellEnd"/>
      <w:r w:rsidRPr="007D3C38">
        <w:t xml:space="preserve"> </w:t>
      </w:r>
      <w:proofErr w:type="spellStart"/>
      <w:r w:rsidRPr="007D3C38">
        <w:t>ejus</w:t>
      </w:r>
      <w:proofErr w:type="spellEnd"/>
      <w:r w:rsidRPr="007D3C38">
        <w:t xml:space="preserve">, et misericordia </w:t>
      </w:r>
      <w:proofErr w:type="spellStart"/>
      <w:r w:rsidRPr="007D3C38">
        <w:t>ejus</w:t>
      </w:r>
      <w:proofErr w:type="spellEnd"/>
      <w:r w:rsidRPr="007D3C38">
        <w:t xml:space="preserve"> a </w:t>
      </w:r>
      <w:proofErr w:type="spellStart"/>
      <w:r w:rsidRPr="007D3C38">
        <w:t>progenie</w:t>
      </w:r>
      <w:proofErr w:type="spellEnd"/>
      <w:r w:rsidRPr="007D3C38">
        <w:t xml:space="preserve"> in progenies </w:t>
      </w:r>
      <w:proofErr w:type="spellStart"/>
      <w:r w:rsidRPr="007D3C38">
        <w:t>timentibus</w:t>
      </w:r>
      <w:proofErr w:type="spellEnd"/>
      <w:r w:rsidRPr="007D3C38">
        <w:t xml:space="preserve"> </w:t>
      </w:r>
      <w:proofErr w:type="spellStart"/>
      <w:r w:rsidRPr="007D3C38">
        <w:t>eum</w:t>
      </w:r>
      <w:proofErr w:type="spellEnd"/>
      <w:r w:rsidRPr="007D3C38">
        <w:t xml:space="preserve">. </w:t>
      </w:r>
      <w:proofErr w:type="spellStart"/>
      <w:r w:rsidRPr="007D3C38">
        <w:t>Fecit</w:t>
      </w:r>
      <w:proofErr w:type="spellEnd"/>
      <w:r w:rsidRPr="007D3C38">
        <w:t xml:space="preserve"> </w:t>
      </w:r>
      <w:proofErr w:type="spellStart"/>
      <w:r w:rsidRPr="007D3C38">
        <w:t>potentiam</w:t>
      </w:r>
      <w:proofErr w:type="spellEnd"/>
      <w:r w:rsidRPr="007D3C38">
        <w:t xml:space="preserve"> in </w:t>
      </w:r>
      <w:proofErr w:type="spellStart"/>
      <w:r w:rsidRPr="007D3C38">
        <w:t>brachio</w:t>
      </w:r>
      <w:proofErr w:type="spellEnd"/>
      <w:r w:rsidRPr="007D3C38">
        <w:t xml:space="preserve"> </w:t>
      </w:r>
      <w:proofErr w:type="spellStart"/>
      <w:r w:rsidRPr="007D3C38">
        <w:t>suo</w:t>
      </w:r>
      <w:proofErr w:type="spellEnd"/>
      <w:r w:rsidRPr="007D3C38">
        <w:t xml:space="preserve">: </w:t>
      </w:r>
      <w:proofErr w:type="spellStart"/>
      <w:r w:rsidRPr="007D3C38">
        <w:t>dispersit</w:t>
      </w:r>
      <w:proofErr w:type="spellEnd"/>
      <w:r w:rsidRPr="007D3C38">
        <w:t xml:space="preserve"> </w:t>
      </w:r>
      <w:proofErr w:type="spellStart"/>
      <w:r w:rsidRPr="007D3C38">
        <w:t>superbos</w:t>
      </w:r>
      <w:proofErr w:type="spellEnd"/>
      <w:r w:rsidRPr="007D3C38">
        <w:t xml:space="preserve"> </w:t>
      </w:r>
      <w:proofErr w:type="spellStart"/>
      <w:r w:rsidRPr="007D3C38">
        <w:t>mente</w:t>
      </w:r>
      <w:proofErr w:type="spellEnd"/>
      <w:r w:rsidRPr="007D3C38">
        <w:t xml:space="preserve"> cordis sui. </w:t>
      </w:r>
      <w:proofErr w:type="spellStart"/>
      <w:r w:rsidRPr="007D3C38">
        <w:t>Deposuit</w:t>
      </w:r>
      <w:proofErr w:type="spellEnd"/>
      <w:r w:rsidRPr="007D3C38">
        <w:t xml:space="preserve"> </w:t>
      </w:r>
      <w:proofErr w:type="spellStart"/>
      <w:r w:rsidRPr="007D3C38">
        <w:t>potentes</w:t>
      </w:r>
      <w:proofErr w:type="spellEnd"/>
      <w:r w:rsidRPr="007D3C38">
        <w:t xml:space="preserve"> de </w:t>
      </w:r>
      <w:proofErr w:type="spellStart"/>
      <w:r w:rsidRPr="007D3C38">
        <w:t>sede</w:t>
      </w:r>
      <w:proofErr w:type="spellEnd"/>
      <w:r w:rsidRPr="007D3C38">
        <w:t xml:space="preserve">, et </w:t>
      </w:r>
      <w:proofErr w:type="spellStart"/>
      <w:r w:rsidRPr="007D3C38">
        <w:t>exaltavit</w:t>
      </w:r>
      <w:proofErr w:type="spellEnd"/>
      <w:r w:rsidRPr="007D3C38">
        <w:t xml:space="preserve"> </w:t>
      </w:r>
      <w:proofErr w:type="spellStart"/>
      <w:r w:rsidRPr="007D3C38">
        <w:t>humiles</w:t>
      </w:r>
      <w:proofErr w:type="spellEnd"/>
      <w:r w:rsidRPr="007D3C38">
        <w:t xml:space="preserve">. </w:t>
      </w:r>
      <w:proofErr w:type="spellStart"/>
      <w:r w:rsidRPr="007D3C38">
        <w:t>Esurientes</w:t>
      </w:r>
      <w:proofErr w:type="spellEnd"/>
      <w:r w:rsidRPr="007D3C38">
        <w:t xml:space="preserve"> </w:t>
      </w:r>
      <w:proofErr w:type="spellStart"/>
      <w:r w:rsidRPr="007D3C38">
        <w:t>implevit</w:t>
      </w:r>
      <w:proofErr w:type="spellEnd"/>
      <w:r w:rsidRPr="007D3C38">
        <w:t xml:space="preserve"> </w:t>
      </w:r>
      <w:proofErr w:type="spellStart"/>
      <w:r w:rsidRPr="007D3C38">
        <w:t>bonis</w:t>
      </w:r>
      <w:proofErr w:type="spellEnd"/>
      <w:r w:rsidRPr="007D3C38">
        <w:t xml:space="preserve">: et </w:t>
      </w:r>
      <w:proofErr w:type="spellStart"/>
      <w:r w:rsidRPr="007D3C38">
        <w:t>divites</w:t>
      </w:r>
      <w:proofErr w:type="spellEnd"/>
      <w:r w:rsidRPr="007D3C38">
        <w:t xml:space="preserve"> </w:t>
      </w:r>
      <w:proofErr w:type="spellStart"/>
      <w:r w:rsidRPr="007D3C38">
        <w:t>dimisit</w:t>
      </w:r>
      <w:proofErr w:type="spellEnd"/>
      <w:r w:rsidRPr="007D3C38">
        <w:t xml:space="preserve"> inanes. </w:t>
      </w:r>
      <w:proofErr w:type="spellStart"/>
      <w:r w:rsidRPr="007D3C38">
        <w:t>Suscepit</w:t>
      </w:r>
      <w:proofErr w:type="spellEnd"/>
      <w:r w:rsidRPr="007D3C38">
        <w:t xml:space="preserve"> Israel </w:t>
      </w:r>
      <w:proofErr w:type="spellStart"/>
      <w:r w:rsidRPr="007D3C38">
        <w:t>puerum</w:t>
      </w:r>
      <w:proofErr w:type="spellEnd"/>
      <w:r w:rsidRPr="007D3C38">
        <w:t xml:space="preserve"> </w:t>
      </w:r>
      <w:proofErr w:type="spellStart"/>
      <w:r w:rsidRPr="007D3C38">
        <w:t>suum</w:t>
      </w:r>
      <w:proofErr w:type="spellEnd"/>
      <w:r w:rsidRPr="007D3C38">
        <w:t xml:space="preserve">, </w:t>
      </w:r>
      <w:proofErr w:type="spellStart"/>
      <w:r w:rsidRPr="007D3C38">
        <w:t>recordatus</w:t>
      </w:r>
      <w:proofErr w:type="spellEnd"/>
      <w:r w:rsidRPr="007D3C38">
        <w:t xml:space="preserve"> </w:t>
      </w:r>
      <w:proofErr w:type="spellStart"/>
      <w:r w:rsidRPr="007D3C38">
        <w:t>misericordiae</w:t>
      </w:r>
      <w:proofErr w:type="spellEnd"/>
      <w:r w:rsidRPr="007D3C38">
        <w:t xml:space="preserve"> </w:t>
      </w:r>
      <w:proofErr w:type="spellStart"/>
      <w:r w:rsidRPr="007D3C38">
        <w:t>suae</w:t>
      </w:r>
      <w:proofErr w:type="spellEnd"/>
      <w:r w:rsidRPr="007D3C38">
        <w:t xml:space="preserve">: </w:t>
      </w:r>
      <w:proofErr w:type="spellStart"/>
      <w:r w:rsidRPr="007D3C38">
        <w:t>sicut</w:t>
      </w:r>
      <w:proofErr w:type="spellEnd"/>
      <w:r w:rsidRPr="007D3C38">
        <w:t xml:space="preserve"> </w:t>
      </w:r>
      <w:proofErr w:type="spellStart"/>
      <w:r w:rsidRPr="007D3C38">
        <w:t>locutus</w:t>
      </w:r>
      <w:proofErr w:type="spellEnd"/>
      <w:r w:rsidRPr="007D3C38">
        <w:t xml:space="preserve"> </w:t>
      </w:r>
      <w:proofErr w:type="spellStart"/>
      <w:r w:rsidRPr="007D3C38">
        <w:t>est</w:t>
      </w:r>
      <w:proofErr w:type="spellEnd"/>
      <w:r w:rsidRPr="007D3C38">
        <w:t xml:space="preserve"> ad </w:t>
      </w:r>
      <w:proofErr w:type="spellStart"/>
      <w:r w:rsidRPr="007D3C38">
        <w:t>patres</w:t>
      </w:r>
      <w:proofErr w:type="spellEnd"/>
      <w:r w:rsidRPr="007D3C38">
        <w:t xml:space="preserve"> nostros, Abraham et </w:t>
      </w:r>
      <w:proofErr w:type="spellStart"/>
      <w:r w:rsidRPr="007D3C38">
        <w:t>semini</w:t>
      </w:r>
      <w:proofErr w:type="spellEnd"/>
      <w:r w:rsidRPr="007D3C38">
        <w:t xml:space="preserve"> </w:t>
      </w:r>
      <w:proofErr w:type="spellStart"/>
      <w:r w:rsidRPr="007D3C38">
        <w:t>ejus</w:t>
      </w:r>
      <w:proofErr w:type="spellEnd"/>
      <w:r w:rsidRPr="007D3C38">
        <w:t xml:space="preserve"> in saecula,” Biblia Sacra </w:t>
      </w:r>
      <w:proofErr w:type="spellStart"/>
      <w:r w:rsidRPr="007D3C38">
        <w:t>Vulgata</w:t>
      </w:r>
      <w:proofErr w:type="spellEnd"/>
      <w:r w:rsidRPr="007D3C38">
        <w:t>, Lucas 1:46-55.</w:t>
      </w:r>
    </w:p>
  </w:footnote>
  <w:footnote w:id="629">
    <w:p w14:paraId="285EE1C8" w14:textId="77777777" w:rsidR="00182EED" w:rsidRDefault="00182EED" w:rsidP="00094F64">
      <w:pPr>
        <w:pStyle w:val="FootnoteText"/>
      </w:pPr>
      <w:r w:rsidRPr="00591949">
        <w:rPr>
          <w:rStyle w:val="FootnoteReference"/>
        </w:rPr>
        <w:footnoteRef/>
      </w:r>
      <w:r>
        <w:t xml:space="preserve"> </w:t>
      </w:r>
      <w:r w:rsidRPr="00F54B80">
        <w:rPr>
          <w:color w:val="000000"/>
          <w:lang w:val="en-US"/>
        </w:rPr>
        <w:t xml:space="preserve">Edward R. Lerner, “The Polyphonic Magnificat in 15th-Century Italy,” </w:t>
      </w:r>
      <w:r w:rsidRPr="00F54B80">
        <w:rPr>
          <w:i/>
          <w:iCs/>
          <w:color w:val="000000"/>
          <w:lang w:val="en-US"/>
        </w:rPr>
        <w:t>The Musical Quarterly</w:t>
      </w:r>
      <w:r w:rsidRPr="00F54B80">
        <w:rPr>
          <w:color w:val="000000"/>
          <w:lang w:val="en-US"/>
        </w:rPr>
        <w:t xml:space="preserve"> 50, no. 1 (1964): 47; see also Olson, </w:t>
      </w:r>
      <w:r w:rsidRPr="00F54B80">
        <w:rPr>
          <w:i/>
          <w:iCs/>
          <w:color w:val="000000"/>
          <w:lang w:val="en-US"/>
        </w:rPr>
        <w:t>The Florentine Tondo</w:t>
      </w:r>
      <w:r w:rsidRPr="00F54B80">
        <w:rPr>
          <w:color w:val="000000"/>
          <w:lang w:val="en-US"/>
        </w:rPr>
        <w:t xml:space="preserve">, 187; Shephard, </w:t>
      </w:r>
      <w:proofErr w:type="spellStart"/>
      <w:r w:rsidRPr="00F54B80">
        <w:rPr>
          <w:color w:val="000000"/>
          <w:lang w:val="en-US"/>
        </w:rPr>
        <w:t>Ştefănescu</w:t>
      </w:r>
      <w:proofErr w:type="spellEnd"/>
      <w:r w:rsidRPr="00F54B80">
        <w:rPr>
          <w:color w:val="000000"/>
          <w:lang w:val="en-US"/>
        </w:rPr>
        <w:t xml:space="preserve">, and Sessini, “Music, Silence, and the Senses in a Late Fifteenth-Century Book of Hours,” </w:t>
      </w:r>
      <w:r w:rsidRPr="00F54B80">
        <w:rPr>
          <w:i/>
          <w:iCs/>
          <w:color w:val="000000"/>
          <w:lang w:val="en-US"/>
        </w:rPr>
        <w:t>Renaissance Quarterly</w:t>
      </w:r>
      <w:r w:rsidRPr="00F54B80">
        <w:rPr>
          <w:color w:val="000000"/>
          <w:lang w:val="en-US"/>
        </w:rPr>
        <w:t xml:space="preserve"> 70, no. 2 (2017): 495.</w:t>
      </w:r>
    </w:p>
  </w:footnote>
  <w:footnote w:id="630">
    <w:p w14:paraId="5B088681" w14:textId="77777777" w:rsidR="00182EED" w:rsidRDefault="00182EED" w:rsidP="00094F64">
      <w:pPr>
        <w:pStyle w:val="FootnoteText"/>
      </w:pPr>
      <w:r w:rsidRPr="00591949">
        <w:rPr>
          <w:rStyle w:val="FootnoteReference"/>
        </w:rPr>
        <w:footnoteRef/>
      </w:r>
      <w:r>
        <w:t xml:space="preserve"> </w:t>
      </w:r>
      <w:r w:rsidRPr="00F54B80">
        <w:rPr>
          <w:color w:val="000000"/>
          <w:lang w:val="en-US"/>
        </w:rPr>
        <w:t xml:space="preserve">Hamm and Scott, “A Study and Inventory of the Manuscript Modena, </w:t>
      </w:r>
      <w:proofErr w:type="spellStart"/>
      <w:r w:rsidRPr="00F54B80">
        <w:rPr>
          <w:color w:val="000000"/>
          <w:lang w:val="en-US"/>
        </w:rPr>
        <w:t>Biblioteca</w:t>
      </w:r>
      <w:proofErr w:type="spellEnd"/>
      <w:r w:rsidRPr="00F54B80">
        <w:rPr>
          <w:color w:val="000000"/>
          <w:lang w:val="en-US"/>
        </w:rPr>
        <w:t xml:space="preserve"> </w:t>
      </w:r>
      <w:proofErr w:type="spellStart"/>
      <w:r w:rsidRPr="00F54B80">
        <w:rPr>
          <w:color w:val="000000"/>
          <w:lang w:val="en-US"/>
        </w:rPr>
        <w:t>Estense</w:t>
      </w:r>
      <w:proofErr w:type="spellEnd"/>
      <w:r w:rsidRPr="00F54B80">
        <w:rPr>
          <w:color w:val="000000"/>
          <w:lang w:val="en-US"/>
        </w:rPr>
        <w:t>, α.X.1.11 (</w:t>
      </w:r>
      <w:proofErr w:type="spellStart"/>
      <w:r w:rsidRPr="00F54B80">
        <w:rPr>
          <w:color w:val="000000"/>
          <w:lang w:val="en-US"/>
        </w:rPr>
        <w:t>ModB</w:t>
      </w:r>
      <w:proofErr w:type="spellEnd"/>
      <w:r w:rsidRPr="00F54B80">
        <w:rPr>
          <w:color w:val="000000"/>
          <w:lang w:val="en-US"/>
        </w:rPr>
        <w:t>),” 122.</w:t>
      </w:r>
    </w:p>
  </w:footnote>
  <w:footnote w:id="631">
    <w:p w14:paraId="711CDC53" w14:textId="77777777" w:rsidR="00182EED" w:rsidRDefault="00182EED" w:rsidP="00094F64">
      <w:pPr>
        <w:pStyle w:val="FootnoteText"/>
      </w:pPr>
      <w:r w:rsidRPr="00591949">
        <w:rPr>
          <w:rStyle w:val="FootnoteReference"/>
        </w:rPr>
        <w:footnoteRef/>
      </w:r>
      <w:r>
        <w:t xml:space="preserve"> </w:t>
      </w:r>
      <w:r w:rsidRPr="00A74DDB">
        <w:rPr>
          <w:color w:val="000000"/>
          <w:lang w:val="en-US"/>
        </w:rPr>
        <w:t>“</w:t>
      </w:r>
      <w:proofErr w:type="spellStart"/>
      <w:r>
        <w:rPr>
          <w:color w:val="000000"/>
          <w:lang w:val="en-US"/>
        </w:rPr>
        <w:t>Q</w:t>
      </w:r>
      <w:r w:rsidRPr="00A74DDB">
        <w:rPr>
          <w:color w:val="000000"/>
          <w:lang w:val="en-US"/>
        </w:rPr>
        <w:t>uom</w:t>
      </w:r>
      <w:proofErr w:type="spellEnd"/>
      <w:r w:rsidRPr="00A74DDB">
        <w:rPr>
          <w:color w:val="000000"/>
          <w:lang w:val="en-US"/>
        </w:rPr>
        <w:t xml:space="preserve"> </w:t>
      </w:r>
      <w:proofErr w:type="spellStart"/>
      <w:r w:rsidRPr="00A74DDB">
        <w:rPr>
          <w:color w:val="000000"/>
          <w:lang w:val="en-US"/>
        </w:rPr>
        <w:t>natus</w:t>
      </w:r>
      <w:proofErr w:type="spellEnd"/>
      <w:r w:rsidRPr="00A74DDB">
        <w:rPr>
          <w:color w:val="000000"/>
          <w:lang w:val="en-US"/>
        </w:rPr>
        <w:t xml:space="preserve"> </w:t>
      </w:r>
      <w:proofErr w:type="spellStart"/>
      <w:r w:rsidRPr="00A74DDB">
        <w:rPr>
          <w:color w:val="000000"/>
          <w:lang w:val="en-US"/>
        </w:rPr>
        <w:t>infans</w:t>
      </w:r>
      <w:proofErr w:type="spellEnd"/>
      <w:r w:rsidRPr="00A74DDB">
        <w:rPr>
          <w:color w:val="000000"/>
          <w:lang w:val="en-US"/>
        </w:rPr>
        <w:t xml:space="preserve"> </w:t>
      </w:r>
      <w:proofErr w:type="spellStart"/>
      <w:r w:rsidRPr="00A74DDB">
        <w:rPr>
          <w:color w:val="000000"/>
          <w:lang w:val="en-US"/>
        </w:rPr>
        <w:t>humanitus</w:t>
      </w:r>
      <w:proofErr w:type="spellEnd"/>
      <w:r w:rsidRPr="00A74DDB">
        <w:rPr>
          <w:color w:val="000000"/>
          <w:lang w:val="en-US"/>
        </w:rPr>
        <w:t xml:space="preserve"> </w:t>
      </w:r>
      <w:proofErr w:type="spellStart"/>
      <w:r w:rsidRPr="00A74DDB">
        <w:rPr>
          <w:color w:val="000000"/>
          <w:lang w:val="en-US"/>
        </w:rPr>
        <w:t>vagiret</w:t>
      </w:r>
      <w:proofErr w:type="spellEnd"/>
      <w:r w:rsidRPr="00A74DDB">
        <w:rPr>
          <w:color w:val="000000"/>
          <w:lang w:val="en-US"/>
        </w:rPr>
        <w:t xml:space="preserve">, superius </w:t>
      </w:r>
      <w:proofErr w:type="spellStart"/>
      <w:r w:rsidRPr="00A74DDB">
        <w:rPr>
          <w:color w:val="000000"/>
          <w:lang w:val="en-US"/>
        </w:rPr>
        <w:t>ostendimus</w:t>
      </w:r>
      <w:proofErr w:type="spellEnd"/>
      <w:r w:rsidRPr="00A74DDB">
        <w:rPr>
          <w:color w:val="000000"/>
          <w:lang w:val="en-US"/>
        </w:rPr>
        <w:t xml:space="preserve">; </w:t>
      </w:r>
      <w:proofErr w:type="spellStart"/>
      <w:r w:rsidRPr="00A74DDB">
        <w:rPr>
          <w:color w:val="000000"/>
          <w:lang w:val="en-US"/>
        </w:rPr>
        <w:t>etiam</w:t>
      </w:r>
      <w:proofErr w:type="spellEnd"/>
      <w:r w:rsidRPr="00A74DDB">
        <w:rPr>
          <w:color w:val="000000"/>
          <w:lang w:val="en-US"/>
        </w:rPr>
        <w:t xml:space="preserve"> </w:t>
      </w:r>
      <w:proofErr w:type="spellStart"/>
      <w:r w:rsidRPr="00A74DDB">
        <w:rPr>
          <w:color w:val="000000"/>
          <w:lang w:val="en-US"/>
        </w:rPr>
        <w:t>antequam</w:t>
      </w:r>
      <w:proofErr w:type="spellEnd"/>
      <w:r w:rsidRPr="00A74DDB">
        <w:rPr>
          <w:color w:val="000000"/>
          <w:lang w:val="en-US"/>
        </w:rPr>
        <w:t xml:space="preserve"> </w:t>
      </w:r>
      <w:proofErr w:type="spellStart"/>
      <w:r w:rsidRPr="00A74DDB">
        <w:rPr>
          <w:color w:val="000000"/>
          <w:lang w:val="en-US"/>
        </w:rPr>
        <w:t>nasceretur</w:t>
      </w:r>
      <w:proofErr w:type="spellEnd"/>
      <w:r w:rsidRPr="00A74DDB">
        <w:rPr>
          <w:color w:val="000000"/>
          <w:lang w:val="en-US"/>
        </w:rPr>
        <w:t xml:space="preserve"> </w:t>
      </w:r>
      <w:proofErr w:type="spellStart"/>
      <w:r w:rsidRPr="00A74DDB">
        <w:rPr>
          <w:color w:val="000000"/>
          <w:lang w:val="en-US"/>
        </w:rPr>
        <w:t>canticum</w:t>
      </w:r>
      <w:proofErr w:type="spellEnd"/>
      <w:r w:rsidRPr="00A74DDB">
        <w:rPr>
          <w:color w:val="000000"/>
          <w:lang w:val="en-US"/>
        </w:rPr>
        <w:t xml:space="preserve"> hoc </w:t>
      </w:r>
      <w:proofErr w:type="spellStart"/>
      <w:r w:rsidRPr="00A74DDB">
        <w:rPr>
          <w:color w:val="000000"/>
          <w:lang w:val="en-US"/>
        </w:rPr>
        <w:t>egregium</w:t>
      </w:r>
      <w:proofErr w:type="spellEnd"/>
      <w:r w:rsidRPr="00A74DDB">
        <w:rPr>
          <w:color w:val="000000"/>
          <w:lang w:val="en-US"/>
        </w:rPr>
        <w:t xml:space="preserve"> Magnificat, ab </w:t>
      </w:r>
      <w:proofErr w:type="spellStart"/>
      <w:r w:rsidRPr="00A74DDB">
        <w:rPr>
          <w:color w:val="000000"/>
          <w:lang w:val="en-US"/>
        </w:rPr>
        <w:t>ea</w:t>
      </w:r>
      <w:proofErr w:type="spellEnd"/>
      <w:r w:rsidRPr="00A74DDB">
        <w:rPr>
          <w:color w:val="000000"/>
          <w:lang w:val="en-US"/>
        </w:rPr>
        <w:t xml:space="preserve"> … in </w:t>
      </w:r>
      <w:proofErr w:type="spellStart"/>
      <w:r w:rsidRPr="00A74DDB">
        <w:rPr>
          <w:color w:val="000000"/>
          <w:lang w:val="en-US"/>
        </w:rPr>
        <w:t>novitate</w:t>
      </w:r>
      <w:proofErr w:type="spellEnd"/>
      <w:r w:rsidRPr="00A74DDB">
        <w:rPr>
          <w:color w:val="000000"/>
          <w:lang w:val="en-US"/>
        </w:rPr>
        <w:t xml:space="preserve"> spiritus compositum, </w:t>
      </w:r>
      <w:proofErr w:type="spellStart"/>
      <w:r w:rsidRPr="00A74DDB">
        <w:rPr>
          <w:color w:val="000000"/>
          <w:lang w:val="en-US"/>
        </w:rPr>
        <w:t>amenissime</w:t>
      </w:r>
      <w:proofErr w:type="spellEnd"/>
      <w:r w:rsidRPr="00A74DDB">
        <w:rPr>
          <w:color w:val="000000"/>
          <w:lang w:val="en-US"/>
        </w:rPr>
        <w:t xml:space="preserve"> </w:t>
      </w:r>
      <w:proofErr w:type="spellStart"/>
      <w:r w:rsidRPr="00A74DDB">
        <w:rPr>
          <w:color w:val="000000"/>
          <w:lang w:val="en-US"/>
        </w:rPr>
        <w:t>cantavit</w:t>
      </w:r>
      <w:proofErr w:type="spellEnd"/>
      <w:r w:rsidRPr="00A74DDB">
        <w:rPr>
          <w:color w:val="000000"/>
          <w:lang w:val="en-US"/>
        </w:rPr>
        <w:t xml:space="preserve">. Nam </w:t>
      </w:r>
      <w:proofErr w:type="spellStart"/>
      <w:r w:rsidRPr="00A74DDB">
        <w:rPr>
          <w:color w:val="000000"/>
          <w:lang w:val="en-US"/>
        </w:rPr>
        <w:t>hec</w:t>
      </w:r>
      <w:proofErr w:type="spellEnd"/>
      <w:r w:rsidRPr="00A74DDB">
        <w:rPr>
          <w:color w:val="000000"/>
          <w:lang w:val="en-US"/>
        </w:rPr>
        <w:t xml:space="preserve"> </w:t>
      </w:r>
      <w:proofErr w:type="spellStart"/>
      <w:r w:rsidRPr="00A74DDB">
        <w:rPr>
          <w:color w:val="000000"/>
          <w:lang w:val="en-US"/>
        </w:rPr>
        <w:t>Augustinus</w:t>
      </w:r>
      <w:proofErr w:type="spellEnd"/>
      <w:r w:rsidRPr="00A74DDB">
        <w:rPr>
          <w:color w:val="000000"/>
          <w:lang w:val="en-US"/>
        </w:rPr>
        <w:t xml:space="preserve"> in </w:t>
      </w:r>
      <w:proofErr w:type="spellStart"/>
      <w:r w:rsidRPr="00A74DDB">
        <w:rPr>
          <w:color w:val="000000"/>
          <w:lang w:val="en-US"/>
        </w:rPr>
        <w:t>sermone</w:t>
      </w:r>
      <w:proofErr w:type="spellEnd"/>
      <w:r w:rsidRPr="00A74DDB">
        <w:rPr>
          <w:color w:val="000000"/>
          <w:lang w:val="en-US"/>
        </w:rPr>
        <w:t xml:space="preserve"> de </w:t>
      </w:r>
      <w:proofErr w:type="spellStart"/>
      <w:r w:rsidRPr="00A74DDB">
        <w:rPr>
          <w:color w:val="000000"/>
          <w:lang w:val="en-US"/>
        </w:rPr>
        <w:t>Nativitate</w:t>
      </w:r>
      <w:proofErr w:type="spellEnd"/>
      <w:r w:rsidRPr="00A74DDB">
        <w:rPr>
          <w:color w:val="000000"/>
          <w:lang w:val="en-US"/>
        </w:rPr>
        <w:t xml:space="preserve"> dicit, ‘</w:t>
      </w:r>
      <w:proofErr w:type="spellStart"/>
      <w:r w:rsidRPr="00A74DDB">
        <w:rPr>
          <w:color w:val="000000"/>
          <w:lang w:val="en-US"/>
        </w:rPr>
        <w:t>Audite</w:t>
      </w:r>
      <w:proofErr w:type="spellEnd"/>
      <w:r w:rsidRPr="00A74DDB">
        <w:rPr>
          <w:color w:val="000000"/>
          <w:lang w:val="en-US"/>
        </w:rPr>
        <w:t xml:space="preserve"> </w:t>
      </w:r>
      <w:proofErr w:type="spellStart"/>
      <w:r w:rsidRPr="00A74DDB">
        <w:rPr>
          <w:color w:val="000000"/>
          <w:lang w:val="en-US"/>
        </w:rPr>
        <w:t>quemadmodum</w:t>
      </w:r>
      <w:proofErr w:type="spellEnd"/>
      <w:r w:rsidRPr="00A74DDB">
        <w:rPr>
          <w:color w:val="000000"/>
          <w:lang w:val="en-US"/>
        </w:rPr>
        <w:t xml:space="preserve"> </w:t>
      </w:r>
      <w:proofErr w:type="spellStart"/>
      <w:r w:rsidRPr="00A74DDB">
        <w:rPr>
          <w:color w:val="000000"/>
          <w:lang w:val="en-US"/>
        </w:rPr>
        <w:t>tympanistria</w:t>
      </w:r>
      <w:proofErr w:type="spellEnd"/>
      <w:r w:rsidRPr="00A74DDB">
        <w:rPr>
          <w:color w:val="000000"/>
          <w:lang w:val="en-US"/>
        </w:rPr>
        <w:t xml:space="preserve"> nostra </w:t>
      </w:r>
      <w:proofErr w:type="spellStart"/>
      <w:r w:rsidRPr="00A74DDB">
        <w:rPr>
          <w:color w:val="000000"/>
          <w:lang w:val="en-US"/>
        </w:rPr>
        <w:t>cantaverit</w:t>
      </w:r>
      <w:proofErr w:type="spellEnd"/>
      <w:r w:rsidRPr="00A74DDB">
        <w:rPr>
          <w:color w:val="000000"/>
          <w:lang w:val="en-US"/>
        </w:rPr>
        <w:t xml:space="preserve">: </w:t>
      </w:r>
      <w:proofErr w:type="spellStart"/>
      <w:r w:rsidRPr="00A74DDB">
        <w:rPr>
          <w:color w:val="000000"/>
          <w:lang w:val="en-US"/>
        </w:rPr>
        <w:t>ait</w:t>
      </w:r>
      <w:proofErr w:type="spellEnd"/>
      <w:r w:rsidRPr="00A74DDB">
        <w:rPr>
          <w:color w:val="000000"/>
          <w:lang w:val="en-US"/>
        </w:rPr>
        <w:t xml:space="preserve"> </w:t>
      </w:r>
      <w:proofErr w:type="spellStart"/>
      <w:r w:rsidRPr="00A74DDB">
        <w:rPr>
          <w:color w:val="000000"/>
          <w:lang w:val="en-US"/>
        </w:rPr>
        <w:t>enim</w:t>
      </w:r>
      <w:proofErr w:type="spellEnd"/>
      <w:r w:rsidRPr="00A74DDB">
        <w:rPr>
          <w:color w:val="000000"/>
          <w:lang w:val="en-US"/>
        </w:rPr>
        <w:t xml:space="preserve">, Magnificat anima </w:t>
      </w:r>
      <w:proofErr w:type="spellStart"/>
      <w:r w:rsidRPr="00A74DDB">
        <w:rPr>
          <w:color w:val="000000"/>
          <w:lang w:val="en-US"/>
        </w:rPr>
        <w:t>mea</w:t>
      </w:r>
      <w:proofErr w:type="spellEnd"/>
      <w:r w:rsidRPr="00A74DDB">
        <w:rPr>
          <w:color w:val="000000"/>
          <w:lang w:val="en-US"/>
        </w:rPr>
        <w:t xml:space="preserve"> </w:t>
      </w:r>
      <w:proofErr w:type="spellStart"/>
      <w:r w:rsidRPr="00A74DDB">
        <w:rPr>
          <w:color w:val="000000"/>
          <w:lang w:val="en-US"/>
        </w:rPr>
        <w:t>Dominum</w:t>
      </w:r>
      <w:proofErr w:type="spellEnd"/>
      <w:r w:rsidRPr="00A74DDB">
        <w:rPr>
          <w:color w:val="000000"/>
          <w:lang w:val="en-US"/>
        </w:rPr>
        <w:t xml:space="preserve">.’” Johannes Tinctoris, </w:t>
      </w:r>
      <w:r w:rsidRPr="00A74DDB">
        <w:rPr>
          <w:i/>
          <w:iCs/>
          <w:color w:val="000000"/>
          <w:lang w:val="en-US"/>
        </w:rPr>
        <w:t xml:space="preserve">De </w:t>
      </w:r>
      <w:proofErr w:type="spellStart"/>
      <w:r w:rsidRPr="00A74DDB">
        <w:rPr>
          <w:i/>
          <w:iCs/>
          <w:color w:val="000000"/>
          <w:lang w:val="en-US"/>
        </w:rPr>
        <w:t>Inventione</w:t>
      </w:r>
      <w:proofErr w:type="spellEnd"/>
      <w:r w:rsidRPr="00A74DDB">
        <w:rPr>
          <w:i/>
          <w:iCs/>
          <w:color w:val="000000"/>
          <w:lang w:val="en-US"/>
        </w:rPr>
        <w:t xml:space="preserve"> et </w:t>
      </w:r>
      <w:proofErr w:type="spellStart"/>
      <w:r w:rsidRPr="00A74DDB">
        <w:rPr>
          <w:i/>
          <w:iCs/>
          <w:color w:val="000000"/>
          <w:lang w:val="en-US"/>
        </w:rPr>
        <w:t>Usu</w:t>
      </w:r>
      <w:proofErr w:type="spellEnd"/>
      <w:r w:rsidRPr="00A74DDB">
        <w:rPr>
          <w:i/>
          <w:iCs/>
          <w:color w:val="000000"/>
          <w:lang w:val="en-US"/>
        </w:rPr>
        <w:t xml:space="preserve"> </w:t>
      </w:r>
      <w:proofErr w:type="spellStart"/>
      <w:r w:rsidRPr="00A74DDB">
        <w:rPr>
          <w:i/>
          <w:iCs/>
          <w:color w:val="000000"/>
          <w:lang w:val="en-US"/>
        </w:rPr>
        <w:t>Musice</w:t>
      </w:r>
      <w:proofErr w:type="spellEnd"/>
      <w:r w:rsidRPr="00A74DDB">
        <w:rPr>
          <w:color w:val="000000"/>
          <w:lang w:val="en-US"/>
        </w:rPr>
        <w:t>, ed. and trans. Jeffrey Dean, 2015, 2.20.2, http://earlymusictheory.org/Tinctoris/texts/deinventioneetusumusice.</w:t>
      </w:r>
    </w:p>
  </w:footnote>
  <w:footnote w:id="632">
    <w:p w14:paraId="7B3D57B5" w14:textId="77777777" w:rsidR="00182EED" w:rsidRDefault="00182EED" w:rsidP="00094F64">
      <w:pPr>
        <w:pStyle w:val="FootnoteText"/>
      </w:pPr>
      <w:r w:rsidRPr="00591949">
        <w:rPr>
          <w:rStyle w:val="FootnoteReference"/>
        </w:rPr>
        <w:footnoteRef/>
      </w:r>
      <w:r>
        <w:t xml:space="preserve"> </w:t>
      </w:r>
      <w:r w:rsidRPr="00CE2AAA">
        <w:rPr>
          <w:color w:val="000000"/>
          <w:lang w:val="en-US"/>
        </w:rPr>
        <w:t>“</w:t>
      </w:r>
      <w:proofErr w:type="spellStart"/>
      <w:r w:rsidRPr="00CE2AAA">
        <w:rPr>
          <w:color w:val="000000"/>
          <w:lang w:val="en-US"/>
        </w:rPr>
        <w:t>Neque</w:t>
      </w:r>
      <w:proofErr w:type="spellEnd"/>
      <w:r w:rsidRPr="00CE2AAA">
        <w:rPr>
          <w:color w:val="000000"/>
          <w:lang w:val="en-US"/>
        </w:rPr>
        <w:t xml:space="preserve"> </w:t>
      </w:r>
      <w:proofErr w:type="spellStart"/>
      <w:r w:rsidRPr="00CE2AAA">
        <w:rPr>
          <w:color w:val="000000"/>
          <w:lang w:val="en-US"/>
        </w:rPr>
        <w:t>silencio</w:t>
      </w:r>
      <w:proofErr w:type="spellEnd"/>
      <w:r w:rsidRPr="00CE2AAA">
        <w:rPr>
          <w:color w:val="000000"/>
          <w:lang w:val="en-US"/>
        </w:rPr>
        <w:t xml:space="preserve"> </w:t>
      </w:r>
      <w:proofErr w:type="spellStart"/>
      <w:r w:rsidRPr="00CE2AAA">
        <w:rPr>
          <w:color w:val="000000"/>
          <w:lang w:val="en-US"/>
        </w:rPr>
        <w:t>transeundum</w:t>
      </w:r>
      <w:proofErr w:type="spellEnd"/>
      <w:r w:rsidRPr="00CE2AAA">
        <w:rPr>
          <w:color w:val="000000"/>
          <w:lang w:val="en-US"/>
        </w:rPr>
        <w:t xml:space="preserve"> </w:t>
      </w:r>
      <w:proofErr w:type="spellStart"/>
      <w:r w:rsidRPr="00CE2AAA">
        <w:rPr>
          <w:color w:val="000000"/>
          <w:lang w:val="en-US"/>
        </w:rPr>
        <w:t>est</w:t>
      </w:r>
      <w:proofErr w:type="spellEnd"/>
      <w:r w:rsidRPr="00CE2AAA">
        <w:rPr>
          <w:color w:val="000000"/>
          <w:lang w:val="en-US"/>
        </w:rPr>
        <w:t xml:space="preserve"> </w:t>
      </w:r>
      <w:proofErr w:type="spellStart"/>
      <w:r w:rsidRPr="00CE2AAA">
        <w:rPr>
          <w:color w:val="000000"/>
          <w:lang w:val="en-US"/>
        </w:rPr>
        <w:t>ipsam</w:t>
      </w:r>
      <w:proofErr w:type="spellEnd"/>
      <w:r w:rsidRPr="00CE2AAA">
        <w:rPr>
          <w:color w:val="000000"/>
          <w:lang w:val="en-US"/>
        </w:rPr>
        <w:t xml:space="preserve"> </w:t>
      </w:r>
      <w:proofErr w:type="spellStart"/>
      <w:r w:rsidRPr="00CE2AAA">
        <w:rPr>
          <w:color w:val="000000"/>
          <w:lang w:val="en-US"/>
        </w:rPr>
        <w:t>virginem</w:t>
      </w:r>
      <w:proofErr w:type="spellEnd"/>
      <w:r w:rsidRPr="00CE2AAA">
        <w:rPr>
          <w:color w:val="000000"/>
          <w:lang w:val="en-US"/>
        </w:rPr>
        <w:t xml:space="preserve"> </w:t>
      </w:r>
      <w:proofErr w:type="spellStart"/>
      <w:r w:rsidRPr="00CE2AAA">
        <w:rPr>
          <w:color w:val="000000"/>
          <w:lang w:val="en-US"/>
        </w:rPr>
        <w:t>intemeratam</w:t>
      </w:r>
      <w:proofErr w:type="spellEnd"/>
      <w:r w:rsidRPr="00CE2AAA">
        <w:rPr>
          <w:color w:val="000000"/>
          <w:lang w:val="en-US"/>
        </w:rPr>
        <w:t xml:space="preserve"> </w:t>
      </w:r>
      <w:proofErr w:type="spellStart"/>
      <w:r w:rsidRPr="00CE2AAA">
        <w:rPr>
          <w:color w:val="000000"/>
          <w:lang w:val="en-US"/>
        </w:rPr>
        <w:t>almam</w:t>
      </w:r>
      <w:proofErr w:type="spellEnd"/>
      <w:r w:rsidRPr="00CE2AAA">
        <w:rPr>
          <w:color w:val="000000"/>
          <w:lang w:val="en-US"/>
        </w:rPr>
        <w:t xml:space="preserve"> Mariam (</w:t>
      </w:r>
      <w:proofErr w:type="spellStart"/>
      <w:r w:rsidRPr="00CE2AAA">
        <w:rPr>
          <w:color w:val="000000"/>
          <w:lang w:val="en-US"/>
        </w:rPr>
        <w:t>ut</w:t>
      </w:r>
      <w:proofErr w:type="spellEnd"/>
      <w:r w:rsidRPr="00CE2AAA">
        <w:rPr>
          <w:color w:val="000000"/>
          <w:lang w:val="en-US"/>
        </w:rPr>
        <w:t xml:space="preserve"> Albertus Magnus </w:t>
      </w:r>
      <w:proofErr w:type="spellStart"/>
      <w:r w:rsidRPr="00CE2AAA">
        <w:rPr>
          <w:color w:val="000000"/>
          <w:lang w:val="en-US"/>
        </w:rPr>
        <w:t>piissime</w:t>
      </w:r>
      <w:proofErr w:type="spellEnd"/>
      <w:r w:rsidRPr="00CE2AAA">
        <w:rPr>
          <w:color w:val="000000"/>
          <w:lang w:val="en-US"/>
        </w:rPr>
        <w:t xml:space="preserve"> </w:t>
      </w:r>
      <w:proofErr w:type="spellStart"/>
      <w:r w:rsidRPr="00CE2AAA">
        <w:rPr>
          <w:color w:val="000000"/>
          <w:lang w:val="en-US"/>
        </w:rPr>
        <w:t>scientissimeque</w:t>
      </w:r>
      <w:proofErr w:type="spellEnd"/>
      <w:r w:rsidRPr="00CE2AAA">
        <w:rPr>
          <w:color w:val="000000"/>
          <w:lang w:val="en-US"/>
        </w:rPr>
        <w:t xml:space="preserve"> </w:t>
      </w:r>
      <w:proofErr w:type="spellStart"/>
      <w:r w:rsidRPr="00CE2AAA">
        <w:rPr>
          <w:color w:val="000000"/>
          <w:lang w:val="en-US"/>
        </w:rPr>
        <w:t>scribit</w:t>
      </w:r>
      <w:proofErr w:type="spellEnd"/>
      <w:r w:rsidRPr="00CE2AAA">
        <w:rPr>
          <w:color w:val="000000"/>
          <w:lang w:val="en-US"/>
        </w:rPr>
        <w:t xml:space="preserve">) inter cetera </w:t>
      </w:r>
      <w:proofErr w:type="spellStart"/>
      <w:r w:rsidRPr="00CE2AAA">
        <w:rPr>
          <w:color w:val="000000"/>
          <w:lang w:val="en-US"/>
        </w:rPr>
        <w:t>gratiarum</w:t>
      </w:r>
      <w:proofErr w:type="spellEnd"/>
      <w:r w:rsidRPr="00CE2AAA">
        <w:rPr>
          <w:color w:val="000000"/>
          <w:lang w:val="en-US"/>
        </w:rPr>
        <w:t xml:space="preserve"> </w:t>
      </w:r>
      <w:proofErr w:type="spellStart"/>
      <w:r w:rsidRPr="00CE2AAA">
        <w:rPr>
          <w:color w:val="000000"/>
          <w:lang w:val="en-US"/>
        </w:rPr>
        <w:t>dona</w:t>
      </w:r>
      <w:proofErr w:type="spellEnd"/>
      <w:r w:rsidRPr="00CE2AAA">
        <w:rPr>
          <w:color w:val="000000"/>
          <w:lang w:val="en-US"/>
        </w:rPr>
        <w:t xml:space="preserve"> </w:t>
      </w:r>
      <w:proofErr w:type="spellStart"/>
      <w:r w:rsidRPr="00CE2AAA">
        <w:rPr>
          <w:color w:val="000000"/>
          <w:lang w:val="en-US"/>
        </w:rPr>
        <w:t>musicam</w:t>
      </w:r>
      <w:proofErr w:type="spellEnd"/>
      <w:r w:rsidRPr="00CE2AAA">
        <w:rPr>
          <w:color w:val="000000"/>
          <w:lang w:val="en-US"/>
        </w:rPr>
        <w:t xml:space="preserve"> </w:t>
      </w:r>
      <w:proofErr w:type="spellStart"/>
      <w:r w:rsidRPr="00CE2AAA">
        <w:rPr>
          <w:color w:val="000000"/>
          <w:lang w:val="en-US"/>
        </w:rPr>
        <w:t>habuisse</w:t>
      </w:r>
      <w:proofErr w:type="spellEnd"/>
      <w:r w:rsidRPr="00CE2AAA">
        <w:rPr>
          <w:color w:val="000000"/>
          <w:lang w:val="en-US"/>
        </w:rPr>
        <w:t xml:space="preserve"> </w:t>
      </w:r>
      <w:proofErr w:type="spellStart"/>
      <w:r w:rsidRPr="00CE2AAA">
        <w:rPr>
          <w:color w:val="000000"/>
          <w:lang w:val="en-US"/>
        </w:rPr>
        <w:t>divinitus</w:t>
      </w:r>
      <w:proofErr w:type="spellEnd"/>
      <w:r w:rsidRPr="00CE2AAA">
        <w:rPr>
          <w:color w:val="000000"/>
          <w:lang w:val="en-US"/>
        </w:rPr>
        <w:t xml:space="preserve"> </w:t>
      </w:r>
      <w:proofErr w:type="spellStart"/>
      <w:r w:rsidRPr="00CE2AAA">
        <w:rPr>
          <w:color w:val="000000"/>
          <w:lang w:val="en-US"/>
        </w:rPr>
        <w:t>infusam</w:t>
      </w:r>
      <w:proofErr w:type="spellEnd"/>
      <w:r w:rsidRPr="00CE2AAA">
        <w:rPr>
          <w:color w:val="000000"/>
          <w:lang w:val="en-US"/>
        </w:rPr>
        <w:t xml:space="preserve">; qua scilicet </w:t>
      </w:r>
      <w:proofErr w:type="spellStart"/>
      <w:r w:rsidRPr="00CE2AAA">
        <w:rPr>
          <w:color w:val="000000"/>
          <w:lang w:val="en-US"/>
        </w:rPr>
        <w:t>carissimum</w:t>
      </w:r>
      <w:proofErr w:type="spellEnd"/>
      <w:r w:rsidRPr="00CE2AAA">
        <w:rPr>
          <w:color w:val="000000"/>
          <w:lang w:val="en-US"/>
        </w:rPr>
        <w:t xml:space="preserve"> </w:t>
      </w:r>
      <w:proofErr w:type="spellStart"/>
      <w:r w:rsidRPr="00CE2AAA">
        <w:rPr>
          <w:color w:val="000000"/>
          <w:lang w:val="en-US"/>
        </w:rPr>
        <w:t>eius</w:t>
      </w:r>
      <w:proofErr w:type="spellEnd"/>
      <w:r w:rsidRPr="00CE2AAA">
        <w:rPr>
          <w:color w:val="000000"/>
          <w:lang w:val="en-US"/>
        </w:rPr>
        <w:t xml:space="preserve"> </w:t>
      </w:r>
      <w:proofErr w:type="spellStart"/>
      <w:r w:rsidRPr="00CE2AAA">
        <w:rPr>
          <w:color w:val="000000"/>
          <w:lang w:val="en-US"/>
        </w:rPr>
        <w:t>infantem</w:t>
      </w:r>
      <w:proofErr w:type="spellEnd"/>
      <w:r w:rsidRPr="00CE2AAA">
        <w:rPr>
          <w:color w:val="000000"/>
          <w:lang w:val="en-US"/>
        </w:rPr>
        <w:t xml:space="preserve"> </w:t>
      </w:r>
      <w:proofErr w:type="spellStart"/>
      <w:r w:rsidRPr="00CE2AAA">
        <w:rPr>
          <w:color w:val="000000"/>
          <w:lang w:val="en-US"/>
        </w:rPr>
        <w:t>Jhesum</w:t>
      </w:r>
      <w:proofErr w:type="spellEnd"/>
      <w:r w:rsidRPr="00CE2AAA">
        <w:rPr>
          <w:color w:val="000000"/>
          <w:lang w:val="en-US"/>
        </w:rPr>
        <w:t xml:space="preserve"> </w:t>
      </w:r>
      <w:proofErr w:type="spellStart"/>
      <w:r w:rsidRPr="00CE2AAA">
        <w:rPr>
          <w:color w:val="000000"/>
          <w:lang w:val="en-US"/>
        </w:rPr>
        <w:t>humanitus</w:t>
      </w:r>
      <w:proofErr w:type="spellEnd"/>
      <w:r w:rsidRPr="00CE2AAA">
        <w:rPr>
          <w:color w:val="000000"/>
          <w:lang w:val="en-US"/>
        </w:rPr>
        <w:t xml:space="preserve"> </w:t>
      </w:r>
      <w:proofErr w:type="spellStart"/>
      <w:r w:rsidRPr="00CE2AAA">
        <w:rPr>
          <w:color w:val="000000"/>
          <w:lang w:val="en-US"/>
        </w:rPr>
        <w:t>vagientem</w:t>
      </w:r>
      <w:proofErr w:type="spellEnd"/>
      <w:r w:rsidRPr="00CE2AAA">
        <w:rPr>
          <w:color w:val="000000"/>
          <w:lang w:val="en-US"/>
        </w:rPr>
        <w:t xml:space="preserve"> </w:t>
      </w:r>
      <w:proofErr w:type="spellStart"/>
      <w:r w:rsidRPr="00CE2AAA">
        <w:rPr>
          <w:color w:val="000000"/>
          <w:lang w:val="en-US"/>
        </w:rPr>
        <w:t>mellifluis</w:t>
      </w:r>
      <w:proofErr w:type="spellEnd"/>
      <w:r w:rsidRPr="00CE2AAA">
        <w:rPr>
          <w:color w:val="000000"/>
          <w:lang w:val="en-US"/>
        </w:rPr>
        <w:t xml:space="preserve"> </w:t>
      </w:r>
      <w:proofErr w:type="spellStart"/>
      <w:r w:rsidRPr="00CE2AAA">
        <w:rPr>
          <w:color w:val="000000"/>
          <w:lang w:val="en-US"/>
        </w:rPr>
        <w:t>cantibus</w:t>
      </w:r>
      <w:proofErr w:type="spellEnd"/>
      <w:r w:rsidRPr="00CE2AAA">
        <w:rPr>
          <w:color w:val="000000"/>
          <w:lang w:val="en-US"/>
        </w:rPr>
        <w:t xml:space="preserve"> et a </w:t>
      </w:r>
      <w:proofErr w:type="spellStart"/>
      <w:r w:rsidRPr="00CE2AAA">
        <w:rPr>
          <w:color w:val="000000"/>
          <w:lang w:val="en-US"/>
        </w:rPr>
        <w:t>fletu</w:t>
      </w:r>
      <w:proofErr w:type="spellEnd"/>
      <w:r w:rsidRPr="00CE2AAA">
        <w:rPr>
          <w:color w:val="000000"/>
          <w:lang w:val="en-US"/>
        </w:rPr>
        <w:t xml:space="preserve"> </w:t>
      </w:r>
      <w:proofErr w:type="spellStart"/>
      <w:r w:rsidRPr="00CE2AAA">
        <w:rPr>
          <w:color w:val="000000"/>
          <w:lang w:val="en-US"/>
        </w:rPr>
        <w:t>temperaret</w:t>
      </w:r>
      <w:proofErr w:type="spellEnd"/>
      <w:r w:rsidRPr="00CE2AAA">
        <w:rPr>
          <w:color w:val="000000"/>
          <w:lang w:val="en-US"/>
        </w:rPr>
        <w:t xml:space="preserve"> et ad </w:t>
      </w:r>
      <w:proofErr w:type="spellStart"/>
      <w:r w:rsidRPr="00CE2AAA">
        <w:rPr>
          <w:color w:val="000000"/>
          <w:lang w:val="en-US"/>
        </w:rPr>
        <w:t>gaudium</w:t>
      </w:r>
      <w:proofErr w:type="spellEnd"/>
      <w:r w:rsidRPr="00CE2AAA">
        <w:rPr>
          <w:color w:val="000000"/>
          <w:lang w:val="en-US"/>
        </w:rPr>
        <w:t xml:space="preserve"> </w:t>
      </w:r>
      <w:proofErr w:type="spellStart"/>
      <w:r w:rsidRPr="00CE2AAA">
        <w:rPr>
          <w:color w:val="000000"/>
          <w:lang w:val="en-US"/>
        </w:rPr>
        <w:t>provocaret</w:t>
      </w:r>
      <w:proofErr w:type="spellEnd"/>
      <w:r w:rsidRPr="00CE2AAA">
        <w:rPr>
          <w:color w:val="000000"/>
          <w:lang w:val="en-US"/>
        </w:rPr>
        <w:t xml:space="preserve">. </w:t>
      </w:r>
      <w:proofErr w:type="spellStart"/>
      <w:r w:rsidRPr="00CE2AAA">
        <w:rPr>
          <w:color w:val="000000"/>
          <w:lang w:val="en-US"/>
        </w:rPr>
        <w:t>Cuiquidem</w:t>
      </w:r>
      <w:proofErr w:type="spellEnd"/>
      <w:r w:rsidRPr="00CE2AAA">
        <w:rPr>
          <w:color w:val="000000"/>
          <w:lang w:val="en-US"/>
        </w:rPr>
        <w:t xml:space="preserve"> </w:t>
      </w:r>
      <w:proofErr w:type="spellStart"/>
      <w:r w:rsidRPr="00CE2AAA">
        <w:rPr>
          <w:color w:val="000000"/>
          <w:lang w:val="en-US"/>
        </w:rPr>
        <w:t>Jhesu</w:t>
      </w:r>
      <w:proofErr w:type="spellEnd"/>
      <w:r w:rsidRPr="00CE2AAA">
        <w:rPr>
          <w:color w:val="000000"/>
          <w:lang w:val="en-US"/>
        </w:rPr>
        <w:t xml:space="preserve"> </w:t>
      </w:r>
      <w:proofErr w:type="spellStart"/>
      <w:r w:rsidRPr="00CE2AAA">
        <w:rPr>
          <w:color w:val="000000"/>
          <w:lang w:val="en-US"/>
        </w:rPr>
        <w:t>unico</w:t>
      </w:r>
      <w:proofErr w:type="spellEnd"/>
      <w:r w:rsidRPr="00CE2AAA">
        <w:rPr>
          <w:color w:val="000000"/>
          <w:lang w:val="en-US"/>
        </w:rPr>
        <w:t xml:space="preserve"> </w:t>
      </w:r>
      <w:proofErr w:type="spellStart"/>
      <w:r w:rsidRPr="00CE2AAA">
        <w:rPr>
          <w:color w:val="000000"/>
          <w:lang w:val="en-US"/>
        </w:rPr>
        <w:t>salvatori</w:t>
      </w:r>
      <w:proofErr w:type="spellEnd"/>
      <w:r w:rsidRPr="00CE2AAA">
        <w:rPr>
          <w:color w:val="000000"/>
          <w:lang w:val="en-US"/>
        </w:rPr>
        <w:t xml:space="preserve"> </w:t>
      </w:r>
      <w:proofErr w:type="spellStart"/>
      <w:r w:rsidRPr="00CE2AAA">
        <w:rPr>
          <w:color w:val="000000"/>
          <w:lang w:val="en-US"/>
        </w:rPr>
        <w:t>nostro</w:t>
      </w:r>
      <w:proofErr w:type="spellEnd"/>
      <w:r w:rsidRPr="00CE2AAA">
        <w:rPr>
          <w:color w:val="000000"/>
          <w:lang w:val="en-US"/>
        </w:rPr>
        <w:t xml:space="preserve">, super </w:t>
      </w:r>
      <w:proofErr w:type="spellStart"/>
      <w:r w:rsidRPr="00CE2AAA">
        <w:rPr>
          <w:color w:val="000000"/>
          <w:lang w:val="en-US"/>
        </w:rPr>
        <w:t>quem</w:t>
      </w:r>
      <w:proofErr w:type="spellEnd"/>
      <w:r w:rsidRPr="00CE2AAA">
        <w:rPr>
          <w:color w:val="000000"/>
          <w:lang w:val="en-US"/>
        </w:rPr>
        <w:t xml:space="preserve"> (</w:t>
      </w:r>
      <w:proofErr w:type="spellStart"/>
      <w:r w:rsidRPr="00CE2AAA">
        <w:rPr>
          <w:color w:val="000000"/>
          <w:lang w:val="en-US"/>
        </w:rPr>
        <w:t>iuxta</w:t>
      </w:r>
      <w:proofErr w:type="spellEnd"/>
      <w:r w:rsidRPr="00CE2AAA">
        <w:rPr>
          <w:color w:val="000000"/>
          <w:lang w:val="en-US"/>
        </w:rPr>
        <w:t xml:space="preserve"> </w:t>
      </w:r>
      <w:proofErr w:type="spellStart"/>
      <w:r w:rsidRPr="00CE2AAA">
        <w:rPr>
          <w:color w:val="000000"/>
          <w:lang w:val="en-US"/>
        </w:rPr>
        <w:t>vaticinium</w:t>
      </w:r>
      <w:proofErr w:type="spellEnd"/>
      <w:r w:rsidRPr="00CE2AAA">
        <w:rPr>
          <w:color w:val="000000"/>
          <w:lang w:val="en-US"/>
        </w:rPr>
        <w:t xml:space="preserve"> </w:t>
      </w:r>
      <w:proofErr w:type="spellStart"/>
      <w:r w:rsidRPr="00CE2AAA">
        <w:rPr>
          <w:color w:val="000000"/>
          <w:lang w:val="en-US"/>
        </w:rPr>
        <w:t>Isaie</w:t>
      </w:r>
      <w:proofErr w:type="spellEnd"/>
      <w:r w:rsidRPr="00CE2AAA">
        <w:rPr>
          <w:color w:val="000000"/>
          <w:lang w:val="en-US"/>
        </w:rPr>
        <w:t xml:space="preserve">) </w:t>
      </w:r>
      <w:proofErr w:type="spellStart"/>
      <w:r w:rsidRPr="00CE2AAA">
        <w:rPr>
          <w:color w:val="000000"/>
          <w:lang w:val="en-US"/>
        </w:rPr>
        <w:t>requievit</w:t>
      </w:r>
      <w:proofErr w:type="spellEnd"/>
      <w:r w:rsidRPr="00CE2AAA">
        <w:rPr>
          <w:color w:val="000000"/>
          <w:lang w:val="en-US"/>
        </w:rPr>
        <w:t xml:space="preserve"> spiritus </w:t>
      </w:r>
      <w:proofErr w:type="spellStart"/>
      <w:r w:rsidRPr="00CE2AAA">
        <w:rPr>
          <w:color w:val="000000"/>
          <w:lang w:val="en-US"/>
        </w:rPr>
        <w:t>sapiencie</w:t>
      </w:r>
      <w:proofErr w:type="spellEnd"/>
      <w:r w:rsidRPr="00CE2AAA">
        <w:rPr>
          <w:color w:val="000000"/>
          <w:lang w:val="en-US"/>
        </w:rPr>
        <w:t xml:space="preserve">, </w:t>
      </w:r>
      <w:proofErr w:type="spellStart"/>
      <w:r w:rsidRPr="00CE2AAA">
        <w:rPr>
          <w:color w:val="000000"/>
          <w:lang w:val="en-US"/>
        </w:rPr>
        <w:t>intellectus</w:t>
      </w:r>
      <w:proofErr w:type="spellEnd"/>
      <w:r w:rsidRPr="00CE2AAA">
        <w:rPr>
          <w:color w:val="000000"/>
          <w:lang w:val="en-US"/>
        </w:rPr>
        <w:t xml:space="preserve">, ac </w:t>
      </w:r>
      <w:proofErr w:type="spellStart"/>
      <w:r w:rsidRPr="00CE2AAA">
        <w:rPr>
          <w:color w:val="000000"/>
          <w:lang w:val="en-US"/>
        </w:rPr>
        <w:t>sciencie</w:t>
      </w:r>
      <w:proofErr w:type="spellEnd"/>
      <w:r w:rsidRPr="00CE2AAA">
        <w:rPr>
          <w:color w:val="000000"/>
          <w:lang w:val="en-US"/>
        </w:rPr>
        <w:t xml:space="preserve">, </w:t>
      </w:r>
      <w:proofErr w:type="spellStart"/>
      <w:r w:rsidRPr="00CE2AAA">
        <w:rPr>
          <w:color w:val="000000"/>
          <w:lang w:val="en-US"/>
        </w:rPr>
        <w:t>fuit</w:t>
      </w:r>
      <w:proofErr w:type="spellEnd"/>
      <w:r w:rsidRPr="00CE2AAA">
        <w:rPr>
          <w:color w:val="000000"/>
          <w:lang w:val="en-US"/>
        </w:rPr>
        <w:t xml:space="preserve"> </w:t>
      </w:r>
      <w:proofErr w:type="spellStart"/>
      <w:r w:rsidRPr="00CE2AAA">
        <w:rPr>
          <w:color w:val="000000"/>
          <w:lang w:val="en-US"/>
        </w:rPr>
        <w:t>musica</w:t>
      </w:r>
      <w:proofErr w:type="spellEnd"/>
      <w:r w:rsidRPr="00CE2AAA">
        <w:rPr>
          <w:color w:val="000000"/>
          <w:lang w:val="en-US"/>
        </w:rPr>
        <w:t xml:space="preserve"> (</w:t>
      </w:r>
      <w:proofErr w:type="spellStart"/>
      <w:r w:rsidRPr="00CE2AAA">
        <w:rPr>
          <w:color w:val="000000"/>
          <w:lang w:val="en-US"/>
        </w:rPr>
        <w:t>quemadmodum</w:t>
      </w:r>
      <w:proofErr w:type="spellEnd"/>
      <w:r w:rsidRPr="00CE2AAA">
        <w:rPr>
          <w:color w:val="000000"/>
          <w:lang w:val="en-US"/>
        </w:rPr>
        <w:t xml:space="preserve"> et </w:t>
      </w:r>
      <w:proofErr w:type="spellStart"/>
      <w:r w:rsidRPr="00CE2AAA">
        <w:rPr>
          <w:color w:val="000000"/>
          <w:lang w:val="en-US"/>
        </w:rPr>
        <w:t>relique</w:t>
      </w:r>
      <w:proofErr w:type="spellEnd"/>
      <w:r w:rsidRPr="00CE2AAA">
        <w:rPr>
          <w:color w:val="000000"/>
          <w:lang w:val="en-US"/>
        </w:rPr>
        <w:t xml:space="preserve"> </w:t>
      </w:r>
      <w:proofErr w:type="spellStart"/>
      <w:r w:rsidRPr="00CE2AAA">
        <w:rPr>
          <w:color w:val="000000"/>
          <w:lang w:val="en-US"/>
        </w:rPr>
        <w:t>sciencie</w:t>
      </w:r>
      <w:proofErr w:type="spellEnd"/>
      <w:r w:rsidRPr="00CE2AAA">
        <w:rPr>
          <w:color w:val="000000"/>
          <w:lang w:val="en-US"/>
        </w:rPr>
        <w:t xml:space="preserve">) ab </w:t>
      </w:r>
      <w:proofErr w:type="spellStart"/>
      <w:r w:rsidRPr="00CE2AAA">
        <w:rPr>
          <w:color w:val="000000"/>
          <w:lang w:val="en-US"/>
        </w:rPr>
        <w:t>instanti</w:t>
      </w:r>
      <w:proofErr w:type="spellEnd"/>
      <w:r w:rsidRPr="00CE2AAA">
        <w:rPr>
          <w:color w:val="000000"/>
          <w:lang w:val="en-US"/>
        </w:rPr>
        <w:t xml:space="preserve"> sue </w:t>
      </w:r>
      <w:proofErr w:type="spellStart"/>
      <w:r w:rsidRPr="00CE2AAA">
        <w:rPr>
          <w:color w:val="000000"/>
          <w:lang w:val="en-US"/>
        </w:rPr>
        <w:t>conceptionis</w:t>
      </w:r>
      <w:proofErr w:type="spellEnd"/>
      <w:r w:rsidRPr="00CE2AAA">
        <w:rPr>
          <w:color w:val="000000"/>
          <w:lang w:val="en-US"/>
        </w:rPr>
        <w:t xml:space="preserve"> </w:t>
      </w:r>
      <w:proofErr w:type="spellStart"/>
      <w:r w:rsidRPr="00CE2AAA">
        <w:rPr>
          <w:color w:val="000000"/>
          <w:lang w:val="en-US"/>
        </w:rPr>
        <w:t>infusa</w:t>
      </w:r>
      <w:proofErr w:type="spellEnd"/>
      <w:r w:rsidRPr="00CE2AAA">
        <w:rPr>
          <w:color w:val="000000"/>
          <w:lang w:val="en-US"/>
        </w:rPr>
        <w:t>.” Ibid., 1.11.</w:t>
      </w:r>
    </w:p>
  </w:footnote>
  <w:footnote w:id="633">
    <w:p w14:paraId="7B5AA8D2" w14:textId="77777777" w:rsidR="00182EED" w:rsidRDefault="00182EED" w:rsidP="00094F64">
      <w:pPr>
        <w:pStyle w:val="FootnoteText"/>
      </w:pPr>
      <w:r w:rsidRPr="00591949">
        <w:rPr>
          <w:rStyle w:val="FootnoteReference"/>
        </w:rPr>
        <w:footnoteRef/>
      </w:r>
      <w:r>
        <w:t xml:space="preserve"> </w:t>
      </w:r>
      <w:r w:rsidRPr="00A74DDB">
        <w:rPr>
          <w:color w:val="000000"/>
          <w:lang w:val="en-US"/>
        </w:rPr>
        <w:t xml:space="preserve">Lightbown, </w:t>
      </w:r>
      <w:r w:rsidRPr="00A74DDB">
        <w:rPr>
          <w:i/>
          <w:iCs/>
          <w:color w:val="000000"/>
          <w:lang w:val="en-US"/>
        </w:rPr>
        <w:t>Sandro Botticelli: Life and Work</w:t>
      </w:r>
      <w:r w:rsidRPr="00A74DDB">
        <w:rPr>
          <w:color w:val="000000"/>
          <w:lang w:val="en-US"/>
        </w:rPr>
        <w:t xml:space="preserve">, vol.2, B29, 42-44; Olson, </w:t>
      </w:r>
      <w:r w:rsidRPr="00A74DDB">
        <w:rPr>
          <w:i/>
          <w:iCs/>
          <w:color w:val="000000"/>
          <w:lang w:val="en-US"/>
        </w:rPr>
        <w:t>The Florentine Tondo</w:t>
      </w:r>
      <w:r w:rsidRPr="00A74DDB">
        <w:rPr>
          <w:color w:val="000000"/>
          <w:lang w:val="en-US"/>
        </w:rPr>
        <w:t xml:space="preserve">, 187 n.79; see also Ruben </w:t>
      </w:r>
      <w:proofErr w:type="spellStart"/>
      <w:r w:rsidRPr="00A74DDB">
        <w:rPr>
          <w:color w:val="000000"/>
          <w:lang w:val="en-US"/>
        </w:rPr>
        <w:t>Rebmann</w:t>
      </w:r>
      <w:proofErr w:type="spellEnd"/>
      <w:r w:rsidRPr="00A74DDB">
        <w:rPr>
          <w:color w:val="000000"/>
          <w:lang w:val="en-US"/>
        </w:rPr>
        <w:t xml:space="preserve">, “Entry 117,” in </w:t>
      </w:r>
      <w:r w:rsidRPr="00A74DDB">
        <w:rPr>
          <w:i/>
          <w:iCs/>
          <w:color w:val="000000"/>
          <w:lang w:val="en-US"/>
        </w:rPr>
        <w:t>Botticelli Reimagined</w:t>
      </w:r>
      <w:r w:rsidRPr="00A74DDB">
        <w:rPr>
          <w:color w:val="000000"/>
          <w:lang w:val="en-US"/>
        </w:rPr>
        <w:t xml:space="preserve">, ed. Mark Evans, Stefan </w:t>
      </w:r>
      <w:proofErr w:type="spellStart"/>
      <w:r w:rsidRPr="00A74DDB">
        <w:rPr>
          <w:color w:val="000000"/>
          <w:lang w:val="en-US"/>
        </w:rPr>
        <w:t>Weppelmann</w:t>
      </w:r>
      <w:proofErr w:type="spellEnd"/>
      <w:r w:rsidRPr="00A74DDB">
        <w:rPr>
          <w:color w:val="000000"/>
          <w:lang w:val="en-US"/>
        </w:rPr>
        <w:t xml:space="preserve">, and Ana </w:t>
      </w:r>
      <w:proofErr w:type="spellStart"/>
      <w:r w:rsidRPr="00A74DDB">
        <w:rPr>
          <w:color w:val="000000"/>
          <w:lang w:val="en-US"/>
        </w:rPr>
        <w:t>Debenedetti</w:t>
      </w:r>
      <w:proofErr w:type="spellEnd"/>
      <w:r w:rsidRPr="00A74DDB">
        <w:rPr>
          <w:color w:val="000000"/>
          <w:lang w:val="en-US"/>
        </w:rPr>
        <w:t xml:space="preserve"> (London: V &amp; A Publishing, 2016), 267; Sabine Hoffmann, “Entries 115, 116,” in </w:t>
      </w:r>
      <w:r w:rsidRPr="00A74DDB">
        <w:rPr>
          <w:i/>
          <w:iCs/>
          <w:color w:val="000000"/>
          <w:lang w:val="en-US"/>
        </w:rPr>
        <w:t>Botticelli Reimagined</w:t>
      </w:r>
      <w:r w:rsidRPr="00A74DDB">
        <w:rPr>
          <w:color w:val="000000"/>
          <w:lang w:val="en-US"/>
        </w:rPr>
        <w:t xml:space="preserve">, ed. Mark Evans, Stefan </w:t>
      </w:r>
      <w:proofErr w:type="spellStart"/>
      <w:r w:rsidRPr="00A74DDB">
        <w:rPr>
          <w:color w:val="000000"/>
          <w:lang w:val="en-US"/>
        </w:rPr>
        <w:t>Weppelmann</w:t>
      </w:r>
      <w:proofErr w:type="spellEnd"/>
      <w:r w:rsidRPr="00A74DDB">
        <w:rPr>
          <w:color w:val="000000"/>
          <w:lang w:val="en-US"/>
        </w:rPr>
        <w:t xml:space="preserve">, and Ana </w:t>
      </w:r>
      <w:proofErr w:type="spellStart"/>
      <w:r w:rsidRPr="00A74DDB">
        <w:rPr>
          <w:color w:val="000000"/>
          <w:lang w:val="en-US"/>
        </w:rPr>
        <w:t>Debenedetti</w:t>
      </w:r>
      <w:proofErr w:type="spellEnd"/>
      <w:r w:rsidRPr="00A74DDB">
        <w:rPr>
          <w:color w:val="000000"/>
          <w:lang w:val="en-US"/>
        </w:rPr>
        <w:t xml:space="preserve"> (London: V &amp; A Publishing, 2016), 266.</w:t>
      </w:r>
    </w:p>
  </w:footnote>
  <w:footnote w:id="634">
    <w:p w14:paraId="600B7A0C" w14:textId="77777777" w:rsidR="00182EED" w:rsidRDefault="00182EED" w:rsidP="00094F64">
      <w:pPr>
        <w:pStyle w:val="FootnoteText"/>
      </w:pPr>
      <w:r w:rsidRPr="00591949">
        <w:rPr>
          <w:rStyle w:val="FootnoteReference"/>
        </w:rPr>
        <w:footnoteRef/>
      </w:r>
      <w:r>
        <w:t xml:space="preserve"> </w:t>
      </w:r>
      <w:r w:rsidRPr="00A74DDB">
        <w:rPr>
          <w:color w:val="000000"/>
          <w:lang w:val="en-US"/>
        </w:rPr>
        <w:t xml:space="preserve">Olson, </w:t>
      </w:r>
      <w:r w:rsidRPr="00A74DDB">
        <w:rPr>
          <w:i/>
          <w:iCs/>
          <w:color w:val="000000"/>
          <w:lang w:val="en-US"/>
        </w:rPr>
        <w:t>The Florentine Tondo</w:t>
      </w:r>
      <w:r w:rsidRPr="00A74DDB">
        <w:rPr>
          <w:color w:val="000000"/>
          <w:lang w:val="en-US"/>
        </w:rPr>
        <w:t>, 187–88.</w:t>
      </w:r>
    </w:p>
  </w:footnote>
  <w:footnote w:id="635">
    <w:p w14:paraId="3355FEA5" w14:textId="77777777" w:rsidR="00182EED" w:rsidRDefault="00182EED" w:rsidP="00094F64">
      <w:pPr>
        <w:pStyle w:val="FootnoteText"/>
      </w:pPr>
      <w:r w:rsidRPr="00591949">
        <w:rPr>
          <w:rStyle w:val="FootnoteReference"/>
        </w:rPr>
        <w:footnoteRef/>
      </w:r>
      <w:r>
        <w:t xml:space="preserve"> </w:t>
      </w:r>
      <w:r w:rsidRPr="00A74DDB">
        <w:rPr>
          <w:color w:val="000000"/>
          <w:lang w:val="en-US"/>
        </w:rPr>
        <w:t xml:space="preserve">Dale, “Donatello’s </w:t>
      </w:r>
      <w:proofErr w:type="spellStart"/>
      <w:r w:rsidRPr="00A74DDB">
        <w:rPr>
          <w:i/>
          <w:iCs/>
          <w:color w:val="000000"/>
          <w:lang w:val="en-US"/>
        </w:rPr>
        <w:t>Chellini</w:t>
      </w:r>
      <w:proofErr w:type="spellEnd"/>
      <w:r w:rsidRPr="00A74DDB">
        <w:rPr>
          <w:i/>
          <w:iCs/>
          <w:color w:val="000000"/>
          <w:lang w:val="en-US"/>
        </w:rPr>
        <w:t xml:space="preserve"> Madonna</w:t>
      </w:r>
      <w:r w:rsidRPr="00A74DDB">
        <w:rPr>
          <w:color w:val="000000"/>
          <w:lang w:val="en-US"/>
        </w:rPr>
        <w:t>,” 8.</w:t>
      </w:r>
    </w:p>
  </w:footnote>
  <w:footnote w:id="636">
    <w:p w14:paraId="0516C315" w14:textId="77777777" w:rsidR="00182EED" w:rsidRDefault="00182EED" w:rsidP="00094F64">
      <w:pPr>
        <w:pStyle w:val="FootnoteText"/>
      </w:pPr>
      <w:r w:rsidRPr="00591949">
        <w:rPr>
          <w:rStyle w:val="FootnoteReference"/>
        </w:rPr>
        <w:footnoteRef/>
      </w:r>
      <w:r>
        <w:t xml:space="preserve"> </w:t>
      </w:r>
      <w:r w:rsidRPr="00A74DDB">
        <w:rPr>
          <w:color w:val="000000"/>
          <w:lang w:val="en-US"/>
        </w:rPr>
        <w:t xml:space="preserve">Lightbown, </w:t>
      </w:r>
      <w:r w:rsidRPr="00A74DDB">
        <w:rPr>
          <w:i/>
          <w:iCs/>
          <w:color w:val="000000"/>
          <w:lang w:val="en-US"/>
        </w:rPr>
        <w:t>Sandro Botticelli: Life and Work</w:t>
      </w:r>
      <w:r w:rsidRPr="00A74DDB">
        <w:rPr>
          <w:color w:val="000000"/>
          <w:lang w:val="en-US"/>
        </w:rPr>
        <w:t>, vol.2, c50, 142; see also http://www.sothebys.com/en/auctions/ecatalogue/2017/master-paintings-n09601/lot.11.html.</w:t>
      </w:r>
    </w:p>
  </w:footnote>
  <w:footnote w:id="637">
    <w:p w14:paraId="5546A683" w14:textId="77777777" w:rsidR="00182EED" w:rsidRDefault="00182EED" w:rsidP="00094F64">
      <w:pPr>
        <w:pStyle w:val="FootnoteText"/>
      </w:pPr>
      <w:r w:rsidRPr="00591949">
        <w:rPr>
          <w:rStyle w:val="FootnoteReference"/>
        </w:rPr>
        <w:footnoteRef/>
      </w:r>
      <w:r>
        <w:t xml:space="preserve"> </w:t>
      </w:r>
      <w:r>
        <w:rPr>
          <w:noProof/>
        </w:rPr>
        <w:t>Ibid., vol.1, 118.</w:t>
      </w:r>
    </w:p>
  </w:footnote>
  <w:footnote w:id="638">
    <w:p w14:paraId="126EDE0A" w14:textId="77777777" w:rsidR="00182EED" w:rsidRDefault="00182EED" w:rsidP="00094F64">
      <w:pPr>
        <w:pStyle w:val="FootnoteText"/>
      </w:pPr>
      <w:r w:rsidRPr="00591949">
        <w:rPr>
          <w:rStyle w:val="FootnoteReference"/>
        </w:rPr>
        <w:footnoteRef/>
      </w:r>
      <w:r>
        <w:t xml:space="preserve"> </w:t>
      </w:r>
      <w:r w:rsidRPr="00A74DDB">
        <w:rPr>
          <w:color w:val="000000"/>
          <w:lang w:val="en-US"/>
        </w:rPr>
        <w:t xml:space="preserve">This composition shows the Virgin and Child with Saint John the Baptist. See Lightbown, </w:t>
      </w:r>
      <w:r w:rsidRPr="00A74DDB">
        <w:rPr>
          <w:i/>
          <w:iCs/>
          <w:color w:val="000000"/>
          <w:lang w:val="en-US"/>
        </w:rPr>
        <w:t>Sandro Botticelli: Life and Work</w:t>
      </w:r>
      <w:r w:rsidRPr="00A74DDB">
        <w:rPr>
          <w:color w:val="000000"/>
          <w:lang w:val="en-US"/>
        </w:rPr>
        <w:t xml:space="preserve">, vol.2, 139; Ana </w:t>
      </w:r>
      <w:proofErr w:type="spellStart"/>
      <w:r w:rsidRPr="00A74DDB">
        <w:rPr>
          <w:color w:val="000000"/>
          <w:lang w:val="en-US"/>
        </w:rPr>
        <w:t>Debenedetti</w:t>
      </w:r>
      <w:proofErr w:type="spellEnd"/>
      <w:r w:rsidRPr="00A74DDB">
        <w:rPr>
          <w:color w:val="000000"/>
          <w:lang w:val="en-US"/>
        </w:rPr>
        <w:t xml:space="preserve">, “Entry 119,” in </w:t>
      </w:r>
      <w:r w:rsidRPr="00A74DDB">
        <w:rPr>
          <w:i/>
          <w:iCs/>
          <w:color w:val="000000"/>
          <w:lang w:val="en-US"/>
        </w:rPr>
        <w:t>Botticelli Reimagined</w:t>
      </w:r>
      <w:r w:rsidRPr="00A74DDB">
        <w:rPr>
          <w:color w:val="000000"/>
          <w:lang w:val="en-US"/>
        </w:rPr>
        <w:t xml:space="preserve">, ed. Mark Evans, Stefan </w:t>
      </w:r>
      <w:proofErr w:type="spellStart"/>
      <w:r w:rsidRPr="00A74DDB">
        <w:rPr>
          <w:color w:val="000000"/>
          <w:lang w:val="en-US"/>
        </w:rPr>
        <w:t>Weppelmann</w:t>
      </w:r>
      <w:proofErr w:type="spellEnd"/>
      <w:r w:rsidRPr="00A74DDB">
        <w:rPr>
          <w:color w:val="000000"/>
          <w:lang w:val="en-US"/>
        </w:rPr>
        <w:t xml:space="preserve">, and Ana </w:t>
      </w:r>
      <w:proofErr w:type="spellStart"/>
      <w:r w:rsidRPr="00A74DDB">
        <w:rPr>
          <w:color w:val="000000"/>
          <w:lang w:val="en-US"/>
        </w:rPr>
        <w:t>Debenedetti</w:t>
      </w:r>
      <w:proofErr w:type="spellEnd"/>
      <w:r w:rsidRPr="00A74DDB">
        <w:rPr>
          <w:color w:val="000000"/>
          <w:lang w:val="en-US"/>
        </w:rPr>
        <w:t xml:space="preserve"> (London: V &amp; A Publishing, 2016), 269; see also http://www.sothebys.com/en/auctions/ecatalogue/2015/so-moretti-n09306/lot.125.html and http://www.sothebys.com/en/auctions/ecatalogue/2017/master-paintings-sculpture-day-sale-n09602/lot.123.html (accessed on 10th February 2019). The rectangular version of this painting is kept in the Museum of Fine Arts, Boston.</w:t>
      </w:r>
    </w:p>
  </w:footnote>
  <w:footnote w:id="639">
    <w:p w14:paraId="4248CF11" w14:textId="77777777" w:rsidR="00182EED" w:rsidRDefault="00182EED" w:rsidP="00094F64">
      <w:pPr>
        <w:pStyle w:val="FootnoteText"/>
      </w:pPr>
      <w:r w:rsidRPr="00591949">
        <w:rPr>
          <w:rStyle w:val="FootnoteReference"/>
        </w:rPr>
        <w:footnoteRef/>
      </w:r>
      <w:r>
        <w:t xml:space="preserve"> </w:t>
      </w:r>
      <w:r w:rsidRPr="00135F7D">
        <w:rPr>
          <w:color w:val="000000"/>
          <w:lang w:val="en-US"/>
        </w:rPr>
        <w:t xml:space="preserve">Lightbown, </w:t>
      </w:r>
      <w:r w:rsidRPr="00135F7D">
        <w:rPr>
          <w:i/>
          <w:iCs/>
          <w:color w:val="000000"/>
          <w:lang w:val="en-US"/>
        </w:rPr>
        <w:t>Sandro Botticelli: Life and Work</w:t>
      </w:r>
      <w:r w:rsidRPr="00135F7D">
        <w:rPr>
          <w:color w:val="000000"/>
          <w:lang w:val="en-US"/>
        </w:rPr>
        <w:t xml:space="preserve">, vol.1, 117; see also ibid., vol.2, B73, 82-83; </w:t>
      </w:r>
      <w:proofErr w:type="spellStart"/>
      <w:r w:rsidRPr="00135F7D">
        <w:rPr>
          <w:color w:val="000000"/>
          <w:lang w:val="en-US"/>
        </w:rPr>
        <w:t>Zöllner</w:t>
      </w:r>
      <w:proofErr w:type="spellEnd"/>
      <w:r w:rsidRPr="00135F7D">
        <w:rPr>
          <w:color w:val="000000"/>
          <w:lang w:val="en-US"/>
        </w:rPr>
        <w:t xml:space="preserve">, </w:t>
      </w:r>
      <w:r w:rsidRPr="00135F7D">
        <w:rPr>
          <w:i/>
          <w:iCs/>
          <w:color w:val="000000"/>
          <w:lang w:val="en-US"/>
        </w:rPr>
        <w:t>Sandro Botticelli</w:t>
      </w:r>
      <w:r w:rsidRPr="00135F7D">
        <w:rPr>
          <w:color w:val="000000"/>
          <w:lang w:val="en-US"/>
        </w:rPr>
        <w:t xml:space="preserve">, 248–49; Pons, </w:t>
      </w:r>
      <w:r w:rsidRPr="00135F7D">
        <w:rPr>
          <w:i/>
          <w:iCs/>
          <w:color w:val="000000"/>
          <w:lang w:val="en-US"/>
        </w:rPr>
        <w:t xml:space="preserve">Botticelli: </w:t>
      </w:r>
      <w:proofErr w:type="spellStart"/>
      <w:r w:rsidRPr="00135F7D">
        <w:rPr>
          <w:i/>
          <w:iCs/>
          <w:color w:val="000000"/>
          <w:lang w:val="en-US"/>
        </w:rPr>
        <w:t>Catalogo</w:t>
      </w:r>
      <w:proofErr w:type="spellEnd"/>
      <w:r w:rsidRPr="00135F7D">
        <w:rPr>
          <w:i/>
          <w:iCs/>
          <w:color w:val="000000"/>
          <w:lang w:val="en-US"/>
        </w:rPr>
        <w:t xml:space="preserve"> complete</w:t>
      </w:r>
      <w:r w:rsidRPr="00135F7D">
        <w:rPr>
          <w:color w:val="000000"/>
          <w:lang w:val="en-US"/>
        </w:rPr>
        <w:t>, entry 113, 85.</w:t>
      </w:r>
    </w:p>
  </w:footnote>
  <w:footnote w:id="640">
    <w:p w14:paraId="7E3CAA2B" w14:textId="47587966" w:rsidR="00182EED" w:rsidRDefault="00182EED" w:rsidP="00094F64">
      <w:pPr>
        <w:pStyle w:val="FootnoteText"/>
      </w:pPr>
      <w:r w:rsidRPr="00591949">
        <w:rPr>
          <w:rStyle w:val="FootnoteReference"/>
        </w:rPr>
        <w:footnoteRef/>
      </w:r>
      <w:r>
        <w:t xml:space="preserve"> </w:t>
      </w:r>
      <w:r w:rsidRPr="00135F7D">
        <w:rPr>
          <w:color w:val="000000"/>
          <w:lang w:val="en-US"/>
        </w:rPr>
        <w:t xml:space="preserve">Ronald G. Kecks, </w:t>
      </w:r>
      <w:r w:rsidRPr="00135F7D">
        <w:rPr>
          <w:i/>
          <w:iCs/>
          <w:color w:val="000000"/>
          <w:lang w:val="en-US"/>
        </w:rPr>
        <w:t xml:space="preserve">Madonna Und Kind: Das </w:t>
      </w:r>
      <w:proofErr w:type="spellStart"/>
      <w:r w:rsidRPr="00135F7D">
        <w:rPr>
          <w:i/>
          <w:iCs/>
          <w:color w:val="000000"/>
          <w:lang w:val="en-US"/>
        </w:rPr>
        <w:t>Häusliche</w:t>
      </w:r>
      <w:proofErr w:type="spellEnd"/>
      <w:r w:rsidRPr="00135F7D">
        <w:rPr>
          <w:i/>
          <w:iCs/>
          <w:color w:val="000000"/>
          <w:lang w:val="en-US"/>
        </w:rPr>
        <w:t xml:space="preserve"> </w:t>
      </w:r>
      <w:proofErr w:type="spellStart"/>
      <w:r w:rsidRPr="00135F7D">
        <w:rPr>
          <w:i/>
          <w:iCs/>
          <w:color w:val="000000"/>
          <w:lang w:val="en-US"/>
        </w:rPr>
        <w:t>Andachtsbild</w:t>
      </w:r>
      <w:proofErr w:type="spellEnd"/>
      <w:r w:rsidRPr="00135F7D">
        <w:rPr>
          <w:i/>
          <w:iCs/>
          <w:color w:val="000000"/>
          <w:lang w:val="en-US"/>
        </w:rPr>
        <w:t xml:space="preserve"> </w:t>
      </w:r>
      <w:proofErr w:type="spellStart"/>
      <w:r w:rsidRPr="00135F7D">
        <w:rPr>
          <w:i/>
          <w:iCs/>
          <w:color w:val="000000"/>
          <w:lang w:val="en-US"/>
        </w:rPr>
        <w:t>Im</w:t>
      </w:r>
      <w:proofErr w:type="spellEnd"/>
      <w:r w:rsidRPr="00135F7D">
        <w:rPr>
          <w:i/>
          <w:iCs/>
          <w:color w:val="000000"/>
          <w:lang w:val="en-US"/>
        </w:rPr>
        <w:t xml:space="preserve"> </w:t>
      </w:r>
      <w:proofErr w:type="spellStart"/>
      <w:r w:rsidRPr="00135F7D">
        <w:rPr>
          <w:i/>
          <w:iCs/>
          <w:color w:val="000000"/>
          <w:lang w:val="en-US"/>
        </w:rPr>
        <w:t>Florenz</w:t>
      </w:r>
      <w:proofErr w:type="spellEnd"/>
      <w:r w:rsidRPr="00135F7D">
        <w:rPr>
          <w:i/>
          <w:iCs/>
          <w:color w:val="000000"/>
          <w:lang w:val="en-US"/>
        </w:rPr>
        <w:t xml:space="preserve"> Des 15. </w:t>
      </w:r>
      <w:proofErr w:type="spellStart"/>
      <w:r w:rsidRPr="00135F7D">
        <w:rPr>
          <w:i/>
          <w:iCs/>
          <w:color w:val="000000"/>
          <w:lang w:val="en-US"/>
        </w:rPr>
        <w:t>Jahrhunderts</w:t>
      </w:r>
      <w:proofErr w:type="spellEnd"/>
      <w:r w:rsidRPr="00135F7D">
        <w:rPr>
          <w:color w:val="000000"/>
          <w:lang w:val="en-US"/>
        </w:rPr>
        <w:t xml:space="preserve"> (Berlin: </w:t>
      </w:r>
      <w:proofErr w:type="spellStart"/>
      <w:r w:rsidRPr="00135F7D">
        <w:rPr>
          <w:color w:val="000000"/>
          <w:lang w:val="en-US"/>
        </w:rPr>
        <w:t>Gebr</w:t>
      </w:r>
      <w:proofErr w:type="spellEnd"/>
      <w:r w:rsidRPr="00135F7D">
        <w:rPr>
          <w:color w:val="000000"/>
          <w:lang w:val="en-US"/>
        </w:rPr>
        <w:t>. Mann, 1988), 65.</w:t>
      </w:r>
    </w:p>
  </w:footnote>
  <w:footnote w:id="641">
    <w:p w14:paraId="78594282" w14:textId="77777777" w:rsidR="00182EED" w:rsidRDefault="00182EED" w:rsidP="00094F64">
      <w:pPr>
        <w:pStyle w:val="FootnoteText"/>
      </w:pPr>
      <w:r w:rsidRPr="00591949">
        <w:rPr>
          <w:rStyle w:val="FootnoteReference"/>
        </w:rPr>
        <w:footnoteRef/>
      </w:r>
      <w:r>
        <w:t xml:space="preserve"> </w:t>
      </w:r>
      <w:r w:rsidRPr="007E66C4">
        <w:rPr>
          <w:color w:val="000000"/>
          <w:lang w:val="en-US"/>
        </w:rPr>
        <w:t xml:space="preserve">Luciano </w:t>
      </w:r>
      <w:proofErr w:type="spellStart"/>
      <w:r w:rsidRPr="007E66C4">
        <w:rPr>
          <w:color w:val="000000"/>
          <w:lang w:val="en-US"/>
        </w:rPr>
        <w:t>Berti</w:t>
      </w:r>
      <w:proofErr w:type="spellEnd"/>
      <w:r w:rsidRPr="007E66C4">
        <w:rPr>
          <w:color w:val="000000"/>
          <w:lang w:val="en-US"/>
        </w:rPr>
        <w:t xml:space="preserve"> and Umberto </w:t>
      </w:r>
      <w:proofErr w:type="spellStart"/>
      <w:r w:rsidRPr="007E66C4">
        <w:rPr>
          <w:color w:val="000000"/>
          <w:lang w:val="en-US"/>
        </w:rPr>
        <w:t>Baldini</w:t>
      </w:r>
      <w:proofErr w:type="spellEnd"/>
      <w:r w:rsidRPr="007E66C4">
        <w:rPr>
          <w:color w:val="000000"/>
          <w:lang w:val="en-US"/>
        </w:rPr>
        <w:t xml:space="preserve">, </w:t>
      </w:r>
      <w:r w:rsidRPr="007E66C4">
        <w:rPr>
          <w:i/>
          <w:iCs/>
          <w:color w:val="000000"/>
          <w:lang w:val="en-US"/>
        </w:rPr>
        <w:t>Filippino Lippi</w:t>
      </w:r>
      <w:r w:rsidRPr="007E66C4">
        <w:rPr>
          <w:color w:val="000000"/>
          <w:lang w:val="en-US"/>
        </w:rPr>
        <w:t xml:space="preserve"> (Firenze: Ed. </w:t>
      </w:r>
      <w:proofErr w:type="spellStart"/>
      <w:r w:rsidRPr="007E66C4">
        <w:rPr>
          <w:color w:val="000000"/>
          <w:lang w:val="en-US"/>
        </w:rPr>
        <w:t>d’Arte</w:t>
      </w:r>
      <w:proofErr w:type="spellEnd"/>
      <w:r w:rsidRPr="007E66C4">
        <w:rPr>
          <w:color w:val="000000"/>
          <w:lang w:val="en-US"/>
        </w:rPr>
        <w:t xml:space="preserve"> </w:t>
      </w:r>
      <w:proofErr w:type="spellStart"/>
      <w:r w:rsidRPr="007E66C4">
        <w:rPr>
          <w:color w:val="000000"/>
          <w:lang w:val="en-US"/>
        </w:rPr>
        <w:t>il</w:t>
      </w:r>
      <w:proofErr w:type="spellEnd"/>
      <w:r w:rsidRPr="007E66C4">
        <w:rPr>
          <w:color w:val="000000"/>
          <w:lang w:val="en-US"/>
        </w:rPr>
        <w:t xml:space="preserve"> Fiorino, 1991), 179; </w:t>
      </w:r>
      <w:proofErr w:type="spellStart"/>
      <w:r w:rsidRPr="007E66C4">
        <w:rPr>
          <w:color w:val="000000"/>
          <w:lang w:val="en-US"/>
        </w:rPr>
        <w:t>Patrizia</w:t>
      </w:r>
      <w:proofErr w:type="spellEnd"/>
      <w:r w:rsidRPr="007E66C4">
        <w:rPr>
          <w:color w:val="000000"/>
          <w:lang w:val="en-US"/>
        </w:rPr>
        <w:t xml:space="preserve"> Zambrano and Jonathan Katz Nelson, </w:t>
      </w:r>
      <w:r w:rsidRPr="007E66C4">
        <w:rPr>
          <w:i/>
          <w:iCs/>
          <w:color w:val="000000"/>
          <w:lang w:val="en-US"/>
        </w:rPr>
        <w:t>Filippino Lippi</w:t>
      </w:r>
      <w:r w:rsidRPr="007E66C4">
        <w:rPr>
          <w:color w:val="000000"/>
          <w:lang w:val="en-US"/>
        </w:rPr>
        <w:t xml:space="preserve"> (Milan: </w:t>
      </w:r>
      <w:proofErr w:type="spellStart"/>
      <w:r w:rsidRPr="007E66C4">
        <w:rPr>
          <w:color w:val="000000"/>
          <w:lang w:val="en-US"/>
        </w:rPr>
        <w:t>Electa</w:t>
      </w:r>
      <w:proofErr w:type="spellEnd"/>
      <w:r w:rsidRPr="007E66C4">
        <w:rPr>
          <w:color w:val="000000"/>
          <w:lang w:val="en-US"/>
        </w:rPr>
        <w:t>, 2004), 204, 341–341.</w:t>
      </w:r>
    </w:p>
  </w:footnote>
  <w:footnote w:id="642">
    <w:p w14:paraId="13595E0E" w14:textId="77777777" w:rsidR="00182EED" w:rsidRDefault="00182EED" w:rsidP="00094F64">
      <w:pPr>
        <w:pStyle w:val="FootnoteText"/>
      </w:pPr>
      <w:r w:rsidRPr="00591949">
        <w:rPr>
          <w:rStyle w:val="FootnoteReference"/>
        </w:rPr>
        <w:footnoteRef/>
      </w:r>
      <w:r>
        <w:t xml:space="preserve"> </w:t>
      </w:r>
      <w:r w:rsidRPr="008555A5">
        <w:rPr>
          <w:color w:val="000000"/>
          <w:lang w:val="en-US"/>
        </w:rPr>
        <w:t xml:space="preserve">Jonathan Katz Nelson, “Entry 19,” in </w:t>
      </w:r>
      <w:r w:rsidRPr="008555A5">
        <w:rPr>
          <w:i/>
          <w:iCs/>
          <w:color w:val="000000"/>
          <w:lang w:val="en-US"/>
        </w:rPr>
        <w:t xml:space="preserve">Botticelli E Filippino: </w:t>
      </w:r>
      <w:proofErr w:type="spellStart"/>
      <w:r w:rsidRPr="008555A5">
        <w:rPr>
          <w:i/>
          <w:iCs/>
          <w:color w:val="000000"/>
          <w:lang w:val="en-US"/>
        </w:rPr>
        <w:t>L’inquietudine</w:t>
      </w:r>
      <w:proofErr w:type="spellEnd"/>
      <w:r w:rsidRPr="008555A5">
        <w:rPr>
          <w:i/>
          <w:iCs/>
          <w:color w:val="000000"/>
          <w:lang w:val="en-US"/>
        </w:rPr>
        <w:t xml:space="preserve"> E La Grazia Nella </w:t>
      </w:r>
      <w:proofErr w:type="spellStart"/>
      <w:r w:rsidRPr="008555A5">
        <w:rPr>
          <w:i/>
          <w:iCs/>
          <w:color w:val="000000"/>
          <w:lang w:val="en-US"/>
        </w:rPr>
        <w:t>Pittura</w:t>
      </w:r>
      <w:proofErr w:type="spellEnd"/>
      <w:r w:rsidRPr="008555A5">
        <w:rPr>
          <w:i/>
          <w:iCs/>
          <w:color w:val="000000"/>
          <w:lang w:val="en-US"/>
        </w:rPr>
        <w:t xml:space="preserve"> Fiorentina Del Quattrocento </w:t>
      </w:r>
      <w:proofErr w:type="spellStart"/>
      <w:r w:rsidRPr="008555A5">
        <w:rPr>
          <w:color w:val="000000"/>
          <w:lang w:val="en-US"/>
        </w:rPr>
        <w:t>Exh.Cat</w:t>
      </w:r>
      <w:proofErr w:type="spellEnd"/>
      <w:r w:rsidRPr="008555A5">
        <w:rPr>
          <w:color w:val="000000"/>
          <w:lang w:val="en-US"/>
        </w:rPr>
        <w:t xml:space="preserve">., ed. Daniel </w:t>
      </w:r>
      <w:proofErr w:type="spellStart"/>
      <w:r w:rsidRPr="008555A5">
        <w:rPr>
          <w:color w:val="000000"/>
          <w:lang w:val="en-US"/>
        </w:rPr>
        <w:t>Arasse</w:t>
      </w:r>
      <w:proofErr w:type="spellEnd"/>
      <w:r w:rsidRPr="008555A5">
        <w:rPr>
          <w:color w:val="000000"/>
          <w:lang w:val="en-US"/>
        </w:rPr>
        <w:t xml:space="preserve">, </w:t>
      </w:r>
      <w:proofErr w:type="spellStart"/>
      <w:r w:rsidRPr="008555A5">
        <w:rPr>
          <w:color w:val="000000"/>
          <w:lang w:val="en-US"/>
        </w:rPr>
        <w:t>Pierluigi</w:t>
      </w:r>
      <w:proofErr w:type="spellEnd"/>
      <w:r w:rsidRPr="008555A5">
        <w:rPr>
          <w:color w:val="000000"/>
          <w:lang w:val="en-US"/>
        </w:rPr>
        <w:t xml:space="preserve"> De </w:t>
      </w:r>
      <w:proofErr w:type="spellStart"/>
      <w:r w:rsidRPr="008555A5">
        <w:rPr>
          <w:color w:val="000000"/>
          <w:lang w:val="en-US"/>
        </w:rPr>
        <w:t>Vecchi</w:t>
      </w:r>
      <w:proofErr w:type="spellEnd"/>
      <w:r w:rsidRPr="008555A5">
        <w:rPr>
          <w:color w:val="000000"/>
          <w:lang w:val="en-US"/>
        </w:rPr>
        <w:t xml:space="preserve">, and Jonathan Katz Nelson (Milan: </w:t>
      </w:r>
      <w:proofErr w:type="spellStart"/>
      <w:r w:rsidRPr="008555A5">
        <w:rPr>
          <w:color w:val="000000"/>
          <w:lang w:val="en-US"/>
        </w:rPr>
        <w:t>Skira</w:t>
      </w:r>
      <w:proofErr w:type="spellEnd"/>
      <w:r w:rsidRPr="008555A5">
        <w:rPr>
          <w:color w:val="000000"/>
          <w:lang w:val="en-US"/>
        </w:rPr>
        <w:t>, 2004), 164.</w:t>
      </w:r>
    </w:p>
  </w:footnote>
  <w:footnote w:id="643">
    <w:p w14:paraId="6679F70E" w14:textId="77777777" w:rsidR="00182EED" w:rsidRDefault="00182EED" w:rsidP="00094F64">
      <w:pPr>
        <w:pStyle w:val="FootnoteText"/>
      </w:pPr>
      <w:r w:rsidRPr="00591949">
        <w:rPr>
          <w:rStyle w:val="FootnoteReference"/>
        </w:rPr>
        <w:footnoteRef/>
      </w:r>
      <w:r>
        <w:t xml:space="preserve"> </w:t>
      </w:r>
      <w:r w:rsidRPr="007E66C4">
        <w:rPr>
          <w:color w:val="000000"/>
          <w:lang w:val="en-US"/>
        </w:rPr>
        <w:t xml:space="preserve">Jonathan Nelson, “Entry 9.3,” in </w:t>
      </w:r>
      <w:proofErr w:type="spellStart"/>
      <w:r w:rsidRPr="007E66C4">
        <w:rPr>
          <w:i/>
          <w:iCs/>
          <w:color w:val="000000"/>
          <w:lang w:val="en-US"/>
        </w:rPr>
        <w:t>Maestri</w:t>
      </w:r>
      <w:proofErr w:type="spellEnd"/>
      <w:r w:rsidRPr="007E66C4">
        <w:rPr>
          <w:i/>
          <w:iCs/>
          <w:color w:val="000000"/>
          <w:lang w:val="en-US"/>
        </w:rPr>
        <w:t xml:space="preserve"> e </w:t>
      </w:r>
      <w:proofErr w:type="spellStart"/>
      <w:r w:rsidRPr="007E66C4">
        <w:rPr>
          <w:i/>
          <w:iCs/>
          <w:color w:val="000000"/>
          <w:lang w:val="en-US"/>
        </w:rPr>
        <w:t>botteghe</w:t>
      </w:r>
      <w:proofErr w:type="spellEnd"/>
      <w:r w:rsidRPr="007E66C4">
        <w:rPr>
          <w:i/>
          <w:iCs/>
          <w:color w:val="000000"/>
          <w:lang w:val="en-US"/>
        </w:rPr>
        <w:t xml:space="preserve">: </w:t>
      </w:r>
      <w:proofErr w:type="spellStart"/>
      <w:r w:rsidRPr="007E66C4">
        <w:rPr>
          <w:i/>
          <w:iCs/>
          <w:color w:val="000000"/>
          <w:lang w:val="en-US"/>
        </w:rPr>
        <w:t>Pittura</w:t>
      </w:r>
      <w:proofErr w:type="spellEnd"/>
      <w:r w:rsidRPr="007E66C4">
        <w:rPr>
          <w:i/>
          <w:iCs/>
          <w:color w:val="000000"/>
          <w:lang w:val="en-US"/>
        </w:rPr>
        <w:t xml:space="preserve"> a Firenze </w:t>
      </w:r>
      <w:proofErr w:type="spellStart"/>
      <w:r w:rsidRPr="007E66C4">
        <w:rPr>
          <w:i/>
          <w:iCs/>
          <w:color w:val="000000"/>
          <w:lang w:val="en-US"/>
        </w:rPr>
        <w:t>alla</w:t>
      </w:r>
      <w:proofErr w:type="spellEnd"/>
      <w:r w:rsidRPr="007E66C4">
        <w:rPr>
          <w:i/>
          <w:iCs/>
          <w:color w:val="000000"/>
          <w:lang w:val="en-US"/>
        </w:rPr>
        <w:t xml:space="preserve"> fine del Quattrocento</w:t>
      </w:r>
      <w:r w:rsidRPr="007E66C4">
        <w:rPr>
          <w:color w:val="000000"/>
          <w:lang w:val="en-US"/>
        </w:rPr>
        <w:t xml:space="preserve">, ed. Mina </w:t>
      </w:r>
      <w:proofErr w:type="spellStart"/>
      <w:r w:rsidRPr="007E66C4">
        <w:rPr>
          <w:color w:val="000000"/>
          <w:lang w:val="en-US"/>
        </w:rPr>
        <w:t>Gregori</w:t>
      </w:r>
      <w:proofErr w:type="spellEnd"/>
      <w:r w:rsidRPr="007E66C4">
        <w:rPr>
          <w:color w:val="000000"/>
          <w:lang w:val="en-US"/>
        </w:rPr>
        <w:t xml:space="preserve">, Antonio </w:t>
      </w:r>
      <w:proofErr w:type="spellStart"/>
      <w:r w:rsidRPr="007E66C4">
        <w:rPr>
          <w:color w:val="000000"/>
          <w:lang w:val="en-US"/>
        </w:rPr>
        <w:t>Paolucci</w:t>
      </w:r>
      <w:proofErr w:type="spellEnd"/>
      <w:r w:rsidRPr="007E66C4">
        <w:rPr>
          <w:color w:val="000000"/>
          <w:lang w:val="en-US"/>
        </w:rPr>
        <w:t xml:space="preserve">, and Cristina </w:t>
      </w:r>
      <w:proofErr w:type="spellStart"/>
      <w:r w:rsidRPr="007E66C4">
        <w:rPr>
          <w:color w:val="000000"/>
          <w:lang w:val="en-US"/>
        </w:rPr>
        <w:t>Acidini</w:t>
      </w:r>
      <w:proofErr w:type="spellEnd"/>
      <w:r w:rsidRPr="007E66C4">
        <w:rPr>
          <w:color w:val="000000"/>
          <w:lang w:val="en-US"/>
        </w:rPr>
        <w:t xml:space="preserve"> </w:t>
      </w:r>
      <w:proofErr w:type="spellStart"/>
      <w:r w:rsidRPr="007E66C4">
        <w:rPr>
          <w:color w:val="000000"/>
          <w:lang w:val="en-US"/>
        </w:rPr>
        <w:t>Luchinat</w:t>
      </w:r>
      <w:proofErr w:type="spellEnd"/>
      <w:r w:rsidRPr="007E66C4">
        <w:rPr>
          <w:color w:val="000000"/>
          <w:lang w:val="en-US"/>
        </w:rPr>
        <w:t xml:space="preserve"> (Florence: Silvana </w:t>
      </w:r>
      <w:proofErr w:type="spellStart"/>
      <w:r w:rsidRPr="007E66C4">
        <w:rPr>
          <w:color w:val="000000"/>
          <w:lang w:val="en-US"/>
        </w:rPr>
        <w:t>Editoriale</w:t>
      </w:r>
      <w:proofErr w:type="spellEnd"/>
      <w:r w:rsidRPr="007E66C4">
        <w:rPr>
          <w:color w:val="000000"/>
          <w:lang w:val="en-US"/>
        </w:rPr>
        <w:t>, 1992), 240.</w:t>
      </w:r>
    </w:p>
  </w:footnote>
  <w:footnote w:id="644">
    <w:p w14:paraId="7007C839" w14:textId="77777777" w:rsidR="00182EED" w:rsidRDefault="00182EED" w:rsidP="00094F64">
      <w:pPr>
        <w:pStyle w:val="FootnoteText"/>
      </w:pPr>
      <w:r w:rsidRPr="00591949">
        <w:rPr>
          <w:rStyle w:val="FootnoteReference"/>
        </w:rPr>
        <w:footnoteRef/>
      </w:r>
      <w:r>
        <w:t xml:space="preserve"> </w:t>
      </w:r>
      <w:r w:rsidRPr="007E66C4">
        <w:rPr>
          <w:color w:val="000000"/>
          <w:lang w:val="en-US"/>
        </w:rPr>
        <w:t xml:space="preserve">Olson, </w:t>
      </w:r>
      <w:r w:rsidRPr="007E66C4">
        <w:rPr>
          <w:i/>
          <w:iCs/>
          <w:color w:val="000000"/>
          <w:lang w:val="en-US"/>
        </w:rPr>
        <w:t>The Florentine Tondo</w:t>
      </w:r>
      <w:r>
        <w:rPr>
          <w:color w:val="000000"/>
          <w:lang w:val="en-US"/>
        </w:rPr>
        <w:t>, 199</w:t>
      </w:r>
      <w:r w:rsidRPr="007E66C4">
        <w:rPr>
          <w:color w:val="000000"/>
          <w:lang w:val="en-US"/>
        </w:rPr>
        <w:t>.</w:t>
      </w:r>
    </w:p>
  </w:footnote>
  <w:footnote w:id="645">
    <w:p w14:paraId="75992160" w14:textId="77777777" w:rsidR="00182EED" w:rsidRDefault="00182EED" w:rsidP="00094F64">
      <w:pPr>
        <w:pStyle w:val="FootnoteText"/>
      </w:pPr>
      <w:r w:rsidRPr="00591949">
        <w:rPr>
          <w:rStyle w:val="FootnoteReference"/>
        </w:rPr>
        <w:footnoteRef/>
      </w:r>
      <w:r>
        <w:t xml:space="preserve"> </w:t>
      </w:r>
      <w:r>
        <w:rPr>
          <w:color w:val="000000"/>
          <w:lang w:val="en-US"/>
        </w:rPr>
        <w:t>Rosary devotion is a form of prayer that uses beads as a device for counting prayers. See ibid., 101.</w:t>
      </w:r>
    </w:p>
  </w:footnote>
  <w:footnote w:id="646">
    <w:p w14:paraId="0EA244A8" w14:textId="77777777" w:rsidR="00182EED" w:rsidRDefault="00182EED" w:rsidP="00094F64">
      <w:pPr>
        <w:pStyle w:val="FootnoteText"/>
      </w:pPr>
      <w:r w:rsidRPr="00591949">
        <w:rPr>
          <w:rStyle w:val="FootnoteReference"/>
        </w:rPr>
        <w:footnoteRef/>
      </w:r>
      <w:r>
        <w:t xml:space="preserve"> </w:t>
      </w:r>
      <w:r>
        <w:rPr>
          <w:noProof/>
        </w:rPr>
        <w:t>Ibid., 103, 199.</w:t>
      </w:r>
    </w:p>
  </w:footnote>
  <w:footnote w:id="647">
    <w:p w14:paraId="0230A05A" w14:textId="77777777" w:rsidR="00182EED" w:rsidRDefault="00182EED" w:rsidP="00094F64">
      <w:pPr>
        <w:pStyle w:val="FootnoteText"/>
      </w:pPr>
      <w:r w:rsidRPr="00591949">
        <w:rPr>
          <w:rStyle w:val="FootnoteReference"/>
        </w:rPr>
        <w:footnoteRef/>
      </w:r>
      <w:r>
        <w:t xml:space="preserve"> </w:t>
      </w:r>
      <w:r w:rsidRPr="007E66C4">
        <w:rPr>
          <w:color w:val="000000"/>
          <w:lang w:val="en-US"/>
        </w:rPr>
        <w:t xml:space="preserve">Ibid., 103; </w:t>
      </w:r>
      <w:r>
        <w:rPr>
          <w:color w:val="000000"/>
          <w:lang w:val="en-US"/>
        </w:rPr>
        <w:t xml:space="preserve">Levi </w:t>
      </w:r>
      <w:proofErr w:type="spellStart"/>
      <w:r w:rsidRPr="007E66C4">
        <w:rPr>
          <w:color w:val="000000"/>
          <w:lang w:val="en-US"/>
        </w:rPr>
        <w:t>D’A</w:t>
      </w:r>
      <w:r>
        <w:rPr>
          <w:color w:val="000000"/>
          <w:lang w:val="en-US"/>
        </w:rPr>
        <w:t>n</w:t>
      </w:r>
      <w:r w:rsidRPr="007E66C4">
        <w:rPr>
          <w:color w:val="000000"/>
          <w:lang w:val="en-US"/>
        </w:rPr>
        <w:t>cona</w:t>
      </w:r>
      <w:proofErr w:type="spellEnd"/>
      <w:r w:rsidRPr="007E66C4">
        <w:rPr>
          <w:color w:val="000000"/>
          <w:lang w:val="en-US"/>
        </w:rPr>
        <w:t xml:space="preserve">, </w:t>
      </w:r>
      <w:r w:rsidRPr="007E66C4">
        <w:rPr>
          <w:i/>
          <w:iCs/>
          <w:color w:val="000000"/>
          <w:lang w:val="en-US"/>
        </w:rPr>
        <w:t>The Garden of the Renaissance</w:t>
      </w:r>
      <w:r w:rsidRPr="007E66C4">
        <w:rPr>
          <w:color w:val="000000"/>
          <w:lang w:val="en-US"/>
        </w:rPr>
        <w:t>, 332–37.</w:t>
      </w:r>
    </w:p>
  </w:footnote>
  <w:footnote w:id="648">
    <w:p w14:paraId="1E843C78" w14:textId="77777777" w:rsidR="00182EED" w:rsidRDefault="00182EED" w:rsidP="00094F64">
      <w:pPr>
        <w:pStyle w:val="FootnoteText"/>
      </w:pPr>
      <w:r w:rsidRPr="00591949">
        <w:rPr>
          <w:rStyle w:val="FootnoteReference"/>
        </w:rPr>
        <w:footnoteRef/>
      </w:r>
      <w:r>
        <w:t xml:space="preserve"> </w:t>
      </w:r>
      <w:r w:rsidRPr="007E66C4">
        <w:rPr>
          <w:color w:val="000000"/>
          <w:lang w:val="en-US"/>
        </w:rPr>
        <w:t xml:space="preserve">Olson, </w:t>
      </w:r>
      <w:r w:rsidRPr="007E66C4">
        <w:rPr>
          <w:i/>
          <w:iCs/>
          <w:color w:val="000000"/>
          <w:lang w:val="en-US"/>
        </w:rPr>
        <w:t>The Florentine Tondo</w:t>
      </w:r>
      <w:r w:rsidRPr="007E66C4">
        <w:rPr>
          <w:color w:val="000000"/>
          <w:lang w:val="en-US"/>
        </w:rPr>
        <w:t>, 199.</w:t>
      </w:r>
    </w:p>
  </w:footnote>
  <w:footnote w:id="649">
    <w:p w14:paraId="52107BAC" w14:textId="77777777" w:rsidR="00182EED" w:rsidRDefault="00182EED" w:rsidP="00094F64">
      <w:pPr>
        <w:pStyle w:val="FootnoteText"/>
      </w:pPr>
      <w:r w:rsidRPr="00591949">
        <w:rPr>
          <w:rStyle w:val="FootnoteReference"/>
        </w:rPr>
        <w:footnoteRef/>
      </w:r>
      <w:r>
        <w:t xml:space="preserve"> </w:t>
      </w:r>
      <w:r w:rsidRPr="00CE2AAA">
        <w:rPr>
          <w:color w:val="000000"/>
          <w:lang w:val="en-US"/>
        </w:rPr>
        <w:t xml:space="preserve">Timothy J McGee, “Filippino Lippi and Music,” </w:t>
      </w:r>
      <w:r w:rsidRPr="00CE2AAA">
        <w:rPr>
          <w:i/>
          <w:iCs/>
          <w:color w:val="000000"/>
          <w:lang w:val="en-US"/>
        </w:rPr>
        <w:t>Renaissance and Reformation</w:t>
      </w:r>
      <w:r w:rsidRPr="00CE2AAA">
        <w:rPr>
          <w:color w:val="000000"/>
          <w:lang w:val="en-US"/>
        </w:rPr>
        <w:t xml:space="preserve"> 30, no. 3 (2007): 26, no.43.</w:t>
      </w:r>
    </w:p>
  </w:footnote>
  <w:footnote w:id="650">
    <w:p w14:paraId="5D65492E" w14:textId="77777777" w:rsidR="00182EED" w:rsidRDefault="00182EED" w:rsidP="00094F64">
      <w:pPr>
        <w:pStyle w:val="FootnoteText"/>
      </w:pPr>
      <w:r w:rsidRPr="00591949">
        <w:rPr>
          <w:rStyle w:val="FootnoteReference"/>
        </w:rPr>
        <w:footnoteRef/>
      </w:r>
      <w:r>
        <w:t xml:space="preserve"> </w:t>
      </w:r>
      <w:r w:rsidRPr="000817BC">
        <w:rPr>
          <w:highlight w:val="yellow"/>
        </w:rPr>
        <w:t xml:space="preserve">Blackburn’s comment (personal communication to J. K. Nelson) is reported in </w:t>
      </w:r>
      <w:r w:rsidRPr="000817BC">
        <w:rPr>
          <w:color w:val="000000"/>
          <w:highlight w:val="yellow"/>
          <w:lang w:val="en-US"/>
        </w:rPr>
        <w:t xml:space="preserve">Nelson, “Entry 19,” 240; see also McGee, “Filippino Lippi and Music,” 11-15 (esp.12). Nelson also reports an oral comment by H. C. Slim, taken from V. </w:t>
      </w:r>
      <w:proofErr w:type="spellStart"/>
      <w:r w:rsidRPr="000817BC">
        <w:rPr>
          <w:color w:val="000000"/>
          <w:highlight w:val="yellow"/>
          <w:lang w:val="en-US"/>
        </w:rPr>
        <w:t>Scherliess</w:t>
      </w:r>
      <w:proofErr w:type="spellEnd"/>
      <w:r w:rsidRPr="000817BC">
        <w:rPr>
          <w:color w:val="000000"/>
          <w:highlight w:val="yellow"/>
          <w:lang w:val="en-US"/>
        </w:rPr>
        <w:t xml:space="preserve"> </w:t>
      </w:r>
      <w:proofErr w:type="spellStart"/>
      <w:r w:rsidRPr="000817BC">
        <w:rPr>
          <w:i/>
          <w:iCs/>
          <w:color w:val="000000"/>
          <w:highlight w:val="yellow"/>
          <w:lang w:val="en-US"/>
        </w:rPr>
        <w:t>Musikalische</w:t>
      </w:r>
      <w:proofErr w:type="spellEnd"/>
      <w:r w:rsidRPr="000817BC">
        <w:rPr>
          <w:i/>
          <w:iCs/>
          <w:color w:val="000000"/>
          <w:highlight w:val="yellow"/>
          <w:lang w:val="en-US"/>
        </w:rPr>
        <w:t xml:space="preserve"> </w:t>
      </w:r>
      <w:proofErr w:type="spellStart"/>
      <w:r w:rsidRPr="000817BC">
        <w:rPr>
          <w:i/>
          <w:iCs/>
          <w:color w:val="000000"/>
          <w:highlight w:val="yellow"/>
          <w:lang w:val="en-US"/>
        </w:rPr>
        <w:t>Noten</w:t>
      </w:r>
      <w:proofErr w:type="spellEnd"/>
      <w:r w:rsidRPr="000817BC">
        <w:rPr>
          <w:i/>
          <w:iCs/>
          <w:color w:val="000000"/>
          <w:highlight w:val="yellow"/>
          <w:lang w:val="en-US"/>
        </w:rPr>
        <w:t xml:space="preserve"> auf </w:t>
      </w:r>
      <w:proofErr w:type="spellStart"/>
      <w:r w:rsidRPr="000817BC">
        <w:rPr>
          <w:i/>
          <w:iCs/>
          <w:color w:val="000000"/>
          <w:highlight w:val="yellow"/>
          <w:lang w:val="en-US"/>
        </w:rPr>
        <w:t>Kunstwerken</w:t>
      </w:r>
      <w:proofErr w:type="spellEnd"/>
      <w:r w:rsidRPr="000817BC">
        <w:rPr>
          <w:i/>
          <w:iCs/>
          <w:color w:val="000000"/>
          <w:highlight w:val="yellow"/>
          <w:lang w:val="en-US"/>
        </w:rPr>
        <w:t xml:space="preserve"> der </w:t>
      </w:r>
      <w:proofErr w:type="spellStart"/>
      <w:r w:rsidRPr="000817BC">
        <w:rPr>
          <w:i/>
          <w:iCs/>
          <w:color w:val="000000"/>
          <w:highlight w:val="yellow"/>
          <w:lang w:val="en-US"/>
        </w:rPr>
        <w:t>Italienischen</w:t>
      </w:r>
      <w:proofErr w:type="spellEnd"/>
      <w:r w:rsidRPr="000817BC">
        <w:rPr>
          <w:i/>
          <w:iCs/>
          <w:color w:val="000000"/>
          <w:highlight w:val="yellow"/>
          <w:lang w:val="en-US"/>
        </w:rPr>
        <w:t xml:space="preserve"> Renaissance bis </w:t>
      </w:r>
      <w:proofErr w:type="spellStart"/>
      <w:r w:rsidRPr="000817BC">
        <w:rPr>
          <w:i/>
          <w:iCs/>
          <w:color w:val="000000"/>
          <w:highlight w:val="yellow"/>
          <w:lang w:val="en-US"/>
        </w:rPr>
        <w:t>zum</w:t>
      </w:r>
      <w:proofErr w:type="spellEnd"/>
      <w:r w:rsidRPr="000817BC">
        <w:rPr>
          <w:i/>
          <w:iCs/>
          <w:color w:val="000000"/>
          <w:highlight w:val="yellow"/>
          <w:lang w:val="en-US"/>
        </w:rPr>
        <w:t xml:space="preserve"> </w:t>
      </w:r>
      <w:proofErr w:type="spellStart"/>
      <w:r w:rsidRPr="000817BC">
        <w:rPr>
          <w:i/>
          <w:iCs/>
          <w:color w:val="000000"/>
          <w:highlight w:val="yellow"/>
          <w:lang w:val="en-US"/>
        </w:rPr>
        <w:t>Anfang</w:t>
      </w:r>
      <w:proofErr w:type="spellEnd"/>
      <w:r w:rsidRPr="000817BC">
        <w:rPr>
          <w:i/>
          <w:iCs/>
          <w:color w:val="000000"/>
          <w:highlight w:val="yellow"/>
          <w:lang w:val="en-US"/>
        </w:rPr>
        <w:t xml:space="preserve"> des 17. </w:t>
      </w:r>
      <w:proofErr w:type="spellStart"/>
      <w:r w:rsidRPr="000817BC">
        <w:rPr>
          <w:i/>
          <w:iCs/>
          <w:color w:val="000000"/>
          <w:highlight w:val="yellow"/>
          <w:lang w:val="en-US"/>
        </w:rPr>
        <w:t>Jahrgunderts</w:t>
      </w:r>
      <w:proofErr w:type="spellEnd"/>
      <w:r w:rsidRPr="000817BC">
        <w:rPr>
          <w:color w:val="000000"/>
          <w:highlight w:val="yellow"/>
          <w:lang w:val="en-US"/>
        </w:rPr>
        <w:t>, Hamburg 1972, 104-105, in which the musical composition in the painting is identified with a motet in the late style of Guillaume Dufay.</w:t>
      </w:r>
    </w:p>
  </w:footnote>
  <w:footnote w:id="651">
    <w:p w14:paraId="11B53F6F" w14:textId="77777777" w:rsidR="00182EED" w:rsidRDefault="00182EED" w:rsidP="00094F64">
      <w:pPr>
        <w:pStyle w:val="FootnoteText"/>
      </w:pPr>
      <w:r w:rsidRPr="00591949">
        <w:rPr>
          <w:rStyle w:val="FootnoteReference"/>
        </w:rPr>
        <w:footnoteRef/>
      </w:r>
      <w:r>
        <w:t xml:space="preserve"> </w:t>
      </w:r>
      <w:r w:rsidRPr="005175DB">
        <w:rPr>
          <w:color w:val="000000"/>
          <w:lang w:val="en-US"/>
        </w:rPr>
        <w:t xml:space="preserve">On the </w:t>
      </w:r>
      <w:proofErr w:type="spellStart"/>
      <w:r w:rsidRPr="005E6329">
        <w:rPr>
          <w:i/>
          <w:iCs/>
          <w:color w:val="000000"/>
          <w:lang w:val="en-US"/>
        </w:rPr>
        <w:t>Cantasi</w:t>
      </w:r>
      <w:proofErr w:type="spellEnd"/>
      <w:r w:rsidRPr="005E6329">
        <w:rPr>
          <w:i/>
          <w:iCs/>
          <w:color w:val="000000"/>
          <w:lang w:val="en-US"/>
        </w:rPr>
        <w:t xml:space="preserve"> come</w:t>
      </w:r>
      <w:r w:rsidRPr="005175DB">
        <w:rPr>
          <w:color w:val="000000"/>
          <w:lang w:val="en-US"/>
        </w:rPr>
        <w:t xml:space="preserve"> tradition, see especially Blake Wilson, </w:t>
      </w:r>
      <w:r w:rsidRPr="005175DB">
        <w:rPr>
          <w:i/>
          <w:iCs/>
          <w:color w:val="000000"/>
          <w:lang w:val="en-US"/>
        </w:rPr>
        <w:t xml:space="preserve">Singing Poetry in Renaissance Florence: The </w:t>
      </w:r>
      <w:proofErr w:type="spellStart"/>
      <w:r w:rsidRPr="005175DB">
        <w:rPr>
          <w:i/>
          <w:iCs/>
          <w:color w:val="000000"/>
          <w:lang w:val="en-US"/>
        </w:rPr>
        <w:t>Cantasi</w:t>
      </w:r>
      <w:proofErr w:type="spellEnd"/>
      <w:r w:rsidRPr="005175DB">
        <w:rPr>
          <w:i/>
          <w:iCs/>
          <w:color w:val="000000"/>
          <w:lang w:val="en-US"/>
        </w:rPr>
        <w:t xml:space="preserve"> Come Tradition (1375-1550)</w:t>
      </w:r>
      <w:r w:rsidRPr="005175DB">
        <w:rPr>
          <w:color w:val="000000"/>
          <w:lang w:val="en-US"/>
        </w:rPr>
        <w:t xml:space="preserve"> (Florence: </w:t>
      </w:r>
      <w:proofErr w:type="spellStart"/>
      <w:r w:rsidRPr="005175DB">
        <w:rPr>
          <w:color w:val="000000"/>
          <w:lang w:val="en-US"/>
        </w:rPr>
        <w:t>Fontecolombo</w:t>
      </w:r>
      <w:proofErr w:type="spellEnd"/>
      <w:r w:rsidRPr="005175DB">
        <w:rPr>
          <w:color w:val="000000"/>
          <w:lang w:val="en-US"/>
        </w:rPr>
        <w:t xml:space="preserve"> Institute, 2009); Nelson, “Entry 19,” 165; McGee, “Filippino Lippi and Music,” 11–15.</w:t>
      </w:r>
    </w:p>
  </w:footnote>
  <w:footnote w:id="652">
    <w:p w14:paraId="714F3101" w14:textId="77777777" w:rsidR="00182EED" w:rsidRDefault="00182EED" w:rsidP="00094F64">
      <w:pPr>
        <w:pStyle w:val="FootnoteText"/>
      </w:pPr>
      <w:r w:rsidRPr="00591949">
        <w:rPr>
          <w:rStyle w:val="FootnoteReference"/>
        </w:rPr>
        <w:footnoteRef/>
      </w:r>
      <w:r>
        <w:t xml:space="preserve"> </w:t>
      </w:r>
      <w:r w:rsidRPr="005175DB">
        <w:rPr>
          <w:color w:val="000000"/>
          <w:lang w:val="en-US"/>
        </w:rPr>
        <w:t xml:space="preserve">Wilson, </w:t>
      </w:r>
      <w:r w:rsidRPr="005175DB">
        <w:rPr>
          <w:i/>
          <w:iCs/>
          <w:color w:val="000000"/>
          <w:lang w:val="en-US"/>
        </w:rPr>
        <w:t>Singing Poetry in Renaissance Florence</w:t>
      </w:r>
      <w:r w:rsidRPr="005175DB">
        <w:rPr>
          <w:color w:val="000000"/>
          <w:lang w:val="en-US"/>
        </w:rPr>
        <w:t>, 7–10.</w:t>
      </w:r>
    </w:p>
  </w:footnote>
  <w:footnote w:id="653">
    <w:p w14:paraId="0617EF99" w14:textId="77777777" w:rsidR="00182EED" w:rsidRDefault="00182EED" w:rsidP="00094F64">
      <w:pPr>
        <w:pStyle w:val="FootnoteText"/>
      </w:pPr>
      <w:r w:rsidRPr="00591949">
        <w:rPr>
          <w:rStyle w:val="FootnoteReference"/>
        </w:rPr>
        <w:footnoteRef/>
      </w:r>
      <w:r>
        <w:t xml:space="preserve"> </w:t>
      </w:r>
      <w:r w:rsidRPr="005175DB">
        <w:rPr>
          <w:color w:val="000000"/>
          <w:lang w:val="en-US"/>
        </w:rPr>
        <w:t xml:space="preserve">For the </w:t>
      </w:r>
      <w:r w:rsidRPr="005E6329">
        <w:rPr>
          <w:i/>
          <w:iCs/>
          <w:color w:val="000000"/>
          <w:lang w:val="en-US"/>
        </w:rPr>
        <w:t>lauda</w:t>
      </w:r>
      <w:r w:rsidRPr="005175DB">
        <w:rPr>
          <w:color w:val="000000"/>
          <w:lang w:val="en-US"/>
        </w:rPr>
        <w:t xml:space="preserve"> </w:t>
      </w:r>
      <w:proofErr w:type="spellStart"/>
      <w:r w:rsidRPr="005175DB">
        <w:rPr>
          <w:i/>
          <w:iCs/>
          <w:color w:val="000000"/>
          <w:lang w:val="en-US"/>
        </w:rPr>
        <w:t>Quanto</w:t>
      </w:r>
      <w:proofErr w:type="spellEnd"/>
      <w:r w:rsidRPr="005175DB">
        <w:rPr>
          <w:i/>
          <w:iCs/>
          <w:color w:val="000000"/>
          <w:lang w:val="en-US"/>
        </w:rPr>
        <w:t xml:space="preserve"> è </w:t>
      </w:r>
      <w:proofErr w:type="spellStart"/>
      <w:r w:rsidRPr="005175DB">
        <w:rPr>
          <w:i/>
          <w:iCs/>
          <w:color w:val="000000"/>
          <w:lang w:val="en-US"/>
        </w:rPr>
        <w:t>grande</w:t>
      </w:r>
      <w:proofErr w:type="spellEnd"/>
      <w:r w:rsidRPr="005175DB">
        <w:rPr>
          <w:i/>
          <w:iCs/>
          <w:color w:val="000000"/>
          <w:lang w:val="en-US"/>
        </w:rPr>
        <w:t xml:space="preserve"> la </w:t>
      </w:r>
      <w:proofErr w:type="spellStart"/>
      <w:r w:rsidRPr="005175DB">
        <w:rPr>
          <w:i/>
          <w:iCs/>
          <w:color w:val="000000"/>
          <w:lang w:val="en-US"/>
        </w:rPr>
        <w:t>bellezza</w:t>
      </w:r>
      <w:proofErr w:type="spellEnd"/>
      <w:r w:rsidRPr="005175DB">
        <w:rPr>
          <w:color w:val="000000"/>
          <w:lang w:val="en-US"/>
        </w:rPr>
        <w:t xml:space="preserve"> see Lorenzo de’ Medici, </w:t>
      </w:r>
      <w:r w:rsidRPr="005175DB">
        <w:rPr>
          <w:i/>
          <w:iCs/>
          <w:color w:val="000000"/>
          <w:lang w:val="en-US"/>
        </w:rPr>
        <w:t>Laude</w:t>
      </w:r>
      <w:r w:rsidRPr="005175DB">
        <w:rPr>
          <w:color w:val="000000"/>
          <w:lang w:val="en-US"/>
        </w:rPr>
        <w:t xml:space="preserve">, ed. Bernard </w:t>
      </w:r>
      <w:proofErr w:type="spellStart"/>
      <w:r w:rsidRPr="005175DB">
        <w:rPr>
          <w:color w:val="000000"/>
          <w:lang w:val="en-US"/>
        </w:rPr>
        <w:t>Toscani</w:t>
      </w:r>
      <w:proofErr w:type="spellEnd"/>
      <w:r w:rsidRPr="005175DB">
        <w:rPr>
          <w:color w:val="000000"/>
          <w:lang w:val="en-US"/>
        </w:rPr>
        <w:t xml:space="preserve"> (Florence: Leo S. </w:t>
      </w:r>
      <w:proofErr w:type="spellStart"/>
      <w:r w:rsidRPr="005175DB">
        <w:rPr>
          <w:color w:val="000000"/>
          <w:lang w:val="en-US"/>
        </w:rPr>
        <w:t>Olschki</w:t>
      </w:r>
      <w:proofErr w:type="spellEnd"/>
      <w:r w:rsidRPr="005175DB">
        <w:rPr>
          <w:color w:val="000000"/>
          <w:lang w:val="en-US"/>
        </w:rPr>
        <w:t>, 1990).</w:t>
      </w:r>
    </w:p>
  </w:footnote>
  <w:footnote w:id="654">
    <w:p w14:paraId="5F4F7A5A" w14:textId="77777777" w:rsidR="00182EED" w:rsidRDefault="00182EED" w:rsidP="00094F64">
      <w:pPr>
        <w:pStyle w:val="FootnoteText"/>
      </w:pPr>
      <w:r w:rsidRPr="00591949">
        <w:rPr>
          <w:rStyle w:val="FootnoteReference"/>
        </w:rPr>
        <w:footnoteRef/>
      </w:r>
      <w:r>
        <w:t xml:space="preserve"> </w:t>
      </w:r>
      <w:r w:rsidRPr="005175DB">
        <w:rPr>
          <w:color w:val="000000"/>
          <w:lang w:val="en-US"/>
        </w:rPr>
        <w:t>Nelson, “Entry 19,” 165.</w:t>
      </w:r>
    </w:p>
  </w:footnote>
  <w:footnote w:id="655">
    <w:p w14:paraId="0715AA43" w14:textId="77777777" w:rsidR="00182EED" w:rsidRDefault="00182EED" w:rsidP="00094F64">
      <w:pPr>
        <w:pStyle w:val="FootnoteText"/>
      </w:pPr>
      <w:r w:rsidRPr="00591949">
        <w:rPr>
          <w:rStyle w:val="FootnoteReference"/>
        </w:rPr>
        <w:footnoteRef/>
      </w:r>
      <w:r>
        <w:t xml:space="preserve"> </w:t>
      </w:r>
      <w:r w:rsidRPr="005175DB">
        <w:rPr>
          <w:color w:val="000000"/>
          <w:lang w:val="en-US"/>
        </w:rPr>
        <w:t xml:space="preserve">Zambrano and Nelson, </w:t>
      </w:r>
      <w:r w:rsidRPr="005175DB">
        <w:rPr>
          <w:i/>
          <w:iCs/>
          <w:color w:val="000000"/>
          <w:lang w:val="en-US"/>
        </w:rPr>
        <w:t>Filippino Lippi</w:t>
      </w:r>
      <w:r w:rsidRPr="005175DB">
        <w:rPr>
          <w:color w:val="000000"/>
          <w:lang w:val="en-US"/>
        </w:rPr>
        <w:t>, 627.</w:t>
      </w:r>
    </w:p>
  </w:footnote>
  <w:footnote w:id="656">
    <w:p w14:paraId="65317E77" w14:textId="77777777" w:rsidR="00182EED" w:rsidRDefault="00182EED" w:rsidP="00094F64">
      <w:pPr>
        <w:pStyle w:val="FootnoteText"/>
      </w:pPr>
      <w:r w:rsidRPr="00591949">
        <w:rPr>
          <w:rStyle w:val="FootnoteReference"/>
        </w:rPr>
        <w:footnoteRef/>
      </w:r>
      <w:r>
        <w:t xml:space="preserve"> </w:t>
      </w:r>
      <w:r w:rsidRPr="00317E53">
        <w:rPr>
          <w:color w:val="000000"/>
          <w:lang w:val="en-US"/>
        </w:rPr>
        <w:t xml:space="preserve">Jonathan Katz Nelson, “Entry 37,” in </w:t>
      </w:r>
      <w:r w:rsidRPr="00317E53">
        <w:rPr>
          <w:i/>
          <w:iCs/>
          <w:color w:val="000000"/>
          <w:lang w:val="en-US"/>
        </w:rPr>
        <w:t xml:space="preserve">Botticelli E Filippino: </w:t>
      </w:r>
      <w:proofErr w:type="spellStart"/>
      <w:r w:rsidRPr="00317E53">
        <w:rPr>
          <w:i/>
          <w:iCs/>
          <w:color w:val="000000"/>
          <w:lang w:val="en-US"/>
        </w:rPr>
        <w:t>L’inquietudine</w:t>
      </w:r>
      <w:proofErr w:type="spellEnd"/>
      <w:r w:rsidRPr="00317E53">
        <w:rPr>
          <w:i/>
          <w:iCs/>
          <w:color w:val="000000"/>
          <w:lang w:val="en-US"/>
        </w:rPr>
        <w:t xml:space="preserve"> E La Grazia Nella </w:t>
      </w:r>
      <w:proofErr w:type="spellStart"/>
      <w:r w:rsidRPr="00317E53">
        <w:rPr>
          <w:i/>
          <w:iCs/>
          <w:color w:val="000000"/>
          <w:lang w:val="en-US"/>
        </w:rPr>
        <w:t>Pittura</w:t>
      </w:r>
      <w:proofErr w:type="spellEnd"/>
      <w:r w:rsidRPr="00317E53">
        <w:rPr>
          <w:i/>
          <w:iCs/>
          <w:color w:val="000000"/>
          <w:lang w:val="en-US"/>
        </w:rPr>
        <w:t xml:space="preserve"> Fiorentina Del Quattrocento, </w:t>
      </w:r>
      <w:proofErr w:type="spellStart"/>
      <w:r w:rsidRPr="00317E53">
        <w:rPr>
          <w:color w:val="000000"/>
          <w:lang w:val="en-US"/>
        </w:rPr>
        <w:t>Exh.Cat</w:t>
      </w:r>
      <w:proofErr w:type="spellEnd"/>
      <w:r w:rsidRPr="00317E53">
        <w:rPr>
          <w:color w:val="000000"/>
          <w:lang w:val="en-US"/>
        </w:rPr>
        <w:t xml:space="preserve">., ed. Daniel </w:t>
      </w:r>
      <w:proofErr w:type="spellStart"/>
      <w:r w:rsidRPr="00317E53">
        <w:rPr>
          <w:color w:val="000000"/>
          <w:lang w:val="en-US"/>
        </w:rPr>
        <w:t>Arasse</w:t>
      </w:r>
      <w:proofErr w:type="spellEnd"/>
      <w:r w:rsidRPr="00317E53">
        <w:rPr>
          <w:color w:val="000000"/>
          <w:lang w:val="en-US"/>
        </w:rPr>
        <w:t xml:space="preserve">, </w:t>
      </w:r>
      <w:proofErr w:type="spellStart"/>
      <w:r w:rsidRPr="00317E53">
        <w:rPr>
          <w:color w:val="000000"/>
          <w:lang w:val="en-US"/>
        </w:rPr>
        <w:t>Pierluigi</w:t>
      </w:r>
      <w:proofErr w:type="spellEnd"/>
      <w:r w:rsidRPr="00317E53">
        <w:rPr>
          <w:color w:val="000000"/>
          <w:lang w:val="en-US"/>
        </w:rPr>
        <w:t xml:space="preserve"> De </w:t>
      </w:r>
      <w:proofErr w:type="spellStart"/>
      <w:r w:rsidRPr="00317E53">
        <w:rPr>
          <w:color w:val="000000"/>
          <w:lang w:val="en-US"/>
        </w:rPr>
        <w:t>Vecchi</w:t>
      </w:r>
      <w:proofErr w:type="spellEnd"/>
      <w:r w:rsidRPr="00317E53">
        <w:rPr>
          <w:color w:val="000000"/>
          <w:lang w:val="en-US"/>
        </w:rPr>
        <w:t xml:space="preserve">, and Jonathan Katz Nelson (Milan: </w:t>
      </w:r>
      <w:proofErr w:type="spellStart"/>
      <w:r w:rsidRPr="00317E53">
        <w:rPr>
          <w:color w:val="000000"/>
          <w:lang w:val="en-US"/>
        </w:rPr>
        <w:t>Skira</w:t>
      </w:r>
      <w:proofErr w:type="spellEnd"/>
      <w:r w:rsidRPr="00317E53">
        <w:rPr>
          <w:color w:val="000000"/>
          <w:lang w:val="en-US"/>
        </w:rPr>
        <w:t>, 2004), 228.</w:t>
      </w:r>
    </w:p>
  </w:footnote>
  <w:footnote w:id="657">
    <w:p w14:paraId="36CD88ED" w14:textId="77777777" w:rsidR="00182EED" w:rsidRDefault="00182EED" w:rsidP="00094F64">
      <w:pPr>
        <w:pStyle w:val="FootnoteText"/>
      </w:pPr>
      <w:r w:rsidRPr="00591949">
        <w:rPr>
          <w:rStyle w:val="FootnoteReference"/>
        </w:rPr>
        <w:footnoteRef/>
      </w:r>
      <w:r>
        <w:t xml:space="preserve"> </w:t>
      </w:r>
      <w:r>
        <w:rPr>
          <w:noProof/>
        </w:rPr>
        <w:t>Ibid.</w:t>
      </w:r>
    </w:p>
  </w:footnote>
  <w:footnote w:id="658">
    <w:p w14:paraId="060AC2F2" w14:textId="77777777" w:rsidR="00182EED" w:rsidRDefault="00182EED" w:rsidP="00094F64">
      <w:pPr>
        <w:pStyle w:val="FootnoteText"/>
      </w:pPr>
      <w:r w:rsidRPr="00591949">
        <w:rPr>
          <w:rStyle w:val="FootnoteReference"/>
        </w:rPr>
        <w:footnoteRef/>
      </w:r>
      <w:r>
        <w:t xml:space="preserve"> </w:t>
      </w:r>
      <w:r w:rsidRPr="005A1F77">
        <w:rPr>
          <w:color w:val="000000"/>
          <w:lang w:val="en-US"/>
        </w:rPr>
        <w:t>McGee, “Filippino Lippi and Music,” 16–17; Nelson, “Entry 19,” 166.</w:t>
      </w:r>
    </w:p>
  </w:footnote>
  <w:footnote w:id="659">
    <w:p w14:paraId="65E55F08" w14:textId="77777777" w:rsidR="00182EED" w:rsidRDefault="00182EED" w:rsidP="00094F64">
      <w:pPr>
        <w:pStyle w:val="FootnoteText"/>
      </w:pPr>
      <w:r w:rsidRPr="00591949">
        <w:rPr>
          <w:rStyle w:val="FootnoteReference"/>
        </w:rPr>
        <w:footnoteRef/>
      </w:r>
      <w:r>
        <w:t xml:space="preserve"> </w:t>
      </w:r>
      <w:r w:rsidRPr="008555A5">
        <w:rPr>
          <w:color w:val="000000"/>
          <w:lang w:val="en-US"/>
        </w:rPr>
        <w:t>McGee, “Filippino Lippi and Music,” 12.</w:t>
      </w:r>
    </w:p>
  </w:footnote>
  <w:footnote w:id="660">
    <w:p w14:paraId="2B7B9AB0" w14:textId="77777777" w:rsidR="00182EED" w:rsidRDefault="00182EED" w:rsidP="00094F64">
      <w:pPr>
        <w:pStyle w:val="FootnoteText"/>
      </w:pPr>
      <w:r w:rsidRPr="00591949">
        <w:rPr>
          <w:rStyle w:val="FootnoteReference"/>
        </w:rPr>
        <w:footnoteRef/>
      </w:r>
      <w:r>
        <w:t xml:space="preserve"> </w:t>
      </w:r>
      <w:r w:rsidRPr="00C623D5">
        <w:rPr>
          <w:color w:val="000000"/>
          <w:lang w:val="en-US"/>
        </w:rPr>
        <w:t>“</w:t>
      </w:r>
      <w:proofErr w:type="spellStart"/>
      <w:r w:rsidRPr="00C623D5">
        <w:rPr>
          <w:color w:val="000000"/>
          <w:lang w:val="en-US"/>
        </w:rPr>
        <w:t>Secundo</w:t>
      </w:r>
      <w:proofErr w:type="spellEnd"/>
      <w:r w:rsidRPr="00C623D5">
        <w:rPr>
          <w:color w:val="000000"/>
          <w:lang w:val="en-US"/>
        </w:rPr>
        <w:t xml:space="preserve"> modo: </w:t>
      </w:r>
      <w:proofErr w:type="spellStart"/>
      <w:r w:rsidRPr="00C623D5">
        <w:rPr>
          <w:color w:val="000000"/>
          <w:lang w:val="en-US"/>
        </w:rPr>
        <w:t>sonos</w:t>
      </w:r>
      <w:proofErr w:type="spellEnd"/>
      <w:r w:rsidRPr="00C623D5">
        <w:rPr>
          <w:color w:val="000000"/>
          <w:lang w:val="en-US"/>
        </w:rPr>
        <w:t xml:space="preserve"> ac </w:t>
      </w:r>
      <w:proofErr w:type="spellStart"/>
      <w:r w:rsidRPr="00C623D5">
        <w:rPr>
          <w:color w:val="000000"/>
          <w:lang w:val="en-US"/>
        </w:rPr>
        <w:t>voces</w:t>
      </w:r>
      <w:proofErr w:type="spellEnd"/>
      <w:r w:rsidRPr="00C623D5">
        <w:rPr>
          <w:color w:val="000000"/>
          <w:lang w:val="en-US"/>
        </w:rPr>
        <w:t xml:space="preserve"> tantum </w:t>
      </w:r>
      <w:proofErr w:type="spellStart"/>
      <w:r w:rsidRPr="00C623D5">
        <w:rPr>
          <w:color w:val="000000"/>
          <w:lang w:val="en-US"/>
        </w:rPr>
        <w:t>emittendo</w:t>
      </w:r>
      <w:proofErr w:type="spellEnd"/>
      <w:r w:rsidRPr="00C623D5">
        <w:rPr>
          <w:color w:val="000000"/>
          <w:lang w:val="en-US"/>
        </w:rPr>
        <w:t xml:space="preserve"> </w:t>
      </w:r>
      <w:proofErr w:type="spellStart"/>
      <w:r w:rsidRPr="00C623D5">
        <w:rPr>
          <w:color w:val="000000"/>
          <w:lang w:val="en-US"/>
        </w:rPr>
        <w:t>ommissis</w:t>
      </w:r>
      <w:proofErr w:type="spellEnd"/>
      <w:r w:rsidRPr="00C623D5">
        <w:rPr>
          <w:color w:val="000000"/>
          <w:lang w:val="en-US"/>
        </w:rPr>
        <w:t xml:space="preserve"> </w:t>
      </w:r>
      <w:proofErr w:type="spellStart"/>
      <w:r w:rsidRPr="00C623D5">
        <w:rPr>
          <w:color w:val="000000"/>
          <w:lang w:val="en-US"/>
        </w:rPr>
        <w:t>penitus</w:t>
      </w:r>
      <w:proofErr w:type="spellEnd"/>
      <w:r w:rsidRPr="00C623D5">
        <w:rPr>
          <w:color w:val="000000"/>
          <w:lang w:val="en-US"/>
        </w:rPr>
        <w:t xml:space="preserve"> </w:t>
      </w:r>
      <w:proofErr w:type="spellStart"/>
      <w:r w:rsidRPr="00C623D5">
        <w:rPr>
          <w:color w:val="000000"/>
          <w:lang w:val="en-US"/>
        </w:rPr>
        <w:t>litteris</w:t>
      </w:r>
      <w:proofErr w:type="spellEnd"/>
      <w:r w:rsidRPr="00C623D5">
        <w:rPr>
          <w:color w:val="000000"/>
          <w:lang w:val="en-US"/>
        </w:rPr>
        <w:t xml:space="preserve"> ac </w:t>
      </w:r>
      <w:proofErr w:type="spellStart"/>
      <w:r w:rsidRPr="00C623D5">
        <w:rPr>
          <w:color w:val="000000"/>
          <w:lang w:val="en-US"/>
        </w:rPr>
        <w:t>syllabis</w:t>
      </w:r>
      <w:proofErr w:type="spellEnd"/>
      <w:r w:rsidRPr="00C623D5">
        <w:rPr>
          <w:color w:val="000000"/>
          <w:lang w:val="en-US"/>
        </w:rPr>
        <w:t xml:space="preserve"> et </w:t>
      </w:r>
      <w:proofErr w:type="spellStart"/>
      <w:r w:rsidRPr="00C623D5">
        <w:rPr>
          <w:color w:val="000000"/>
          <w:lang w:val="en-US"/>
        </w:rPr>
        <w:t>dictionibus</w:t>
      </w:r>
      <w:proofErr w:type="spellEnd"/>
      <w:r w:rsidRPr="00C623D5">
        <w:rPr>
          <w:color w:val="000000"/>
          <w:lang w:val="en-US"/>
        </w:rPr>
        <w:t xml:space="preserve">: quod </w:t>
      </w:r>
      <w:proofErr w:type="spellStart"/>
      <w:r w:rsidRPr="00C623D5">
        <w:rPr>
          <w:color w:val="000000"/>
          <w:lang w:val="en-US"/>
        </w:rPr>
        <w:t>exercitatus</w:t>
      </w:r>
      <w:proofErr w:type="spellEnd"/>
      <w:r w:rsidRPr="00C623D5">
        <w:rPr>
          <w:color w:val="000000"/>
          <w:lang w:val="en-US"/>
        </w:rPr>
        <w:t xml:space="preserve"> cantor facile </w:t>
      </w:r>
      <w:proofErr w:type="spellStart"/>
      <w:r w:rsidRPr="00C623D5">
        <w:rPr>
          <w:color w:val="000000"/>
          <w:lang w:val="en-US"/>
        </w:rPr>
        <w:t>prosequitur</w:t>
      </w:r>
      <w:proofErr w:type="spellEnd"/>
      <w:r w:rsidRPr="00C623D5">
        <w:rPr>
          <w:color w:val="000000"/>
          <w:lang w:val="en-US"/>
        </w:rPr>
        <w:t xml:space="preserve"> hoc modo.” </w:t>
      </w:r>
      <w:proofErr w:type="spellStart"/>
      <w:r w:rsidRPr="00C623D5">
        <w:rPr>
          <w:color w:val="000000"/>
          <w:lang w:val="en-US"/>
        </w:rPr>
        <w:t>Gaffurius</w:t>
      </w:r>
      <w:proofErr w:type="spellEnd"/>
      <w:r w:rsidRPr="00C623D5">
        <w:rPr>
          <w:color w:val="000000"/>
          <w:lang w:val="en-US"/>
        </w:rPr>
        <w:t xml:space="preserve">, </w:t>
      </w:r>
      <w:proofErr w:type="spellStart"/>
      <w:r w:rsidRPr="00C623D5">
        <w:rPr>
          <w:i/>
          <w:iCs/>
          <w:color w:val="000000"/>
          <w:lang w:val="en-US"/>
        </w:rPr>
        <w:t>Practica</w:t>
      </w:r>
      <w:proofErr w:type="spellEnd"/>
      <w:r w:rsidRPr="00C623D5">
        <w:rPr>
          <w:i/>
          <w:iCs/>
          <w:color w:val="000000"/>
          <w:lang w:val="en-US"/>
        </w:rPr>
        <w:t xml:space="preserve"> </w:t>
      </w:r>
      <w:proofErr w:type="spellStart"/>
      <w:r w:rsidRPr="00C623D5">
        <w:rPr>
          <w:i/>
          <w:iCs/>
          <w:color w:val="000000"/>
          <w:lang w:val="en-US"/>
        </w:rPr>
        <w:t>musicae</w:t>
      </w:r>
      <w:proofErr w:type="spellEnd"/>
      <w:r w:rsidRPr="00C623D5">
        <w:rPr>
          <w:color w:val="000000"/>
          <w:lang w:val="en-US"/>
        </w:rPr>
        <w:t xml:space="preserve">; on this practice especially see Timothy J. McGee, “Singing Without Text,” </w:t>
      </w:r>
      <w:r w:rsidRPr="00C623D5">
        <w:rPr>
          <w:i/>
          <w:iCs/>
          <w:color w:val="000000"/>
          <w:lang w:val="en-US"/>
        </w:rPr>
        <w:t>Performance Practice Review</w:t>
      </w:r>
      <w:r w:rsidRPr="00C623D5">
        <w:rPr>
          <w:color w:val="000000"/>
          <w:lang w:val="en-US"/>
        </w:rPr>
        <w:t xml:space="preserve"> 6, no. 1:8 (1993): 28.</w:t>
      </w:r>
    </w:p>
  </w:footnote>
  <w:footnote w:id="661">
    <w:p w14:paraId="3FEA112D" w14:textId="77777777" w:rsidR="00182EED" w:rsidRDefault="00182EED" w:rsidP="00094F64">
      <w:pPr>
        <w:pStyle w:val="FootnoteText"/>
      </w:pPr>
      <w:r w:rsidRPr="00591949">
        <w:rPr>
          <w:rStyle w:val="FootnoteReference"/>
        </w:rPr>
        <w:footnoteRef/>
      </w:r>
      <w:r>
        <w:t xml:space="preserve"> </w:t>
      </w:r>
      <w:r w:rsidRPr="008555A5">
        <w:rPr>
          <w:color w:val="000000"/>
          <w:lang w:val="en-US"/>
        </w:rPr>
        <w:t xml:space="preserve">Jonathan Katz Nelson, “Filippino Nel </w:t>
      </w:r>
      <w:proofErr w:type="spellStart"/>
      <w:r w:rsidRPr="008555A5">
        <w:rPr>
          <w:color w:val="000000"/>
          <w:lang w:val="en-US"/>
        </w:rPr>
        <w:t>Ruolo</w:t>
      </w:r>
      <w:proofErr w:type="spellEnd"/>
      <w:r w:rsidRPr="008555A5">
        <w:rPr>
          <w:color w:val="000000"/>
          <w:lang w:val="en-US"/>
        </w:rPr>
        <w:t xml:space="preserve"> Di </w:t>
      </w:r>
      <w:proofErr w:type="spellStart"/>
      <w:r w:rsidRPr="008555A5">
        <w:rPr>
          <w:color w:val="000000"/>
          <w:lang w:val="en-US"/>
        </w:rPr>
        <w:t>Discepolo</w:t>
      </w:r>
      <w:proofErr w:type="spellEnd"/>
      <w:r w:rsidRPr="008555A5">
        <w:rPr>
          <w:color w:val="000000"/>
          <w:lang w:val="en-US"/>
        </w:rPr>
        <w:t xml:space="preserve">, </w:t>
      </w:r>
      <w:proofErr w:type="spellStart"/>
      <w:r w:rsidRPr="008555A5">
        <w:rPr>
          <w:color w:val="000000"/>
          <w:lang w:val="en-US"/>
        </w:rPr>
        <w:t>Collaboratore</w:t>
      </w:r>
      <w:proofErr w:type="spellEnd"/>
      <w:r w:rsidRPr="008555A5">
        <w:rPr>
          <w:color w:val="000000"/>
          <w:lang w:val="en-US"/>
        </w:rPr>
        <w:t xml:space="preserve"> e </w:t>
      </w:r>
      <w:proofErr w:type="spellStart"/>
      <w:r w:rsidRPr="008555A5">
        <w:rPr>
          <w:color w:val="000000"/>
          <w:lang w:val="en-US"/>
        </w:rPr>
        <w:t>Concorrente</w:t>
      </w:r>
      <w:proofErr w:type="spellEnd"/>
      <w:r w:rsidRPr="008555A5">
        <w:rPr>
          <w:color w:val="000000"/>
          <w:lang w:val="en-US"/>
        </w:rPr>
        <w:t xml:space="preserve"> Del Botticelli,” in </w:t>
      </w:r>
      <w:r w:rsidRPr="008555A5">
        <w:rPr>
          <w:i/>
          <w:iCs/>
          <w:color w:val="000000"/>
          <w:lang w:val="en-US"/>
        </w:rPr>
        <w:t xml:space="preserve">Botticelli E Filippino: </w:t>
      </w:r>
      <w:proofErr w:type="spellStart"/>
      <w:r w:rsidRPr="008555A5">
        <w:rPr>
          <w:i/>
          <w:iCs/>
          <w:color w:val="000000"/>
          <w:lang w:val="en-US"/>
        </w:rPr>
        <w:t>L’inquietudine</w:t>
      </w:r>
      <w:proofErr w:type="spellEnd"/>
      <w:r w:rsidRPr="008555A5">
        <w:rPr>
          <w:i/>
          <w:iCs/>
          <w:color w:val="000000"/>
          <w:lang w:val="en-US"/>
        </w:rPr>
        <w:t xml:space="preserve"> E La Grazia Nella </w:t>
      </w:r>
      <w:proofErr w:type="spellStart"/>
      <w:r w:rsidRPr="008555A5">
        <w:rPr>
          <w:i/>
          <w:iCs/>
          <w:color w:val="000000"/>
          <w:lang w:val="en-US"/>
        </w:rPr>
        <w:t>Pittura</w:t>
      </w:r>
      <w:proofErr w:type="spellEnd"/>
      <w:r w:rsidRPr="008555A5">
        <w:rPr>
          <w:i/>
          <w:iCs/>
          <w:color w:val="000000"/>
          <w:lang w:val="en-US"/>
        </w:rPr>
        <w:t xml:space="preserve"> Fiorentina Del Quattrocento </w:t>
      </w:r>
      <w:proofErr w:type="spellStart"/>
      <w:r w:rsidRPr="008555A5">
        <w:rPr>
          <w:color w:val="000000"/>
          <w:lang w:val="en-US"/>
        </w:rPr>
        <w:t>Exh.Cat</w:t>
      </w:r>
      <w:proofErr w:type="spellEnd"/>
      <w:r w:rsidRPr="008555A5">
        <w:rPr>
          <w:color w:val="000000"/>
          <w:lang w:val="en-US"/>
        </w:rPr>
        <w:t xml:space="preserve">., ed. Daniel </w:t>
      </w:r>
      <w:proofErr w:type="spellStart"/>
      <w:r w:rsidRPr="008555A5">
        <w:rPr>
          <w:color w:val="000000"/>
          <w:lang w:val="en-US"/>
        </w:rPr>
        <w:t>Arasse</w:t>
      </w:r>
      <w:proofErr w:type="spellEnd"/>
      <w:r w:rsidRPr="008555A5">
        <w:rPr>
          <w:color w:val="000000"/>
          <w:lang w:val="en-US"/>
        </w:rPr>
        <w:t xml:space="preserve">, </w:t>
      </w:r>
      <w:proofErr w:type="spellStart"/>
      <w:r w:rsidRPr="008555A5">
        <w:rPr>
          <w:color w:val="000000"/>
          <w:lang w:val="en-US"/>
        </w:rPr>
        <w:t>Pierluigi</w:t>
      </w:r>
      <w:proofErr w:type="spellEnd"/>
      <w:r w:rsidRPr="008555A5">
        <w:rPr>
          <w:color w:val="000000"/>
          <w:lang w:val="en-US"/>
        </w:rPr>
        <w:t xml:space="preserve"> De </w:t>
      </w:r>
      <w:proofErr w:type="spellStart"/>
      <w:r w:rsidRPr="008555A5">
        <w:rPr>
          <w:color w:val="000000"/>
          <w:lang w:val="en-US"/>
        </w:rPr>
        <w:t>Vecchi</w:t>
      </w:r>
      <w:proofErr w:type="spellEnd"/>
      <w:r w:rsidRPr="008555A5">
        <w:rPr>
          <w:color w:val="000000"/>
          <w:lang w:val="en-US"/>
        </w:rPr>
        <w:t xml:space="preserve">, and Jonathan Katz Nelson (Milan: </w:t>
      </w:r>
      <w:proofErr w:type="spellStart"/>
      <w:r w:rsidRPr="008555A5">
        <w:rPr>
          <w:color w:val="000000"/>
          <w:lang w:val="en-US"/>
        </w:rPr>
        <w:t>Skira</w:t>
      </w:r>
      <w:proofErr w:type="spellEnd"/>
      <w:r w:rsidRPr="008555A5">
        <w:rPr>
          <w:color w:val="000000"/>
          <w:lang w:val="en-US"/>
        </w:rPr>
        <w:t>, 2004), 89; Nelson, “Entry 19,” 165; Nelson, “Putting Botticelli and Filippino in Their Place,” 59.</w:t>
      </w:r>
    </w:p>
  </w:footnote>
  <w:footnote w:id="662">
    <w:p w14:paraId="11A1D0E1" w14:textId="77777777" w:rsidR="00182EED" w:rsidRDefault="00182EED" w:rsidP="00094F64">
      <w:pPr>
        <w:pStyle w:val="FootnoteText"/>
      </w:pPr>
      <w:r w:rsidRPr="00591949">
        <w:rPr>
          <w:rStyle w:val="FootnoteReference"/>
        </w:rPr>
        <w:footnoteRef/>
      </w:r>
      <w:r>
        <w:t xml:space="preserve"> </w:t>
      </w:r>
      <w:r w:rsidRPr="008555A5">
        <w:rPr>
          <w:color w:val="000000"/>
          <w:lang w:val="en-US"/>
        </w:rPr>
        <w:t>Amy Gillette, “Depicting the Sound of Silence: Angels’ Music and ‘</w:t>
      </w:r>
      <w:proofErr w:type="spellStart"/>
      <w:r w:rsidRPr="008555A5">
        <w:rPr>
          <w:color w:val="000000"/>
          <w:lang w:val="en-US"/>
        </w:rPr>
        <w:t>Angelization</w:t>
      </w:r>
      <w:proofErr w:type="spellEnd"/>
      <w:r w:rsidRPr="008555A5">
        <w:rPr>
          <w:color w:val="000000"/>
          <w:lang w:val="en-US"/>
        </w:rPr>
        <w:t xml:space="preserve">’ in Medieval Sacred Art,” </w:t>
      </w:r>
      <w:r w:rsidRPr="008555A5">
        <w:rPr>
          <w:i/>
          <w:iCs/>
          <w:color w:val="000000"/>
          <w:lang w:val="en-US"/>
        </w:rPr>
        <w:t xml:space="preserve">Imago </w:t>
      </w:r>
      <w:proofErr w:type="spellStart"/>
      <w:r w:rsidRPr="008555A5">
        <w:rPr>
          <w:i/>
          <w:iCs/>
          <w:color w:val="000000"/>
          <w:lang w:val="en-US"/>
        </w:rPr>
        <w:t>Musicae</w:t>
      </w:r>
      <w:proofErr w:type="spellEnd"/>
      <w:r w:rsidRPr="008555A5">
        <w:rPr>
          <w:color w:val="000000"/>
          <w:lang w:val="en-US"/>
        </w:rPr>
        <w:t xml:space="preserve"> XXVII (2015): 111.</w:t>
      </w:r>
    </w:p>
  </w:footnote>
  <w:footnote w:id="663">
    <w:p w14:paraId="07D6FFF0" w14:textId="77777777" w:rsidR="00182EED" w:rsidRDefault="00182EED" w:rsidP="00094F64">
      <w:pPr>
        <w:pStyle w:val="FootnoteText"/>
      </w:pPr>
      <w:r w:rsidRPr="00591949">
        <w:rPr>
          <w:rStyle w:val="FootnoteReference"/>
        </w:rPr>
        <w:footnoteRef/>
      </w:r>
      <w:r>
        <w:t xml:space="preserve"> </w:t>
      </w:r>
      <w:r w:rsidRPr="008555A5">
        <w:rPr>
          <w:color w:val="000000"/>
          <w:lang w:val="en-US"/>
        </w:rPr>
        <w:t xml:space="preserve">Emanuel </w:t>
      </w:r>
      <w:proofErr w:type="spellStart"/>
      <w:r w:rsidRPr="008555A5">
        <w:rPr>
          <w:color w:val="000000"/>
          <w:lang w:val="en-US"/>
        </w:rPr>
        <w:t>Winternitz</w:t>
      </w:r>
      <w:proofErr w:type="spellEnd"/>
      <w:r w:rsidRPr="008555A5">
        <w:rPr>
          <w:color w:val="000000"/>
          <w:lang w:val="en-US"/>
        </w:rPr>
        <w:t xml:space="preserve">, “Musical Instruments for the Stage in Paintings by Filippino Lippi, Piero Di Cosimo, and Lorenzo Costa,” in </w:t>
      </w:r>
      <w:r w:rsidRPr="008555A5">
        <w:rPr>
          <w:i/>
          <w:iCs/>
          <w:color w:val="000000"/>
          <w:lang w:val="en-US"/>
        </w:rPr>
        <w:t>Musical Instruments and Their Symbolism in Western Art: Studies in Musical Iconology</w:t>
      </w:r>
      <w:r w:rsidRPr="008555A5">
        <w:rPr>
          <w:color w:val="000000"/>
          <w:lang w:val="en-US"/>
        </w:rPr>
        <w:t xml:space="preserve"> (New Haven and London: Yale University Press, 1979), 213–14.</w:t>
      </w:r>
    </w:p>
  </w:footnote>
  <w:footnote w:id="664">
    <w:p w14:paraId="5E255681" w14:textId="77777777" w:rsidR="00182EED" w:rsidRDefault="00182EED" w:rsidP="00094F64">
      <w:pPr>
        <w:pStyle w:val="FootnoteText"/>
      </w:pPr>
      <w:r w:rsidRPr="00591949">
        <w:rPr>
          <w:rStyle w:val="FootnoteReference"/>
        </w:rPr>
        <w:footnoteRef/>
      </w:r>
      <w:r>
        <w:t xml:space="preserve"> </w:t>
      </w:r>
      <w:r w:rsidRPr="008555A5">
        <w:rPr>
          <w:color w:val="000000"/>
          <w:lang w:val="en-US"/>
        </w:rPr>
        <w:t xml:space="preserve">Olson, </w:t>
      </w:r>
      <w:r w:rsidRPr="008555A5">
        <w:rPr>
          <w:i/>
          <w:iCs/>
          <w:color w:val="000000"/>
          <w:lang w:val="en-US"/>
        </w:rPr>
        <w:t>The Florentine Tondo</w:t>
      </w:r>
      <w:r w:rsidRPr="008555A5">
        <w:rPr>
          <w:color w:val="000000"/>
          <w:lang w:val="en-US"/>
        </w:rPr>
        <w:t>, 239, fig. A11.</w:t>
      </w:r>
    </w:p>
  </w:footnote>
  <w:footnote w:id="665">
    <w:p w14:paraId="5974752B" w14:textId="77777777" w:rsidR="00182EED" w:rsidRDefault="00182EED" w:rsidP="00094F64">
      <w:pPr>
        <w:pStyle w:val="FootnoteText"/>
      </w:pPr>
      <w:r w:rsidRPr="00591949">
        <w:rPr>
          <w:rStyle w:val="FootnoteReference"/>
        </w:rPr>
        <w:footnoteRef/>
      </w:r>
      <w:r>
        <w:t xml:space="preserve"> </w:t>
      </w:r>
      <w:r w:rsidRPr="003527D2">
        <w:rPr>
          <w:color w:val="000000"/>
          <w:lang w:val="en-US"/>
        </w:rPr>
        <w:t xml:space="preserve">Nelson, “Putting Botticelli and Filippino in Their Place,” 59, fig. 75; see also Zambrano and Nelson, </w:t>
      </w:r>
      <w:r w:rsidRPr="003527D2">
        <w:rPr>
          <w:i/>
          <w:iCs/>
          <w:color w:val="000000"/>
          <w:lang w:val="en-US"/>
        </w:rPr>
        <w:t>Filippino Lippi</w:t>
      </w:r>
      <w:r w:rsidRPr="003527D2">
        <w:rPr>
          <w:color w:val="000000"/>
          <w:lang w:val="en-US"/>
        </w:rPr>
        <w:t>, 341-342 fig. 28.1.</w:t>
      </w:r>
    </w:p>
  </w:footnote>
  <w:footnote w:id="666">
    <w:p w14:paraId="63BFD872" w14:textId="77777777" w:rsidR="00182EED" w:rsidRDefault="00182EED" w:rsidP="00094F64">
      <w:pPr>
        <w:pStyle w:val="FootnoteText"/>
      </w:pPr>
      <w:r w:rsidRPr="00591949">
        <w:rPr>
          <w:rStyle w:val="FootnoteReference"/>
        </w:rPr>
        <w:footnoteRef/>
      </w:r>
      <w:r>
        <w:t xml:space="preserve"> </w:t>
      </w:r>
      <w:proofErr w:type="spellStart"/>
      <w:r w:rsidRPr="00250E45">
        <w:rPr>
          <w:color w:val="000000"/>
          <w:lang w:val="en-US"/>
        </w:rPr>
        <w:t>Patrizia</w:t>
      </w:r>
      <w:proofErr w:type="spellEnd"/>
      <w:r w:rsidRPr="00250E45">
        <w:rPr>
          <w:color w:val="000000"/>
          <w:lang w:val="en-US"/>
        </w:rPr>
        <w:t xml:space="preserve"> Zambrano, “</w:t>
      </w:r>
      <w:proofErr w:type="spellStart"/>
      <w:r w:rsidRPr="00250E45">
        <w:rPr>
          <w:color w:val="000000"/>
          <w:lang w:val="en-US"/>
        </w:rPr>
        <w:t>Catalogo</w:t>
      </w:r>
      <w:proofErr w:type="spellEnd"/>
      <w:r w:rsidRPr="00250E45">
        <w:rPr>
          <w:color w:val="000000"/>
          <w:lang w:val="en-US"/>
        </w:rPr>
        <w:t xml:space="preserve"> </w:t>
      </w:r>
      <w:proofErr w:type="spellStart"/>
      <w:r w:rsidRPr="00250E45">
        <w:rPr>
          <w:color w:val="000000"/>
          <w:lang w:val="en-US"/>
        </w:rPr>
        <w:t>Delle</w:t>
      </w:r>
      <w:proofErr w:type="spellEnd"/>
      <w:r w:rsidRPr="00250E45">
        <w:rPr>
          <w:color w:val="000000"/>
          <w:lang w:val="en-US"/>
        </w:rPr>
        <w:t xml:space="preserve"> </w:t>
      </w:r>
      <w:proofErr w:type="spellStart"/>
      <w:r w:rsidRPr="00250E45">
        <w:rPr>
          <w:color w:val="000000"/>
          <w:lang w:val="en-US"/>
        </w:rPr>
        <w:t>Oper</w:t>
      </w:r>
      <w:r>
        <w:rPr>
          <w:color w:val="000000"/>
          <w:lang w:val="en-US"/>
        </w:rPr>
        <w:t>e</w:t>
      </w:r>
      <w:proofErr w:type="spellEnd"/>
      <w:r w:rsidRPr="00250E45">
        <w:rPr>
          <w:color w:val="000000"/>
          <w:lang w:val="en-US"/>
        </w:rPr>
        <w:t xml:space="preserve"> </w:t>
      </w:r>
      <w:proofErr w:type="spellStart"/>
      <w:r w:rsidRPr="00250E45">
        <w:rPr>
          <w:color w:val="000000"/>
          <w:lang w:val="en-US"/>
        </w:rPr>
        <w:t>Respinte</w:t>
      </w:r>
      <w:proofErr w:type="spellEnd"/>
      <w:r w:rsidRPr="00250E45">
        <w:rPr>
          <w:color w:val="000000"/>
          <w:lang w:val="en-US"/>
        </w:rPr>
        <w:t xml:space="preserve"> </w:t>
      </w:r>
      <w:proofErr w:type="spellStart"/>
      <w:r w:rsidRPr="00250E45">
        <w:rPr>
          <w:color w:val="000000"/>
          <w:lang w:val="en-US"/>
        </w:rPr>
        <w:t>Già</w:t>
      </w:r>
      <w:proofErr w:type="spellEnd"/>
      <w:r w:rsidRPr="00250E45">
        <w:rPr>
          <w:color w:val="000000"/>
          <w:lang w:val="en-US"/>
        </w:rPr>
        <w:t xml:space="preserve"> </w:t>
      </w:r>
      <w:proofErr w:type="spellStart"/>
      <w:r w:rsidRPr="00250E45">
        <w:rPr>
          <w:color w:val="000000"/>
          <w:lang w:val="en-US"/>
        </w:rPr>
        <w:t>Attribuite</w:t>
      </w:r>
      <w:proofErr w:type="spellEnd"/>
      <w:r w:rsidRPr="00250E45">
        <w:rPr>
          <w:color w:val="000000"/>
          <w:lang w:val="en-US"/>
        </w:rPr>
        <w:t xml:space="preserve"> a Filippino Lippi,” in </w:t>
      </w:r>
      <w:r w:rsidRPr="00250E45">
        <w:rPr>
          <w:i/>
          <w:iCs/>
          <w:color w:val="000000"/>
          <w:lang w:val="en-US"/>
        </w:rPr>
        <w:t>Filippino Lippi</w:t>
      </w:r>
      <w:r w:rsidRPr="00250E45">
        <w:rPr>
          <w:color w:val="000000"/>
          <w:lang w:val="en-US"/>
        </w:rPr>
        <w:t xml:space="preserve"> (Milan: </w:t>
      </w:r>
      <w:proofErr w:type="spellStart"/>
      <w:r w:rsidRPr="00250E45">
        <w:rPr>
          <w:color w:val="000000"/>
          <w:lang w:val="en-US"/>
        </w:rPr>
        <w:t>Electa</w:t>
      </w:r>
      <w:proofErr w:type="spellEnd"/>
      <w:r w:rsidRPr="00250E45">
        <w:rPr>
          <w:color w:val="000000"/>
          <w:lang w:val="en-US"/>
        </w:rPr>
        <w:t>, 2004), 388; see also Jonathan Katz Nelson, “</w:t>
      </w:r>
      <w:proofErr w:type="spellStart"/>
      <w:r w:rsidRPr="00250E45">
        <w:rPr>
          <w:color w:val="000000"/>
          <w:lang w:val="en-US"/>
        </w:rPr>
        <w:t>Catalogo</w:t>
      </w:r>
      <w:proofErr w:type="spellEnd"/>
      <w:r w:rsidRPr="00250E45">
        <w:rPr>
          <w:color w:val="000000"/>
          <w:lang w:val="en-US"/>
        </w:rPr>
        <w:t xml:space="preserve"> </w:t>
      </w:r>
      <w:proofErr w:type="spellStart"/>
      <w:r w:rsidRPr="00250E45">
        <w:rPr>
          <w:color w:val="000000"/>
          <w:lang w:val="en-US"/>
        </w:rPr>
        <w:t>Delle</w:t>
      </w:r>
      <w:proofErr w:type="spellEnd"/>
      <w:r w:rsidRPr="00250E45">
        <w:rPr>
          <w:color w:val="000000"/>
          <w:lang w:val="en-US"/>
        </w:rPr>
        <w:t xml:space="preserve"> Opera </w:t>
      </w:r>
      <w:proofErr w:type="spellStart"/>
      <w:r w:rsidRPr="00250E45">
        <w:rPr>
          <w:color w:val="000000"/>
          <w:lang w:val="en-US"/>
        </w:rPr>
        <w:t>Respinte</w:t>
      </w:r>
      <w:proofErr w:type="spellEnd"/>
      <w:r w:rsidRPr="00250E45">
        <w:rPr>
          <w:color w:val="000000"/>
          <w:lang w:val="en-US"/>
        </w:rPr>
        <w:t xml:space="preserve"> </w:t>
      </w:r>
      <w:proofErr w:type="spellStart"/>
      <w:r w:rsidRPr="00250E45">
        <w:rPr>
          <w:color w:val="000000"/>
          <w:lang w:val="en-US"/>
        </w:rPr>
        <w:t>Già</w:t>
      </w:r>
      <w:proofErr w:type="spellEnd"/>
      <w:r w:rsidRPr="00250E45">
        <w:rPr>
          <w:color w:val="000000"/>
          <w:lang w:val="en-US"/>
        </w:rPr>
        <w:t xml:space="preserve"> </w:t>
      </w:r>
      <w:proofErr w:type="spellStart"/>
      <w:r w:rsidRPr="00250E45">
        <w:rPr>
          <w:color w:val="000000"/>
          <w:lang w:val="en-US"/>
        </w:rPr>
        <w:t>Attribuite</w:t>
      </w:r>
      <w:proofErr w:type="spellEnd"/>
      <w:r w:rsidRPr="00250E45">
        <w:rPr>
          <w:color w:val="000000"/>
          <w:lang w:val="en-US"/>
        </w:rPr>
        <w:t xml:space="preserve"> a Filippino Lippi (Entry R.27),” in </w:t>
      </w:r>
      <w:r w:rsidRPr="00250E45">
        <w:rPr>
          <w:i/>
          <w:iCs/>
          <w:color w:val="000000"/>
          <w:lang w:val="en-US"/>
        </w:rPr>
        <w:t>Filippino Lippi</w:t>
      </w:r>
      <w:r w:rsidRPr="00250E45">
        <w:rPr>
          <w:color w:val="000000"/>
          <w:lang w:val="en-US"/>
        </w:rPr>
        <w:t xml:space="preserve"> (Milan: </w:t>
      </w:r>
      <w:proofErr w:type="spellStart"/>
      <w:r w:rsidRPr="00250E45">
        <w:rPr>
          <w:color w:val="000000"/>
          <w:lang w:val="en-US"/>
        </w:rPr>
        <w:t>Electa</w:t>
      </w:r>
      <w:proofErr w:type="spellEnd"/>
      <w:r w:rsidRPr="00250E45">
        <w:rPr>
          <w:color w:val="000000"/>
          <w:lang w:val="en-US"/>
        </w:rPr>
        <w:t xml:space="preserve">, 2004), 609; Lightbown, </w:t>
      </w:r>
      <w:r w:rsidRPr="00250E45">
        <w:rPr>
          <w:i/>
          <w:iCs/>
          <w:color w:val="000000"/>
          <w:lang w:val="en-US"/>
        </w:rPr>
        <w:t>Sandro Botticelli: Life and Work</w:t>
      </w:r>
      <w:r w:rsidRPr="00250E45">
        <w:rPr>
          <w:color w:val="000000"/>
          <w:lang w:val="en-US"/>
        </w:rPr>
        <w:t>, vol.2, 213.</w:t>
      </w:r>
    </w:p>
  </w:footnote>
  <w:footnote w:id="667">
    <w:p w14:paraId="51DF87D9" w14:textId="77777777" w:rsidR="00182EED" w:rsidRDefault="00182EED" w:rsidP="00094F64">
      <w:pPr>
        <w:pStyle w:val="FootnoteText"/>
      </w:pPr>
      <w:r w:rsidRPr="00591949">
        <w:rPr>
          <w:rStyle w:val="FootnoteReference"/>
        </w:rPr>
        <w:footnoteRef/>
      </w:r>
      <w:r>
        <w:t xml:space="preserve"> </w:t>
      </w:r>
      <w:r w:rsidRPr="00250E45">
        <w:rPr>
          <w:color w:val="000000"/>
          <w:lang w:val="en-US"/>
        </w:rPr>
        <w:t>Zambrano, “</w:t>
      </w:r>
      <w:proofErr w:type="spellStart"/>
      <w:r w:rsidRPr="00250E45">
        <w:rPr>
          <w:color w:val="000000"/>
          <w:lang w:val="en-US"/>
        </w:rPr>
        <w:t>Catalogo</w:t>
      </w:r>
      <w:proofErr w:type="spellEnd"/>
      <w:r w:rsidRPr="00250E45">
        <w:rPr>
          <w:color w:val="000000"/>
          <w:lang w:val="en-US"/>
        </w:rPr>
        <w:t xml:space="preserve"> </w:t>
      </w:r>
      <w:proofErr w:type="spellStart"/>
      <w:r w:rsidRPr="00250E45">
        <w:rPr>
          <w:color w:val="000000"/>
          <w:lang w:val="en-US"/>
        </w:rPr>
        <w:t>Delle</w:t>
      </w:r>
      <w:proofErr w:type="spellEnd"/>
      <w:r w:rsidRPr="00250E45">
        <w:rPr>
          <w:color w:val="000000"/>
          <w:lang w:val="en-US"/>
        </w:rPr>
        <w:t xml:space="preserve"> </w:t>
      </w:r>
      <w:proofErr w:type="spellStart"/>
      <w:r w:rsidRPr="00250E45">
        <w:rPr>
          <w:color w:val="000000"/>
          <w:lang w:val="en-US"/>
        </w:rPr>
        <w:t>Oper</w:t>
      </w:r>
      <w:r>
        <w:rPr>
          <w:color w:val="000000"/>
          <w:lang w:val="en-US"/>
        </w:rPr>
        <w:t>e</w:t>
      </w:r>
      <w:proofErr w:type="spellEnd"/>
      <w:r w:rsidRPr="00250E45">
        <w:rPr>
          <w:color w:val="000000"/>
          <w:lang w:val="en-US"/>
        </w:rPr>
        <w:t xml:space="preserve"> </w:t>
      </w:r>
      <w:proofErr w:type="spellStart"/>
      <w:r w:rsidRPr="00250E45">
        <w:rPr>
          <w:color w:val="000000"/>
          <w:lang w:val="en-US"/>
        </w:rPr>
        <w:t>Respinte</w:t>
      </w:r>
      <w:proofErr w:type="spellEnd"/>
      <w:r w:rsidRPr="00250E45">
        <w:rPr>
          <w:color w:val="000000"/>
          <w:lang w:val="en-US"/>
        </w:rPr>
        <w:t>,” 388; see also Nelson, “</w:t>
      </w:r>
      <w:proofErr w:type="spellStart"/>
      <w:r w:rsidRPr="00250E45">
        <w:rPr>
          <w:color w:val="000000"/>
          <w:lang w:val="en-US"/>
        </w:rPr>
        <w:t>Catalogo</w:t>
      </w:r>
      <w:proofErr w:type="spellEnd"/>
      <w:r w:rsidRPr="00250E45">
        <w:rPr>
          <w:color w:val="000000"/>
          <w:lang w:val="en-US"/>
        </w:rPr>
        <w:t xml:space="preserve"> </w:t>
      </w:r>
      <w:proofErr w:type="spellStart"/>
      <w:r w:rsidRPr="00250E45">
        <w:rPr>
          <w:color w:val="000000"/>
          <w:lang w:val="en-US"/>
        </w:rPr>
        <w:t>Delle</w:t>
      </w:r>
      <w:proofErr w:type="spellEnd"/>
      <w:r w:rsidRPr="00250E45">
        <w:rPr>
          <w:color w:val="000000"/>
          <w:lang w:val="en-US"/>
        </w:rPr>
        <w:t xml:space="preserve"> Opera </w:t>
      </w:r>
      <w:proofErr w:type="spellStart"/>
      <w:r w:rsidRPr="00250E45">
        <w:rPr>
          <w:color w:val="000000"/>
          <w:lang w:val="en-US"/>
        </w:rPr>
        <w:t>Respinte</w:t>
      </w:r>
      <w:proofErr w:type="spellEnd"/>
      <w:r>
        <w:rPr>
          <w:color w:val="000000"/>
          <w:lang w:val="en-US"/>
        </w:rPr>
        <w:t>,”</w:t>
      </w:r>
      <w:r w:rsidRPr="00250E45">
        <w:rPr>
          <w:color w:val="000000"/>
          <w:lang w:val="en-US"/>
        </w:rPr>
        <w:t xml:space="preserve"> (Entry R.27), 609.</w:t>
      </w:r>
    </w:p>
  </w:footnote>
  <w:footnote w:id="668">
    <w:p w14:paraId="076B6208" w14:textId="77777777" w:rsidR="00182EED" w:rsidRDefault="00182EED" w:rsidP="00094F64">
      <w:pPr>
        <w:pStyle w:val="FootnoteText"/>
      </w:pPr>
      <w:r w:rsidRPr="00591949">
        <w:rPr>
          <w:rStyle w:val="FootnoteReference"/>
        </w:rPr>
        <w:footnoteRef/>
      </w:r>
      <w:r>
        <w:t xml:space="preserve"> </w:t>
      </w:r>
      <w:r w:rsidRPr="00C623D5">
        <w:rPr>
          <w:color w:val="000000"/>
          <w:lang w:val="en-US"/>
        </w:rPr>
        <w:t>“</w:t>
      </w:r>
      <w:proofErr w:type="spellStart"/>
      <w:r w:rsidRPr="00C623D5">
        <w:rPr>
          <w:color w:val="000000"/>
          <w:lang w:val="en-US"/>
        </w:rPr>
        <w:t>Iesu</w:t>
      </w:r>
      <w:proofErr w:type="spellEnd"/>
      <w:r w:rsidRPr="00C623D5">
        <w:rPr>
          <w:color w:val="000000"/>
          <w:lang w:val="en-US"/>
        </w:rPr>
        <w:t xml:space="preserve"> e </w:t>
      </w:r>
      <w:proofErr w:type="spellStart"/>
      <w:r w:rsidRPr="00C623D5">
        <w:rPr>
          <w:color w:val="000000"/>
          <w:lang w:val="en-US"/>
        </w:rPr>
        <w:t>il</w:t>
      </w:r>
      <w:proofErr w:type="spellEnd"/>
      <w:r w:rsidRPr="00C623D5">
        <w:rPr>
          <w:color w:val="000000"/>
          <w:lang w:val="en-US"/>
        </w:rPr>
        <w:t xml:space="preserve"> </w:t>
      </w:r>
      <w:proofErr w:type="spellStart"/>
      <w:r w:rsidRPr="00C623D5">
        <w:rPr>
          <w:color w:val="000000"/>
          <w:lang w:val="en-US"/>
        </w:rPr>
        <w:t>battista</w:t>
      </w:r>
      <w:proofErr w:type="spellEnd"/>
      <w:r w:rsidRPr="00C623D5">
        <w:rPr>
          <w:color w:val="000000"/>
          <w:lang w:val="en-US"/>
        </w:rPr>
        <w:t xml:space="preserve"> ... </w:t>
      </w:r>
      <w:proofErr w:type="spellStart"/>
      <w:r w:rsidRPr="00C623D5">
        <w:rPr>
          <w:color w:val="000000"/>
          <w:lang w:val="en-US"/>
        </w:rPr>
        <w:t>piccinini</w:t>
      </w:r>
      <w:proofErr w:type="spellEnd"/>
      <w:r w:rsidRPr="00C623D5">
        <w:rPr>
          <w:color w:val="000000"/>
          <w:lang w:val="en-US"/>
        </w:rPr>
        <w:t xml:space="preserve"> </w:t>
      </w:r>
      <w:proofErr w:type="spellStart"/>
      <w:r w:rsidRPr="00C623D5">
        <w:rPr>
          <w:color w:val="000000"/>
          <w:lang w:val="en-US"/>
        </w:rPr>
        <w:t>insieme</w:t>
      </w:r>
      <w:proofErr w:type="spellEnd"/>
      <w:r w:rsidRPr="00C623D5">
        <w:rPr>
          <w:color w:val="000000"/>
          <w:lang w:val="en-US"/>
        </w:rPr>
        <w:t xml:space="preserve"> </w:t>
      </w:r>
      <w:proofErr w:type="spellStart"/>
      <w:r w:rsidRPr="00C623D5">
        <w:rPr>
          <w:color w:val="000000"/>
          <w:lang w:val="en-US"/>
        </w:rPr>
        <w:t>coniunti</w:t>
      </w:r>
      <w:proofErr w:type="spellEnd"/>
      <w:r w:rsidRPr="00C623D5">
        <w:rPr>
          <w:color w:val="000000"/>
          <w:lang w:val="en-US"/>
        </w:rPr>
        <w:t xml:space="preserve">” </w:t>
      </w:r>
      <w:proofErr w:type="spellStart"/>
      <w:r w:rsidRPr="00C623D5">
        <w:rPr>
          <w:color w:val="000000"/>
          <w:lang w:val="en-US"/>
        </w:rPr>
        <w:t>Dominici</w:t>
      </w:r>
      <w:proofErr w:type="spellEnd"/>
      <w:r w:rsidRPr="00C623D5">
        <w:rPr>
          <w:color w:val="000000"/>
          <w:lang w:val="en-US"/>
        </w:rPr>
        <w:t xml:space="preserve">, </w:t>
      </w:r>
      <w:proofErr w:type="spellStart"/>
      <w:r w:rsidRPr="00C623D5">
        <w:rPr>
          <w:i/>
          <w:iCs/>
          <w:color w:val="000000"/>
          <w:lang w:val="en-US"/>
        </w:rPr>
        <w:t>Regola</w:t>
      </w:r>
      <w:proofErr w:type="spellEnd"/>
      <w:r w:rsidRPr="00C623D5">
        <w:rPr>
          <w:i/>
          <w:iCs/>
          <w:color w:val="000000"/>
          <w:lang w:val="en-US"/>
        </w:rPr>
        <w:t xml:space="preserve"> Del </w:t>
      </w:r>
      <w:proofErr w:type="spellStart"/>
      <w:r w:rsidRPr="00C623D5">
        <w:rPr>
          <w:i/>
          <w:iCs/>
          <w:color w:val="000000"/>
          <w:lang w:val="en-US"/>
        </w:rPr>
        <w:t>Governo</w:t>
      </w:r>
      <w:proofErr w:type="spellEnd"/>
      <w:r w:rsidRPr="00C623D5">
        <w:rPr>
          <w:i/>
          <w:iCs/>
          <w:color w:val="000000"/>
          <w:lang w:val="en-US"/>
        </w:rPr>
        <w:t xml:space="preserve"> Di </w:t>
      </w:r>
      <w:proofErr w:type="spellStart"/>
      <w:r w:rsidRPr="00C623D5">
        <w:rPr>
          <w:i/>
          <w:iCs/>
          <w:color w:val="000000"/>
          <w:lang w:val="en-US"/>
        </w:rPr>
        <w:t>Cura</w:t>
      </w:r>
      <w:proofErr w:type="spellEnd"/>
      <w:r w:rsidRPr="00C623D5">
        <w:rPr>
          <w:i/>
          <w:iCs/>
          <w:color w:val="000000"/>
          <w:lang w:val="en-US"/>
        </w:rPr>
        <w:t xml:space="preserve"> </w:t>
      </w:r>
      <w:proofErr w:type="spellStart"/>
      <w:r w:rsidRPr="00C623D5">
        <w:rPr>
          <w:i/>
          <w:iCs/>
          <w:color w:val="000000"/>
          <w:lang w:val="en-US"/>
        </w:rPr>
        <w:t>Familiare</w:t>
      </w:r>
      <w:proofErr w:type="spellEnd"/>
      <w:r w:rsidRPr="00C623D5">
        <w:rPr>
          <w:color w:val="000000"/>
          <w:lang w:val="en-US"/>
        </w:rPr>
        <w:t>, 131.</w:t>
      </w:r>
    </w:p>
  </w:footnote>
  <w:footnote w:id="669">
    <w:p w14:paraId="3D9C8A59" w14:textId="77777777" w:rsidR="00182EED" w:rsidRDefault="00182EED" w:rsidP="00094F64">
      <w:pPr>
        <w:pStyle w:val="FootnoteText"/>
      </w:pPr>
      <w:r w:rsidRPr="00591949">
        <w:rPr>
          <w:rStyle w:val="FootnoteReference"/>
        </w:rPr>
        <w:footnoteRef/>
      </w:r>
      <w:r>
        <w:t xml:space="preserve"> </w:t>
      </w:r>
      <w:r w:rsidRPr="00250E45">
        <w:rPr>
          <w:color w:val="000000"/>
          <w:lang w:val="en-US"/>
        </w:rPr>
        <w:t>Zambrano, “</w:t>
      </w:r>
      <w:proofErr w:type="spellStart"/>
      <w:r w:rsidRPr="00250E45">
        <w:rPr>
          <w:color w:val="000000"/>
          <w:lang w:val="en-US"/>
        </w:rPr>
        <w:t>Catalogo</w:t>
      </w:r>
      <w:proofErr w:type="spellEnd"/>
      <w:r w:rsidRPr="00250E45">
        <w:rPr>
          <w:color w:val="000000"/>
          <w:lang w:val="en-US"/>
        </w:rPr>
        <w:t xml:space="preserve"> </w:t>
      </w:r>
      <w:proofErr w:type="spellStart"/>
      <w:r w:rsidRPr="00250E45">
        <w:rPr>
          <w:color w:val="000000"/>
          <w:lang w:val="en-US"/>
        </w:rPr>
        <w:t>Delle</w:t>
      </w:r>
      <w:proofErr w:type="spellEnd"/>
      <w:r w:rsidRPr="00250E45">
        <w:rPr>
          <w:color w:val="000000"/>
          <w:lang w:val="en-US"/>
        </w:rPr>
        <w:t xml:space="preserve"> </w:t>
      </w:r>
      <w:proofErr w:type="spellStart"/>
      <w:r w:rsidRPr="00250E45">
        <w:rPr>
          <w:color w:val="000000"/>
          <w:lang w:val="en-US"/>
        </w:rPr>
        <w:t>Oper</w:t>
      </w:r>
      <w:r>
        <w:rPr>
          <w:color w:val="000000"/>
          <w:lang w:val="en-US"/>
        </w:rPr>
        <w:t>e</w:t>
      </w:r>
      <w:proofErr w:type="spellEnd"/>
      <w:r w:rsidRPr="00250E45">
        <w:rPr>
          <w:color w:val="000000"/>
          <w:lang w:val="en-US"/>
        </w:rPr>
        <w:t xml:space="preserve"> </w:t>
      </w:r>
      <w:proofErr w:type="spellStart"/>
      <w:r w:rsidRPr="00250E45">
        <w:rPr>
          <w:color w:val="000000"/>
          <w:lang w:val="en-US"/>
        </w:rPr>
        <w:t>Respinte</w:t>
      </w:r>
      <w:proofErr w:type="spellEnd"/>
      <w:r w:rsidRPr="00250E45">
        <w:rPr>
          <w:color w:val="000000"/>
          <w:lang w:val="en-US"/>
        </w:rPr>
        <w:t>,” 388.</w:t>
      </w:r>
    </w:p>
  </w:footnote>
  <w:footnote w:id="670">
    <w:p w14:paraId="39745013" w14:textId="77777777" w:rsidR="00182EED" w:rsidRDefault="00182EED" w:rsidP="00094F64">
      <w:pPr>
        <w:pStyle w:val="FootnoteText"/>
      </w:pPr>
      <w:r w:rsidRPr="00591949">
        <w:rPr>
          <w:rStyle w:val="FootnoteReference"/>
        </w:rPr>
        <w:footnoteRef/>
      </w:r>
      <w:r>
        <w:t xml:space="preserve"> </w:t>
      </w:r>
      <w:r w:rsidRPr="00250E45">
        <w:rPr>
          <w:color w:val="000000"/>
          <w:lang w:val="en-US"/>
        </w:rPr>
        <w:t xml:space="preserve">Olson, </w:t>
      </w:r>
      <w:r w:rsidRPr="00250E45">
        <w:rPr>
          <w:i/>
          <w:iCs/>
          <w:color w:val="000000"/>
          <w:lang w:val="en-US"/>
        </w:rPr>
        <w:t>The Florentine Tondo</w:t>
      </w:r>
      <w:r w:rsidRPr="00250E45">
        <w:rPr>
          <w:color w:val="000000"/>
          <w:lang w:val="en-US"/>
        </w:rPr>
        <w:t>, 248: “Christ stands with his right foot on top of a book in a victor-over-vanquished pose, as the fulfilment of the Old Testament, while the placement of his left foot on a transparent cloth stresses the sacramental implications of his fate.”</w:t>
      </w:r>
    </w:p>
  </w:footnote>
  <w:footnote w:id="671">
    <w:p w14:paraId="3E30B747" w14:textId="77777777" w:rsidR="00182EED" w:rsidRPr="00094F64" w:rsidRDefault="00182EED" w:rsidP="00094F64">
      <w:pPr>
        <w:pStyle w:val="FootnoteText"/>
        <w:rPr>
          <w:szCs w:val="18"/>
        </w:rPr>
      </w:pPr>
      <w:r w:rsidRPr="00591949">
        <w:rPr>
          <w:rStyle w:val="FootnoteReference"/>
        </w:rPr>
        <w:footnoteRef/>
      </w:r>
      <w:r>
        <w:t xml:space="preserve"> </w:t>
      </w:r>
      <w:r w:rsidRPr="00006B9E">
        <w:rPr>
          <w:color w:val="000000"/>
          <w:lang w:val="en-US"/>
        </w:rPr>
        <w:t xml:space="preserve">A. </w:t>
      </w:r>
      <w:proofErr w:type="spellStart"/>
      <w:r w:rsidRPr="00006B9E">
        <w:rPr>
          <w:color w:val="000000"/>
          <w:lang w:val="en-US"/>
        </w:rPr>
        <w:t>Covi</w:t>
      </w:r>
      <w:proofErr w:type="spellEnd"/>
      <w:r w:rsidRPr="00006B9E">
        <w:rPr>
          <w:color w:val="000000"/>
          <w:lang w:val="en-US"/>
        </w:rPr>
        <w:t xml:space="preserve"> reads the initials differently as S(</w:t>
      </w:r>
      <w:proofErr w:type="spellStart"/>
      <w:r w:rsidRPr="00006B9E">
        <w:rPr>
          <w:color w:val="000000"/>
          <w:lang w:val="en-US"/>
        </w:rPr>
        <w:t>uperius</w:t>
      </w:r>
      <w:proofErr w:type="spellEnd"/>
      <w:r w:rsidRPr="00006B9E">
        <w:rPr>
          <w:color w:val="000000"/>
          <w:lang w:val="en-US"/>
        </w:rPr>
        <w:t>), T(</w:t>
      </w:r>
      <w:proofErr w:type="spellStart"/>
      <w:r w:rsidRPr="00006B9E">
        <w:rPr>
          <w:color w:val="000000"/>
          <w:lang w:val="en-US"/>
        </w:rPr>
        <w:t>enor</w:t>
      </w:r>
      <w:proofErr w:type="spellEnd"/>
      <w:r w:rsidRPr="00006B9E">
        <w:rPr>
          <w:color w:val="000000"/>
          <w:lang w:val="en-US"/>
        </w:rPr>
        <w:t>) and A(</w:t>
      </w:r>
      <w:proofErr w:type="spellStart"/>
      <w:r w:rsidRPr="00006B9E">
        <w:rPr>
          <w:color w:val="000000"/>
          <w:lang w:val="en-US"/>
        </w:rPr>
        <w:t>lto</w:t>
      </w:r>
      <w:proofErr w:type="spellEnd"/>
      <w:r w:rsidRPr="00006B9E">
        <w:rPr>
          <w:color w:val="000000"/>
          <w:lang w:val="en-US"/>
        </w:rPr>
        <w:t xml:space="preserve">). See Dario </w:t>
      </w:r>
      <w:proofErr w:type="spellStart"/>
      <w:r w:rsidRPr="00006B9E">
        <w:rPr>
          <w:color w:val="000000"/>
          <w:lang w:val="en-US"/>
        </w:rPr>
        <w:t>Covi</w:t>
      </w:r>
      <w:proofErr w:type="spellEnd"/>
      <w:r w:rsidRPr="00006B9E">
        <w:rPr>
          <w:color w:val="000000"/>
          <w:lang w:val="en-US"/>
        </w:rPr>
        <w:t xml:space="preserve">, </w:t>
      </w:r>
      <w:r w:rsidRPr="00006B9E">
        <w:rPr>
          <w:i/>
          <w:iCs/>
          <w:color w:val="000000"/>
          <w:lang w:val="en-US"/>
        </w:rPr>
        <w:t xml:space="preserve">The Inscription in Fifteenth </w:t>
      </w:r>
      <w:r w:rsidRPr="00094F64">
        <w:rPr>
          <w:i/>
          <w:iCs/>
          <w:color w:val="000000"/>
          <w:szCs w:val="18"/>
          <w:lang w:val="en-US"/>
        </w:rPr>
        <w:t>Century Florentine Painting</w:t>
      </w:r>
      <w:r w:rsidRPr="00094F64">
        <w:rPr>
          <w:color w:val="000000"/>
          <w:szCs w:val="18"/>
          <w:lang w:val="en-US"/>
        </w:rPr>
        <w:t xml:space="preserve"> (New York and London: Garland Publishing, 1986), 200; On the music in this painting see also Olson, </w:t>
      </w:r>
      <w:r w:rsidRPr="00094F64">
        <w:rPr>
          <w:i/>
          <w:iCs/>
          <w:color w:val="000000"/>
          <w:szCs w:val="18"/>
          <w:lang w:val="en-US"/>
        </w:rPr>
        <w:t>The Florentine Tondo</w:t>
      </w:r>
      <w:r w:rsidRPr="00094F64">
        <w:rPr>
          <w:color w:val="000000"/>
          <w:szCs w:val="18"/>
          <w:lang w:val="en-US"/>
        </w:rPr>
        <w:t xml:space="preserve">, 248; Peter </w:t>
      </w:r>
      <w:proofErr w:type="spellStart"/>
      <w:r w:rsidRPr="00094F64">
        <w:rPr>
          <w:color w:val="000000"/>
          <w:szCs w:val="18"/>
          <w:lang w:val="en-US"/>
        </w:rPr>
        <w:t>Humfrey</w:t>
      </w:r>
      <w:proofErr w:type="spellEnd"/>
      <w:r w:rsidRPr="00094F64">
        <w:rPr>
          <w:color w:val="000000"/>
          <w:szCs w:val="18"/>
          <w:lang w:val="en-US"/>
        </w:rPr>
        <w:t xml:space="preserve">, </w:t>
      </w:r>
      <w:r w:rsidRPr="00094F64">
        <w:rPr>
          <w:i/>
          <w:iCs/>
          <w:color w:val="000000"/>
          <w:szCs w:val="18"/>
          <w:lang w:val="en-US"/>
        </w:rPr>
        <w:t>Glasgow Museums: The Italian Paintings</w:t>
      </w:r>
      <w:r w:rsidRPr="00094F64">
        <w:rPr>
          <w:color w:val="000000"/>
          <w:szCs w:val="18"/>
          <w:lang w:val="en-US"/>
        </w:rPr>
        <w:t xml:space="preserve"> (London: Unicorn, 2012), 51.</w:t>
      </w:r>
      <w:r w:rsidRPr="00094F64">
        <w:rPr>
          <w:szCs w:val="18"/>
        </w:rPr>
        <w:t xml:space="preserve"> I thank Dr Tim Shephard for a detailed analysis of the music depicted in the </w:t>
      </w:r>
      <w:r w:rsidRPr="00094F64">
        <w:rPr>
          <w:i/>
          <w:szCs w:val="18"/>
        </w:rPr>
        <w:t xml:space="preserve">tondo </w:t>
      </w:r>
      <w:r w:rsidRPr="00094F64">
        <w:rPr>
          <w:szCs w:val="18"/>
        </w:rPr>
        <w:t>attributed to Raffaellino del Garbo kept in Glasgow (pers. comm.).</w:t>
      </w:r>
    </w:p>
  </w:footnote>
  <w:footnote w:id="672">
    <w:p w14:paraId="6DF3F87B" w14:textId="77777777" w:rsidR="00182EED" w:rsidRPr="00094F64" w:rsidRDefault="00182EED" w:rsidP="00094F64">
      <w:pPr>
        <w:shd w:val="clear" w:color="auto" w:fill="FFFFFF"/>
        <w:spacing w:line="240" w:lineRule="auto"/>
        <w:rPr>
          <w:color w:val="000000" w:themeColor="text1"/>
          <w:sz w:val="18"/>
          <w:szCs w:val="18"/>
        </w:rPr>
      </w:pPr>
      <w:r w:rsidRPr="00094F64">
        <w:rPr>
          <w:rStyle w:val="FootnoteReference"/>
          <w:rFonts w:eastAsiaTheme="majorEastAsia"/>
          <w:sz w:val="18"/>
          <w:szCs w:val="18"/>
        </w:rPr>
        <w:footnoteRef/>
      </w:r>
      <w:r w:rsidRPr="00094F64">
        <w:rPr>
          <w:color w:val="000000" w:themeColor="text1"/>
          <w:sz w:val="18"/>
          <w:szCs w:val="18"/>
        </w:rPr>
        <w:t xml:space="preserve"> Cited in the catalogue of the museum by Peter </w:t>
      </w:r>
      <w:proofErr w:type="spellStart"/>
      <w:r w:rsidRPr="00094F64">
        <w:rPr>
          <w:color w:val="000000" w:themeColor="text1"/>
          <w:sz w:val="18"/>
          <w:szCs w:val="18"/>
        </w:rPr>
        <w:t>Humfrey</w:t>
      </w:r>
      <w:proofErr w:type="spellEnd"/>
      <w:r w:rsidRPr="00094F64">
        <w:rPr>
          <w:color w:val="000000" w:themeColor="text1"/>
          <w:sz w:val="18"/>
          <w:szCs w:val="18"/>
        </w:rPr>
        <w:t xml:space="preserve">. Dr Elliot’s comment is written in a letter from 18/06/1965 kept in the painting file in the museum. </w:t>
      </w:r>
      <w:proofErr w:type="spellStart"/>
      <w:r w:rsidRPr="00094F64">
        <w:rPr>
          <w:color w:val="000000" w:themeColor="text1"/>
          <w:sz w:val="18"/>
          <w:szCs w:val="18"/>
        </w:rPr>
        <w:t>Humfrey</w:t>
      </w:r>
      <w:proofErr w:type="spellEnd"/>
      <w:r w:rsidRPr="00094F64">
        <w:rPr>
          <w:color w:val="000000" w:themeColor="text1"/>
          <w:sz w:val="18"/>
          <w:szCs w:val="18"/>
        </w:rPr>
        <w:t xml:space="preserve"> suggests that the music might be a hymn to the Virgin, but he states that "the notes do not correspond to performable music".</w:t>
      </w:r>
    </w:p>
  </w:footnote>
  <w:footnote w:id="673">
    <w:p w14:paraId="439070C8" w14:textId="77777777" w:rsidR="00182EED" w:rsidRPr="00094F64" w:rsidRDefault="00182EED" w:rsidP="00094F64">
      <w:pPr>
        <w:pStyle w:val="FootnoteText"/>
        <w:rPr>
          <w:szCs w:val="18"/>
        </w:rPr>
      </w:pPr>
      <w:r w:rsidRPr="0001084A">
        <w:rPr>
          <w:rStyle w:val="FootnoteReference"/>
          <w:szCs w:val="18"/>
          <w:highlight w:val="yellow"/>
        </w:rPr>
        <w:footnoteRef/>
      </w:r>
      <w:r w:rsidRPr="0001084A">
        <w:rPr>
          <w:szCs w:val="18"/>
          <w:highlight w:val="yellow"/>
        </w:rPr>
        <w:t xml:space="preserve"> </w:t>
      </w:r>
      <w:r w:rsidRPr="0001084A">
        <w:rPr>
          <w:highlight w:val="yellow"/>
        </w:rPr>
        <w:t xml:space="preserve">Blackburn’s comment (personal communication to R. Olson) is reported in </w:t>
      </w:r>
      <w:r w:rsidRPr="0001084A">
        <w:rPr>
          <w:color w:val="000000"/>
          <w:szCs w:val="18"/>
          <w:highlight w:val="yellow"/>
          <w:lang w:val="en-US"/>
        </w:rPr>
        <w:t xml:space="preserve">Olson, </w:t>
      </w:r>
      <w:r w:rsidRPr="0001084A">
        <w:rPr>
          <w:i/>
          <w:iCs/>
          <w:color w:val="000000"/>
          <w:szCs w:val="18"/>
          <w:highlight w:val="yellow"/>
          <w:lang w:val="en-US"/>
        </w:rPr>
        <w:t>The Florentine Tondo</w:t>
      </w:r>
      <w:r w:rsidRPr="0001084A">
        <w:rPr>
          <w:color w:val="000000"/>
          <w:szCs w:val="18"/>
          <w:highlight w:val="yellow"/>
          <w:lang w:val="en-US"/>
        </w:rPr>
        <w:t>, 248.</w:t>
      </w:r>
    </w:p>
  </w:footnote>
  <w:footnote w:id="674">
    <w:p w14:paraId="17438A4A" w14:textId="77777777" w:rsidR="00182EED" w:rsidRPr="00094F64" w:rsidRDefault="00182EED" w:rsidP="00094F64">
      <w:pPr>
        <w:spacing w:line="240" w:lineRule="auto"/>
        <w:rPr>
          <w:color w:val="000000" w:themeColor="text1"/>
          <w:sz w:val="18"/>
          <w:szCs w:val="18"/>
        </w:rPr>
      </w:pPr>
      <w:r w:rsidRPr="00094F64">
        <w:rPr>
          <w:rStyle w:val="FootnoteReference"/>
          <w:rFonts w:eastAsiaTheme="majorEastAsia"/>
          <w:sz w:val="18"/>
          <w:szCs w:val="18"/>
        </w:rPr>
        <w:footnoteRef/>
      </w:r>
      <w:r w:rsidRPr="00094F64">
        <w:rPr>
          <w:color w:val="000000" w:themeColor="text1"/>
          <w:sz w:val="18"/>
          <w:szCs w:val="18"/>
        </w:rPr>
        <w:t xml:space="preserve"> In a personal communication to the writer, Tim Shephard observed that: the opening consonance is plausible but the counterpoint does not work (the Superius part begins on the note G while both the Tenor and the Contra parts begin on the note C); the mensuration signs are different for the different parts, which is unlikely (the Superius part is in cut-c mensuration and the Contra in circle mensuration, while the Tenor part does not show a mensuration sign); the Tenor part gives flats on E and B, but the Superius gives a flat as an accidental on the note F, which is not possible; it is not possible to identify the pitch because some note heads occupy both a line and a space; some note stems are placed on the wrong side of the note.</w:t>
      </w:r>
    </w:p>
  </w:footnote>
  <w:footnote w:id="675">
    <w:p w14:paraId="151D065D" w14:textId="77777777" w:rsidR="00182EED" w:rsidRDefault="00182EED" w:rsidP="00094F64">
      <w:pPr>
        <w:pStyle w:val="FootnoteText"/>
      </w:pPr>
      <w:r w:rsidRPr="00094F64">
        <w:rPr>
          <w:rStyle w:val="FootnoteReference"/>
          <w:szCs w:val="18"/>
        </w:rPr>
        <w:footnoteRef/>
      </w:r>
      <w:r w:rsidRPr="00094F64">
        <w:rPr>
          <w:szCs w:val="18"/>
        </w:rPr>
        <w:t xml:space="preserve"> </w:t>
      </w:r>
      <w:r w:rsidRPr="00094F64">
        <w:rPr>
          <w:color w:val="000000"/>
          <w:szCs w:val="18"/>
          <w:lang w:val="en-US"/>
        </w:rPr>
        <w:t xml:space="preserve">Olson, </w:t>
      </w:r>
      <w:r w:rsidRPr="00094F64">
        <w:rPr>
          <w:i/>
          <w:iCs/>
          <w:color w:val="000000"/>
          <w:szCs w:val="18"/>
          <w:lang w:val="en-US"/>
        </w:rPr>
        <w:t>The Florentine Tondo</w:t>
      </w:r>
      <w:r w:rsidRPr="00094F64">
        <w:rPr>
          <w:color w:val="000000"/>
          <w:szCs w:val="18"/>
          <w:lang w:val="en-US"/>
        </w:rPr>
        <w:t>, 248.</w:t>
      </w:r>
    </w:p>
  </w:footnote>
  <w:footnote w:id="676">
    <w:p w14:paraId="1589CA38" w14:textId="77777777" w:rsidR="00182EED" w:rsidRDefault="00182EED" w:rsidP="00094F64">
      <w:pPr>
        <w:pStyle w:val="FootnoteText"/>
      </w:pPr>
      <w:r w:rsidRPr="00591949">
        <w:rPr>
          <w:rStyle w:val="FootnoteReference"/>
        </w:rPr>
        <w:footnoteRef/>
      </w:r>
      <w:r>
        <w:t xml:space="preserve"> On this topic see</w:t>
      </w:r>
      <w:r w:rsidRPr="00006B9E">
        <w:rPr>
          <w:color w:val="000000"/>
          <w:lang w:val="en-US"/>
        </w:rPr>
        <w:t xml:space="preserve"> Shephard, </w:t>
      </w:r>
      <w:proofErr w:type="spellStart"/>
      <w:r w:rsidRPr="00006B9E">
        <w:rPr>
          <w:color w:val="000000"/>
          <w:lang w:val="en-US"/>
        </w:rPr>
        <w:t>Ştefănescu</w:t>
      </w:r>
      <w:proofErr w:type="spellEnd"/>
      <w:r w:rsidRPr="00006B9E">
        <w:rPr>
          <w:color w:val="000000"/>
          <w:lang w:val="en-US"/>
        </w:rPr>
        <w:t>, and Sessini, “Music, Silence, and the Senses in a Late Fifteenth-Century Book of Hours</w:t>
      </w:r>
      <w:r>
        <w:rPr>
          <w:color w:val="000000"/>
          <w:lang w:val="en-US"/>
        </w:rPr>
        <w:t>,</w:t>
      </w:r>
      <w:r w:rsidRPr="00006B9E">
        <w:rPr>
          <w:color w:val="000000"/>
          <w:lang w:val="en-US"/>
        </w:rPr>
        <w:t>”</w:t>
      </w:r>
      <w:r>
        <w:rPr>
          <w:color w:val="000000"/>
          <w:lang w:val="en-US"/>
        </w:rPr>
        <w:t xml:space="preserve"> 474-512.</w:t>
      </w:r>
    </w:p>
  </w:footnote>
  <w:footnote w:id="677">
    <w:p w14:paraId="621F952B" w14:textId="77777777" w:rsidR="00182EED" w:rsidRDefault="00182EED" w:rsidP="00094F64">
      <w:pPr>
        <w:pStyle w:val="FootnoteText"/>
      </w:pPr>
      <w:r w:rsidRPr="00591949">
        <w:rPr>
          <w:rStyle w:val="FootnoteReference"/>
        </w:rPr>
        <w:footnoteRef/>
      </w:r>
      <w:r>
        <w:t xml:space="preserve"> </w:t>
      </w:r>
      <w:r w:rsidRPr="00006B9E">
        <w:rPr>
          <w:color w:val="000000"/>
          <w:lang w:val="en-US"/>
        </w:rPr>
        <w:t xml:space="preserve">“1o Nostra Signora </w:t>
      </w:r>
      <w:proofErr w:type="spellStart"/>
      <w:r w:rsidRPr="00006B9E">
        <w:rPr>
          <w:color w:val="000000"/>
          <w:lang w:val="en-US"/>
        </w:rPr>
        <w:t>tonda</w:t>
      </w:r>
      <w:proofErr w:type="spellEnd"/>
      <w:r w:rsidRPr="00006B9E">
        <w:rPr>
          <w:color w:val="000000"/>
          <w:lang w:val="en-US"/>
        </w:rPr>
        <w:t xml:space="preserve">, di sopra, </w:t>
      </w:r>
      <w:proofErr w:type="spellStart"/>
      <w:r w:rsidRPr="00006B9E">
        <w:rPr>
          <w:color w:val="000000"/>
          <w:lang w:val="en-US"/>
        </w:rPr>
        <w:t>dorata</w:t>
      </w:r>
      <w:proofErr w:type="spellEnd"/>
      <w:r w:rsidRPr="00006B9E">
        <w:rPr>
          <w:color w:val="000000"/>
          <w:lang w:val="en-US"/>
        </w:rPr>
        <w:t xml:space="preserve"> </w:t>
      </w:r>
      <w:proofErr w:type="spellStart"/>
      <w:r w:rsidRPr="00006B9E">
        <w:rPr>
          <w:color w:val="000000"/>
          <w:lang w:val="en-US"/>
        </w:rPr>
        <w:t>intorno</w:t>
      </w:r>
      <w:proofErr w:type="spellEnd"/>
      <w:r w:rsidRPr="00006B9E">
        <w:rPr>
          <w:color w:val="000000"/>
          <w:lang w:val="en-US"/>
        </w:rPr>
        <w:t xml:space="preserve"> </w:t>
      </w:r>
      <w:proofErr w:type="spellStart"/>
      <w:r w:rsidRPr="00006B9E">
        <w:rPr>
          <w:color w:val="000000"/>
          <w:lang w:val="en-US"/>
        </w:rPr>
        <w:t>cho’l</w:t>
      </w:r>
      <w:proofErr w:type="spellEnd"/>
      <w:r w:rsidRPr="00006B9E">
        <w:rPr>
          <w:color w:val="000000"/>
          <w:lang w:val="en-US"/>
        </w:rPr>
        <w:t xml:space="preserve"> </w:t>
      </w:r>
      <w:proofErr w:type="spellStart"/>
      <w:r w:rsidRPr="00006B9E">
        <w:rPr>
          <w:color w:val="000000"/>
          <w:lang w:val="en-US"/>
        </w:rPr>
        <w:t>figliuolo</w:t>
      </w:r>
      <w:proofErr w:type="spellEnd"/>
      <w:r w:rsidRPr="00006B9E">
        <w:rPr>
          <w:color w:val="000000"/>
          <w:lang w:val="en-US"/>
        </w:rPr>
        <w:t xml:space="preserve"> e Santo Giovanni.” Olson, “Lost and Partially Found,” 49, n.126; see also Nelson, “Putting Botticelli and Filippino in Their Place,” 59.</w:t>
      </w:r>
    </w:p>
  </w:footnote>
  <w:footnote w:id="678">
    <w:p w14:paraId="70AA6FC1" w14:textId="77777777" w:rsidR="00182EED" w:rsidRDefault="00182EED" w:rsidP="00094F64">
      <w:pPr>
        <w:pStyle w:val="FootnoteText"/>
      </w:pPr>
      <w:r w:rsidRPr="00591949">
        <w:rPr>
          <w:rStyle w:val="FootnoteReference"/>
        </w:rPr>
        <w:footnoteRef/>
      </w:r>
      <w:r>
        <w:t xml:space="preserve"> </w:t>
      </w:r>
      <w:r w:rsidRPr="00006B9E">
        <w:rPr>
          <w:color w:val="000000"/>
          <w:lang w:val="en-US"/>
        </w:rPr>
        <w:t xml:space="preserve">Olson, </w:t>
      </w:r>
      <w:r w:rsidRPr="00006B9E">
        <w:rPr>
          <w:i/>
          <w:iCs/>
          <w:color w:val="000000"/>
          <w:lang w:val="en-US"/>
        </w:rPr>
        <w:t>The Florentine Tondo</w:t>
      </w:r>
      <w:r w:rsidRPr="00006B9E">
        <w:rPr>
          <w:color w:val="000000"/>
          <w:lang w:val="en-US"/>
        </w:rPr>
        <w:t>, 202–3.</w:t>
      </w:r>
    </w:p>
  </w:footnote>
  <w:footnote w:id="679">
    <w:p w14:paraId="558E36D9" w14:textId="77777777" w:rsidR="00182EED" w:rsidRDefault="00182EED" w:rsidP="00094F64">
      <w:pPr>
        <w:pStyle w:val="FootnoteText"/>
      </w:pPr>
      <w:r w:rsidRPr="00591949">
        <w:rPr>
          <w:rStyle w:val="FootnoteReference"/>
        </w:rPr>
        <w:footnoteRef/>
      </w:r>
      <w:r>
        <w:t xml:space="preserve"> </w:t>
      </w:r>
      <w:r>
        <w:rPr>
          <w:noProof/>
        </w:rPr>
        <w:t>Ibid., A14, 240.</w:t>
      </w:r>
    </w:p>
  </w:footnote>
  <w:footnote w:id="680">
    <w:p w14:paraId="4BDB06DC" w14:textId="77777777" w:rsidR="00182EED" w:rsidRDefault="00182EED" w:rsidP="00094F64">
      <w:pPr>
        <w:pStyle w:val="FootnoteText"/>
      </w:pPr>
      <w:r w:rsidRPr="00591949">
        <w:rPr>
          <w:rStyle w:val="FootnoteReference"/>
        </w:rPr>
        <w:footnoteRef/>
      </w:r>
      <w:r>
        <w:t xml:space="preserve"> </w:t>
      </w:r>
      <w:r w:rsidRPr="00006B9E">
        <w:rPr>
          <w:color w:val="000000"/>
          <w:lang w:val="en-US"/>
        </w:rPr>
        <w:t xml:space="preserve">Gretchen </w:t>
      </w:r>
      <w:proofErr w:type="spellStart"/>
      <w:r w:rsidRPr="00006B9E">
        <w:rPr>
          <w:color w:val="000000"/>
          <w:lang w:val="en-US"/>
        </w:rPr>
        <w:t>Hirschauer</w:t>
      </w:r>
      <w:proofErr w:type="spellEnd"/>
      <w:r w:rsidRPr="00006B9E">
        <w:rPr>
          <w:color w:val="000000"/>
          <w:lang w:val="en-US"/>
        </w:rPr>
        <w:t xml:space="preserve">, “Entry 41,” in </w:t>
      </w:r>
      <w:r w:rsidRPr="00006B9E">
        <w:rPr>
          <w:i/>
          <w:iCs/>
          <w:color w:val="000000"/>
          <w:lang w:val="en-US"/>
        </w:rPr>
        <w:t xml:space="preserve">Piero di Cosimo 1462-1522: </w:t>
      </w:r>
      <w:proofErr w:type="spellStart"/>
      <w:r w:rsidRPr="00006B9E">
        <w:rPr>
          <w:i/>
          <w:iCs/>
          <w:color w:val="000000"/>
          <w:lang w:val="en-US"/>
        </w:rPr>
        <w:t>pittore</w:t>
      </w:r>
      <w:proofErr w:type="spellEnd"/>
      <w:r w:rsidRPr="00006B9E">
        <w:rPr>
          <w:i/>
          <w:iCs/>
          <w:color w:val="000000"/>
          <w:lang w:val="en-US"/>
        </w:rPr>
        <w:t xml:space="preserve"> </w:t>
      </w:r>
      <w:proofErr w:type="spellStart"/>
      <w:r w:rsidRPr="00006B9E">
        <w:rPr>
          <w:i/>
          <w:iCs/>
          <w:color w:val="000000"/>
          <w:lang w:val="en-US"/>
        </w:rPr>
        <w:t>eccentrico</w:t>
      </w:r>
      <w:proofErr w:type="spellEnd"/>
      <w:r w:rsidRPr="00006B9E">
        <w:rPr>
          <w:i/>
          <w:iCs/>
          <w:color w:val="000000"/>
          <w:lang w:val="en-US"/>
        </w:rPr>
        <w:t xml:space="preserve"> </w:t>
      </w:r>
      <w:proofErr w:type="spellStart"/>
      <w:r w:rsidRPr="00006B9E">
        <w:rPr>
          <w:i/>
          <w:iCs/>
          <w:color w:val="000000"/>
          <w:lang w:val="en-US"/>
        </w:rPr>
        <w:t>fra</w:t>
      </w:r>
      <w:proofErr w:type="spellEnd"/>
      <w:r w:rsidRPr="00006B9E">
        <w:rPr>
          <w:i/>
          <w:iCs/>
          <w:color w:val="000000"/>
          <w:lang w:val="en-US"/>
        </w:rPr>
        <w:t xml:space="preserve"> </w:t>
      </w:r>
      <w:proofErr w:type="spellStart"/>
      <w:r w:rsidRPr="00006B9E">
        <w:rPr>
          <w:i/>
          <w:iCs/>
          <w:color w:val="000000"/>
          <w:lang w:val="en-US"/>
        </w:rPr>
        <w:t>Rinascimento</w:t>
      </w:r>
      <w:proofErr w:type="spellEnd"/>
      <w:r w:rsidRPr="00006B9E">
        <w:rPr>
          <w:i/>
          <w:iCs/>
          <w:color w:val="000000"/>
          <w:lang w:val="en-US"/>
        </w:rPr>
        <w:t xml:space="preserve"> e </w:t>
      </w:r>
      <w:proofErr w:type="spellStart"/>
      <w:r w:rsidRPr="00006B9E">
        <w:rPr>
          <w:i/>
          <w:iCs/>
          <w:color w:val="000000"/>
          <w:lang w:val="en-US"/>
        </w:rPr>
        <w:t>Maniera</w:t>
      </w:r>
      <w:proofErr w:type="spellEnd"/>
      <w:r w:rsidRPr="00006B9E">
        <w:rPr>
          <w:color w:val="000000"/>
          <w:lang w:val="en-US"/>
        </w:rPr>
        <w:t xml:space="preserve">, ed. Elena </w:t>
      </w:r>
      <w:proofErr w:type="spellStart"/>
      <w:r w:rsidRPr="00006B9E">
        <w:rPr>
          <w:color w:val="000000"/>
          <w:lang w:val="en-US"/>
        </w:rPr>
        <w:t>Capretti</w:t>
      </w:r>
      <w:proofErr w:type="spellEnd"/>
      <w:r w:rsidRPr="00006B9E">
        <w:rPr>
          <w:color w:val="000000"/>
          <w:lang w:val="en-US"/>
        </w:rPr>
        <w:t xml:space="preserve"> et al., 2015, 294–95; Virginia Brilliant, “Entry 18,” in </w:t>
      </w:r>
      <w:r w:rsidRPr="00006B9E">
        <w:rPr>
          <w:i/>
          <w:iCs/>
          <w:color w:val="000000"/>
          <w:lang w:val="en-US"/>
        </w:rPr>
        <w:t>Piero di Cosimo: The poetry of painting in Renaissance Florence</w:t>
      </w:r>
      <w:r w:rsidRPr="00006B9E">
        <w:rPr>
          <w:color w:val="000000"/>
          <w:lang w:val="en-US"/>
        </w:rPr>
        <w:t xml:space="preserve">, ed. Dennis </w:t>
      </w:r>
      <w:proofErr w:type="spellStart"/>
      <w:r w:rsidRPr="00006B9E">
        <w:rPr>
          <w:color w:val="000000"/>
          <w:lang w:val="en-US"/>
        </w:rPr>
        <w:t>Geronimus</w:t>
      </w:r>
      <w:proofErr w:type="spellEnd"/>
      <w:r w:rsidRPr="00006B9E">
        <w:rPr>
          <w:color w:val="000000"/>
          <w:lang w:val="en-US"/>
        </w:rPr>
        <w:t xml:space="preserve"> (London: Lund Humphries Pub., 2015), 156–59.</w:t>
      </w:r>
    </w:p>
  </w:footnote>
  <w:footnote w:id="681">
    <w:p w14:paraId="2CA31292" w14:textId="77777777" w:rsidR="00182EED" w:rsidRPr="003345F9" w:rsidRDefault="00182EED" w:rsidP="00094F64">
      <w:pPr>
        <w:pStyle w:val="Footnote"/>
      </w:pPr>
      <w:r w:rsidRPr="00591949">
        <w:rPr>
          <w:rStyle w:val="FootnoteReference"/>
        </w:rPr>
        <w:footnoteRef/>
      </w:r>
      <w:r w:rsidRPr="000509EE">
        <w:t xml:space="preserve"> Luke 2:14, English Standard Version. </w:t>
      </w:r>
      <w:r w:rsidRPr="000509EE">
        <w:rPr>
          <w:noProof/>
        </w:rPr>
        <w:t xml:space="preserve">“Gloria in altissimis Deo et in terra pax in hominibus bonae voluntatis.” </w:t>
      </w:r>
      <w:r w:rsidRPr="003345F9">
        <w:rPr>
          <w:noProof/>
        </w:rPr>
        <w:t xml:space="preserve">Vulgate, Lucas 2:14. </w:t>
      </w:r>
    </w:p>
  </w:footnote>
  <w:footnote w:id="682">
    <w:p w14:paraId="070C2D0E" w14:textId="77777777" w:rsidR="00182EED" w:rsidRDefault="00182EED" w:rsidP="00094F64">
      <w:pPr>
        <w:pStyle w:val="FootnoteText"/>
      </w:pPr>
      <w:r w:rsidRPr="00591949">
        <w:rPr>
          <w:rStyle w:val="FootnoteReference"/>
        </w:rPr>
        <w:footnoteRef/>
      </w:r>
      <w:r>
        <w:t xml:space="preserve"> </w:t>
      </w:r>
      <w:r w:rsidRPr="00006B9E">
        <w:rPr>
          <w:color w:val="000000"/>
          <w:lang w:val="en-US"/>
        </w:rPr>
        <w:t xml:space="preserve">Olson, </w:t>
      </w:r>
      <w:r w:rsidRPr="00006B9E">
        <w:rPr>
          <w:i/>
          <w:iCs/>
          <w:color w:val="000000"/>
          <w:lang w:val="en-US"/>
        </w:rPr>
        <w:t>The Florentine Tondo</w:t>
      </w:r>
      <w:r w:rsidRPr="00006B9E">
        <w:rPr>
          <w:color w:val="000000"/>
          <w:lang w:val="en-US"/>
        </w:rPr>
        <w:t>, A10, 239.</w:t>
      </w:r>
    </w:p>
  </w:footnote>
  <w:footnote w:id="683">
    <w:p w14:paraId="79292688" w14:textId="77777777" w:rsidR="00182EED" w:rsidRDefault="00182EED" w:rsidP="00094F64">
      <w:pPr>
        <w:pStyle w:val="FootnoteText"/>
      </w:pPr>
      <w:r w:rsidRPr="00591949">
        <w:rPr>
          <w:rStyle w:val="FootnoteReference"/>
        </w:rPr>
        <w:footnoteRef/>
      </w:r>
      <w:r>
        <w:t xml:space="preserve"> </w:t>
      </w:r>
      <w:r>
        <w:rPr>
          <w:noProof/>
        </w:rPr>
        <w:t>Ibid., A89, 268.</w:t>
      </w:r>
    </w:p>
  </w:footnote>
  <w:footnote w:id="684">
    <w:p w14:paraId="3AB8354E" w14:textId="77777777" w:rsidR="00182EED" w:rsidRDefault="00182EED" w:rsidP="00094F64">
      <w:pPr>
        <w:pStyle w:val="FootnoteText"/>
      </w:pPr>
      <w:r w:rsidRPr="00591949">
        <w:rPr>
          <w:rStyle w:val="FootnoteReference"/>
        </w:rPr>
        <w:footnoteRef/>
      </w:r>
      <w:r>
        <w:t xml:space="preserve"> </w:t>
      </w:r>
      <w:r>
        <w:rPr>
          <w:noProof/>
        </w:rPr>
        <w:t>Ibid., 146.</w:t>
      </w:r>
    </w:p>
  </w:footnote>
  <w:footnote w:id="685">
    <w:p w14:paraId="47E1BB97" w14:textId="77777777" w:rsidR="00182EED" w:rsidRDefault="00182EED" w:rsidP="00094F64">
      <w:pPr>
        <w:pStyle w:val="FootnoteText"/>
      </w:pPr>
      <w:r w:rsidRPr="00591949">
        <w:rPr>
          <w:rStyle w:val="FootnoteReference"/>
        </w:rPr>
        <w:footnoteRef/>
      </w:r>
      <w:r>
        <w:t xml:space="preserve"> </w:t>
      </w:r>
      <w:r w:rsidRPr="00006B9E">
        <w:rPr>
          <w:color w:val="000000"/>
          <w:lang w:val="en-US"/>
        </w:rPr>
        <w:t>This painting is discussed in ibid., 205–6, who, however, describes the angels as reading or singing and does not refer to the Gloria.</w:t>
      </w:r>
    </w:p>
  </w:footnote>
  <w:footnote w:id="686">
    <w:p w14:paraId="39E669EC" w14:textId="77777777" w:rsidR="00182EED" w:rsidRDefault="00182EED" w:rsidP="00094F64">
      <w:pPr>
        <w:pStyle w:val="FootnoteText"/>
      </w:pPr>
      <w:r w:rsidRPr="00591949">
        <w:rPr>
          <w:rStyle w:val="FootnoteReference"/>
        </w:rPr>
        <w:footnoteRef/>
      </w:r>
      <w:r>
        <w:t xml:space="preserve"> </w:t>
      </w:r>
      <w:r w:rsidRPr="00006B9E">
        <w:rPr>
          <w:color w:val="000000"/>
          <w:lang w:val="en-US"/>
        </w:rPr>
        <w:t xml:space="preserve">“Con </w:t>
      </w:r>
      <w:proofErr w:type="spellStart"/>
      <w:r w:rsidRPr="00006B9E">
        <w:rPr>
          <w:color w:val="000000"/>
          <w:lang w:val="en-US"/>
        </w:rPr>
        <w:t>giubilante</w:t>
      </w:r>
      <w:proofErr w:type="spellEnd"/>
      <w:r w:rsidRPr="00006B9E">
        <w:rPr>
          <w:color w:val="000000"/>
          <w:lang w:val="en-US"/>
        </w:rPr>
        <w:t xml:space="preserve"> core/ </w:t>
      </w:r>
      <w:proofErr w:type="spellStart"/>
      <w:r w:rsidRPr="00006B9E">
        <w:rPr>
          <w:color w:val="000000"/>
          <w:lang w:val="en-US"/>
        </w:rPr>
        <w:t>laudiam</w:t>
      </w:r>
      <w:proofErr w:type="spellEnd"/>
      <w:r w:rsidRPr="00006B9E">
        <w:rPr>
          <w:color w:val="000000"/>
          <w:lang w:val="en-US"/>
        </w:rPr>
        <w:t xml:space="preserve"> </w:t>
      </w:r>
      <w:proofErr w:type="spellStart"/>
      <w:r w:rsidRPr="00006B9E">
        <w:rPr>
          <w:color w:val="000000"/>
          <w:lang w:val="en-US"/>
        </w:rPr>
        <w:t>Jesù</w:t>
      </w:r>
      <w:proofErr w:type="spellEnd"/>
      <w:r w:rsidRPr="00006B9E">
        <w:rPr>
          <w:color w:val="000000"/>
          <w:lang w:val="en-US"/>
        </w:rPr>
        <w:t xml:space="preserve"> del </w:t>
      </w:r>
      <w:proofErr w:type="spellStart"/>
      <w:r w:rsidRPr="00006B9E">
        <w:rPr>
          <w:color w:val="000000"/>
          <w:lang w:val="en-US"/>
        </w:rPr>
        <w:t>mondo</w:t>
      </w:r>
      <w:proofErr w:type="spellEnd"/>
      <w:r w:rsidRPr="00006B9E">
        <w:rPr>
          <w:color w:val="000000"/>
          <w:lang w:val="en-US"/>
        </w:rPr>
        <w:t xml:space="preserve"> </w:t>
      </w:r>
      <w:proofErr w:type="spellStart"/>
      <w:r w:rsidRPr="00006B9E">
        <w:rPr>
          <w:color w:val="000000"/>
          <w:lang w:val="en-US"/>
        </w:rPr>
        <w:t>redentore</w:t>
      </w:r>
      <w:proofErr w:type="spellEnd"/>
      <w:r w:rsidRPr="00006B9E">
        <w:rPr>
          <w:color w:val="000000"/>
          <w:lang w:val="en-US"/>
        </w:rPr>
        <w:t xml:space="preserve">./ Gloria </w:t>
      </w:r>
      <w:proofErr w:type="spellStart"/>
      <w:r w:rsidRPr="00006B9E">
        <w:rPr>
          <w:color w:val="000000"/>
          <w:lang w:val="en-US"/>
        </w:rPr>
        <w:t>sia</w:t>
      </w:r>
      <w:proofErr w:type="spellEnd"/>
      <w:r w:rsidRPr="00006B9E">
        <w:rPr>
          <w:color w:val="000000"/>
          <w:lang w:val="en-US"/>
        </w:rPr>
        <w:t xml:space="preserve"> </w:t>
      </w:r>
      <w:proofErr w:type="spellStart"/>
      <w:r w:rsidRPr="00006B9E">
        <w:rPr>
          <w:color w:val="000000"/>
          <w:lang w:val="en-US"/>
        </w:rPr>
        <w:t>nel</w:t>
      </w:r>
      <w:proofErr w:type="spellEnd"/>
      <w:r w:rsidRPr="00006B9E">
        <w:rPr>
          <w:color w:val="000000"/>
          <w:lang w:val="en-US"/>
        </w:rPr>
        <w:t xml:space="preserve"> </w:t>
      </w:r>
      <w:proofErr w:type="spellStart"/>
      <w:r w:rsidRPr="00006B9E">
        <w:rPr>
          <w:color w:val="000000"/>
          <w:lang w:val="en-US"/>
        </w:rPr>
        <w:t>cielo</w:t>
      </w:r>
      <w:proofErr w:type="spellEnd"/>
      <w:r w:rsidRPr="00006B9E">
        <w:rPr>
          <w:color w:val="000000"/>
          <w:lang w:val="en-US"/>
        </w:rPr>
        <w:t xml:space="preserve"> </w:t>
      </w:r>
      <w:proofErr w:type="spellStart"/>
      <w:r w:rsidRPr="00006B9E">
        <w:rPr>
          <w:color w:val="000000"/>
          <w:lang w:val="en-US"/>
        </w:rPr>
        <w:t>all’alta</w:t>
      </w:r>
      <w:proofErr w:type="spellEnd"/>
      <w:r w:rsidRPr="00006B9E">
        <w:rPr>
          <w:color w:val="000000"/>
          <w:lang w:val="en-US"/>
        </w:rPr>
        <w:t xml:space="preserve"> </w:t>
      </w:r>
      <w:proofErr w:type="spellStart"/>
      <w:r w:rsidRPr="00006B9E">
        <w:rPr>
          <w:color w:val="000000"/>
          <w:lang w:val="en-US"/>
        </w:rPr>
        <w:t>maestate</w:t>
      </w:r>
      <w:proofErr w:type="spellEnd"/>
      <w:r w:rsidRPr="00006B9E">
        <w:rPr>
          <w:color w:val="000000"/>
          <w:lang w:val="en-US"/>
        </w:rPr>
        <w:t xml:space="preserve">,/ in terra </w:t>
      </w:r>
      <w:proofErr w:type="spellStart"/>
      <w:r w:rsidRPr="00006B9E">
        <w:rPr>
          <w:color w:val="000000"/>
          <w:lang w:val="en-US"/>
        </w:rPr>
        <w:t>sia</w:t>
      </w:r>
      <w:proofErr w:type="spellEnd"/>
      <w:r w:rsidRPr="00006B9E">
        <w:rPr>
          <w:color w:val="000000"/>
          <w:lang w:val="en-US"/>
        </w:rPr>
        <w:t xml:space="preserve"> </w:t>
      </w:r>
      <w:proofErr w:type="spellStart"/>
      <w:r w:rsidRPr="00006B9E">
        <w:rPr>
          <w:color w:val="000000"/>
          <w:lang w:val="en-US"/>
        </w:rPr>
        <w:t>perfetta</w:t>
      </w:r>
      <w:proofErr w:type="spellEnd"/>
      <w:r w:rsidRPr="00006B9E">
        <w:rPr>
          <w:color w:val="000000"/>
          <w:lang w:val="en-US"/>
        </w:rPr>
        <w:t xml:space="preserve"> e </w:t>
      </w:r>
      <w:proofErr w:type="spellStart"/>
      <w:r w:rsidRPr="00006B9E">
        <w:rPr>
          <w:color w:val="000000"/>
          <w:lang w:val="en-US"/>
        </w:rPr>
        <w:t>vera</w:t>
      </w:r>
      <w:proofErr w:type="spellEnd"/>
      <w:r w:rsidRPr="00006B9E">
        <w:rPr>
          <w:color w:val="000000"/>
          <w:lang w:val="en-US"/>
        </w:rPr>
        <w:t xml:space="preserve"> pace/ </w:t>
      </w:r>
      <w:proofErr w:type="spellStart"/>
      <w:r w:rsidRPr="00006B9E">
        <w:rPr>
          <w:color w:val="000000"/>
          <w:lang w:val="en-US"/>
        </w:rPr>
        <w:t>agli</w:t>
      </w:r>
      <w:proofErr w:type="spellEnd"/>
      <w:r w:rsidRPr="00006B9E">
        <w:rPr>
          <w:color w:val="000000"/>
          <w:lang w:val="en-US"/>
        </w:rPr>
        <w:t xml:space="preserve"> </w:t>
      </w:r>
      <w:proofErr w:type="spellStart"/>
      <w:r w:rsidRPr="00006B9E">
        <w:rPr>
          <w:color w:val="000000"/>
          <w:lang w:val="en-US"/>
        </w:rPr>
        <w:t>uomini</w:t>
      </w:r>
      <w:proofErr w:type="spellEnd"/>
      <w:r w:rsidRPr="00006B9E">
        <w:rPr>
          <w:color w:val="000000"/>
          <w:lang w:val="en-US"/>
        </w:rPr>
        <w:t xml:space="preserve"> di </w:t>
      </w:r>
      <w:proofErr w:type="spellStart"/>
      <w:r w:rsidRPr="00006B9E">
        <w:rPr>
          <w:color w:val="000000"/>
          <w:lang w:val="en-US"/>
        </w:rPr>
        <w:t>buona</w:t>
      </w:r>
      <w:proofErr w:type="spellEnd"/>
      <w:r w:rsidRPr="00006B9E">
        <w:rPr>
          <w:color w:val="000000"/>
          <w:lang w:val="en-US"/>
        </w:rPr>
        <w:t xml:space="preserve"> </w:t>
      </w:r>
      <w:proofErr w:type="spellStart"/>
      <w:r w:rsidRPr="00006B9E">
        <w:rPr>
          <w:color w:val="000000"/>
          <w:lang w:val="en-US"/>
        </w:rPr>
        <w:t>volontate</w:t>
      </w:r>
      <w:proofErr w:type="spellEnd"/>
      <w:r w:rsidRPr="00006B9E">
        <w:rPr>
          <w:color w:val="000000"/>
          <w:lang w:val="en-US"/>
        </w:rPr>
        <w:t xml:space="preserve">/ …./ </w:t>
      </w:r>
      <w:proofErr w:type="spellStart"/>
      <w:r w:rsidRPr="00006B9E">
        <w:rPr>
          <w:color w:val="000000"/>
          <w:lang w:val="en-US"/>
        </w:rPr>
        <w:t>Glorifichiamo</w:t>
      </w:r>
      <w:proofErr w:type="spellEnd"/>
      <w:r w:rsidRPr="00006B9E">
        <w:rPr>
          <w:color w:val="000000"/>
          <w:lang w:val="en-US"/>
        </w:rPr>
        <w:t xml:space="preserve"> </w:t>
      </w:r>
      <w:proofErr w:type="spellStart"/>
      <w:r w:rsidRPr="00006B9E">
        <w:rPr>
          <w:color w:val="000000"/>
          <w:lang w:val="en-US"/>
        </w:rPr>
        <w:t>te</w:t>
      </w:r>
      <w:proofErr w:type="spellEnd"/>
      <w:r w:rsidRPr="00006B9E">
        <w:rPr>
          <w:color w:val="000000"/>
          <w:lang w:val="en-US"/>
        </w:rPr>
        <w:t xml:space="preserve">, </w:t>
      </w:r>
      <w:proofErr w:type="spellStart"/>
      <w:r w:rsidRPr="00006B9E">
        <w:rPr>
          <w:color w:val="000000"/>
          <w:lang w:val="en-US"/>
        </w:rPr>
        <w:t>rendendo</w:t>
      </w:r>
      <w:proofErr w:type="spellEnd"/>
      <w:r w:rsidRPr="00006B9E">
        <w:rPr>
          <w:color w:val="000000"/>
          <w:lang w:val="en-US"/>
        </w:rPr>
        <w:t xml:space="preserve"> </w:t>
      </w:r>
      <w:proofErr w:type="spellStart"/>
      <w:r w:rsidRPr="00006B9E">
        <w:rPr>
          <w:color w:val="000000"/>
          <w:lang w:val="en-US"/>
        </w:rPr>
        <w:t>grazie</w:t>
      </w:r>
      <w:proofErr w:type="spellEnd"/>
      <w:r w:rsidRPr="00006B9E">
        <w:rPr>
          <w:color w:val="000000"/>
          <w:lang w:val="en-US"/>
        </w:rPr>
        <w:t xml:space="preserve">/ per la </w:t>
      </w:r>
      <w:proofErr w:type="spellStart"/>
      <w:r w:rsidRPr="00006B9E">
        <w:rPr>
          <w:color w:val="000000"/>
          <w:lang w:val="en-US"/>
        </w:rPr>
        <w:t>tua</w:t>
      </w:r>
      <w:proofErr w:type="spellEnd"/>
      <w:r w:rsidRPr="00006B9E">
        <w:rPr>
          <w:color w:val="000000"/>
          <w:lang w:val="en-US"/>
        </w:rPr>
        <w:t xml:space="preserve"> magna ed </w:t>
      </w:r>
      <w:proofErr w:type="spellStart"/>
      <w:r w:rsidRPr="00006B9E">
        <w:rPr>
          <w:color w:val="000000"/>
          <w:lang w:val="en-US"/>
        </w:rPr>
        <w:t>infinita</w:t>
      </w:r>
      <w:proofErr w:type="spellEnd"/>
      <w:r w:rsidRPr="00006B9E">
        <w:rPr>
          <w:color w:val="000000"/>
          <w:lang w:val="en-US"/>
        </w:rPr>
        <w:t xml:space="preserve"> Gloria/ … / Tu sei re </w:t>
      </w:r>
      <w:proofErr w:type="spellStart"/>
      <w:r w:rsidRPr="00006B9E">
        <w:rPr>
          <w:color w:val="000000"/>
          <w:lang w:val="en-US"/>
        </w:rPr>
        <w:t>d’ogni</w:t>
      </w:r>
      <w:proofErr w:type="spellEnd"/>
      <w:r w:rsidRPr="00006B9E">
        <w:rPr>
          <w:color w:val="000000"/>
          <w:lang w:val="en-US"/>
        </w:rPr>
        <w:t xml:space="preserve"> </w:t>
      </w:r>
      <w:proofErr w:type="spellStart"/>
      <w:r w:rsidRPr="00006B9E">
        <w:rPr>
          <w:color w:val="000000"/>
          <w:lang w:val="en-US"/>
        </w:rPr>
        <w:t>gloria</w:t>
      </w:r>
      <w:proofErr w:type="spellEnd"/>
      <w:r w:rsidRPr="00006B9E">
        <w:rPr>
          <w:color w:val="000000"/>
          <w:lang w:val="en-US"/>
        </w:rPr>
        <w:t xml:space="preserve">/ </w:t>
      </w:r>
      <w:proofErr w:type="spellStart"/>
      <w:r w:rsidRPr="00006B9E">
        <w:rPr>
          <w:color w:val="000000"/>
          <w:lang w:val="en-US"/>
        </w:rPr>
        <w:t>Onnipotente</w:t>
      </w:r>
      <w:proofErr w:type="spellEnd"/>
      <w:r w:rsidRPr="00006B9E">
        <w:rPr>
          <w:color w:val="000000"/>
          <w:lang w:val="en-US"/>
        </w:rPr>
        <w:t xml:space="preserve">, </w:t>
      </w:r>
      <w:proofErr w:type="spellStart"/>
      <w:r w:rsidRPr="00006B9E">
        <w:rPr>
          <w:color w:val="000000"/>
          <w:lang w:val="en-US"/>
        </w:rPr>
        <w:t>eterno</w:t>
      </w:r>
      <w:proofErr w:type="spellEnd"/>
      <w:r w:rsidRPr="00006B9E">
        <w:rPr>
          <w:color w:val="000000"/>
          <w:lang w:val="en-US"/>
        </w:rPr>
        <w:t xml:space="preserve"> </w:t>
      </w:r>
      <w:proofErr w:type="spellStart"/>
      <w:r w:rsidRPr="00006B9E">
        <w:rPr>
          <w:color w:val="000000"/>
          <w:lang w:val="en-US"/>
        </w:rPr>
        <w:t>creatore</w:t>
      </w:r>
      <w:proofErr w:type="spellEnd"/>
      <w:r w:rsidRPr="00006B9E">
        <w:rPr>
          <w:color w:val="000000"/>
          <w:lang w:val="en-US"/>
        </w:rPr>
        <w:t xml:space="preserve">.” The entire Rappresentazione </w:t>
      </w:r>
      <w:proofErr w:type="spellStart"/>
      <w:r w:rsidRPr="00006B9E">
        <w:rPr>
          <w:color w:val="000000"/>
          <w:lang w:val="en-US"/>
        </w:rPr>
        <w:t>della</w:t>
      </w:r>
      <w:proofErr w:type="spellEnd"/>
      <w:r w:rsidRPr="00006B9E">
        <w:rPr>
          <w:color w:val="000000"/>
          <w:lang w:val="en-US"/>
        </w:rPr>
        <w:t xml:space="preserve"> Natività di Cristo is reported in Alessandro </w:t>
      </w:r>
      <w:proofErr w:type="spellStart"/>
      <w:r w:rsidRPr="00006B9E">
        <w:rPr>
          <w:color w:val="000000"/>
          <w:lang w:val="en-US"/>
        </w:rPr>
        <w:t>d’Ancona</w:t>
      </w:r>
      <w:proofErr w:type="spellEnd"/>
      <w:r w:rsidRPr="00006B9E">
        <w:rPr>
          <w:color w:val="000000"/>
          <w:lang w:val="en-US"/>
        </w:rPr>
        <w:t xml:space="preserve">, </w:t>
      </w:r>
      <w:proofErr w:type="spellStart"/>
      <w:r w:rsidRPr="00006B9E">
        <w:rPr>
          <w:i/>
          <w:iCs/>
          <w:color w:val="000000"/>
          <w:lang w:val="en-US"/>
        </w:rPr>
        <w:t>Sacre</w:t>
      </w:r>
      <w:proofErr w:type="spellEnd"/>
      <w:r w:rsidRPr="00006B9E">
        <w:rPr>
          <w:i/>
          <w:iCs/>
          <w:color w:val="000000"/>
          <w:lang w:val="en-US"/>
        </w:rPr>
        <w:t xml:space="preserve"> </w:t>
      </w:r>
      <w:proofErr w:type="spellStart"/>
      <w:r w:rsidRPr="00006B9E">
        <w:rPr>
          <w:i/>
          <w:iCs/>
          <w:color w:val="000000"/>
          <w:lang w:val="en-US"/>
        </w:rPr>
        <w:t>Rappresentazioni</w:t>
      </w:r>
      <w:proofErr w:type="spellEnd"/>
      <w:r w:rsidRPr="00006B9E">
        <w:rPr>
          <w:i/>
          <w:iCs/>
          <w:color w:val="000000"/>
          <w:lang w:val="en-US"/>
        </w:rPr>
        <w:t xml:space="preserve"> </w:t>
      </w:r>
      <w:proofErr w:type="spellStart"/>
      <w:r w:rsidRPr="00006B9E">
        <w:rPr>
          <w:i/>
          <w:iCs/>
          <w:color w:val="000000"/>
          <w:lang w:val="en-US"/>
        </w:rPr>
        <w:t>dei</w:t>
      </w:r>
      <w:proofErr w:type="spellEnd"/>
      <w:r w:rsidRPr="00006B9E">
        <w:rPr>
          <w:i/>
          <w:iCs/>
          <w:color w:val="000000"/>
          <w:lang w:val="en-US"/>
        </w:rPr>
        <w:t xml:space="preserve"> </w:t>
      </w:r>
      <w:proofErr w:type="spellStart"/>
      <w:r w:rsidRPr="00006B9E">
        <w:rPr>
          <w:i/>
          <w:iCs/>
          <w:color w:val="000000"/>
          <w:lang w:val="en-US"/>
        </w:rPr>
        <w:t>Secoli</w:t>
      </w:r>
      <w:proofErr w:type="spellEnd"/>
      <w:r w:rsidRPr="00006B9E">
        <w:rPr>
          <w:i/>
          <w:iCs/>
          <w:color w:val="000000"/>
          <w:lang w:val="en-US"/>
        </w:rPr>
        <w:t xml:space="preserve"> XIV, XV e XVI</w:t>
      </w:r>
      <w:r w:rsidRPr="00006B9E">
        <w:rPr>
          <w:color w:val="000000"/>
          <w:lang w:val="en-US"/>
        </w:rPr>
        <w:t xml:space="preserve">, vol. 1 (Florence: </w:t>
      </w:r>
      <w:proofErr w:type="spellStart"/>
      <w:r w:rsidRPr="00006B9E">
        <w:rPr>
          <w:color w:val="000000"/>
          <w:lang w:val="en-US"/>
        </w:rPr>
        <w:t>Successori</w:t>
      </w:r>
      <w:proofErr w:type="spellEnd"/>
      <w:r w:rsidRPr="00006B9E">
        <w:rPr>
          <w:color w:val="000000"/>
          <w:lang w:val="en-US"/>
        </w:rPr>
        <w:t xml:space="preserve"> Le Monnier, 1872), vol.1, 191-210; this passage is at page 194.</w:t>
      </w:r>
    </w:p>
  </w:footnote>
  <w:footnote w:id="687">
    <w:p w14:paraId="577A42F2" w14:textId="77777777" w:rsidR="00182EED" w:rsidRDefault="00182EED" w:rsidP="00094F64">
      <w:pPr>
        <w:pStyle w:val="FootnoteText"/>
      </w:pPr>
      <w:r w:rsidRPr="00591949">
        <w:rPr>
          <w:rStyle w:val="FootnoteReference"/>
        </w:rPr>
        <w:footnoteRef/>
      </w:r>
      <w:r>
        <w:t xml:space="preserve"> </w:t>
      </w:r>
      <w:r w:rsidRPr="00006B9E">
        <w:rPr>
          <w:color w:val="000000"/>
          <w:lang w:val="en-US"/>
        </w:rPr>
        <w:t>“</w:t>
      </w:r>
      <w:proofErr w:type="spellStart"/>
      <w:r w:rsidRPr="00006B9E">
        <w:rPr>
          <w:color w:val="000000"/>
          <w:lang w:val="en-US"/>
        </w:rPr>
        <w:t>Fece</w:t>
      </w:r>
      <w:proofErr w:type="spellEnd"/>
      <w:r w:rsidRPr="00006B9E">
        <w:rPr>
          <w:color w:val="000000"/>
          <w:lang w:val="en-US"/>
        </w:rPr>
        <w:t xml:space="preserve"> in </w:t>
      </w:r>
      <w:proofErr w:type="spellStart"/>
      <w:r w:rsidRPr="00006B9E">
        <w:rPr>
          <w:color w:val="000000"/>
          <w:lang w:val="en-US"/>
        </w:rPr>
        <w:t>Fiorenza</w:t>
      </w:r>
      <w:proofErr w:type="spellEnd"/>
      <w:r w:rsidRPr="00006B9E">
        <w:rPr>
          <w:color w:val="000000"/>
          <w:lang w:val="en-US"/>
        </w:rPr>
        <w:t xml:space="preserve"> </w:t>
      </w:r>
      <w:proofErr w:type="spellStart"/>
      <w:r w:rsidRPr="00006B9E">
        <w:rPr>
          <w:color w:val="000000"/>
          <w:lang w:val="en-US"/>
        </w:rPr>
        <w:t>molti</w:t>
      </w:r>
      <w:proofErr w:type="spellEnd"/>
      <w:r w:rsidRPr="00006B9E">
        <w:rPr>
          <w:color w:val="000000"/>
          <w:lang w:val="en-US"/>
        </w:rPr>
        <w:t xml:space="preserve"> </w:t>
      </w:r>
      <w:proofErr w:type="spellStart"/>
      <w:r w:rsidRPr="00006B9E">
        <w:rPr>
          <w:color w:val="000000"/>
          <w:lang w:val="en-US"/>
        </w:rPr>
        <w:t>quadri</w:t>
      </w:r>
      <w:proofErr w:type="spellEnd"/>
      <w:r w:rsidRPr="00006B9E">
        <w:rPr>
          <w:color w:val="000000"/>
          <w:lang w:val="en-US"/>
        </w:rPr>
        <w:t xml:space="preserve"> a </w:t>
      </w:r>
      <w:proofErr w:type="spellStart"/>
      <w:r w:rsidRPr="00006B9E">
        <w:rPr>
          <w:color w:val="000000"/>
          <w:lang w:val="en-US"/>
        </w:rPr>
        <w:t>più</w:t>
      </w:r>
      <w:proofErr w:type="spellEnd"/>
      <w:r w:rsidRPr="00006B9E">
        <w:rPr>
          <w:color w:val="000000"/>
          <w:lang w:val="en-US"/>
        </w:rPr>
        <w:t xml:space="preserve"> </w:t>
      </w:r>
      <w:proofErr w:type="spellStart"/>
      <w:r w:rsidRPr="00006B9E">
        <w:rPr>
          <w:color w:val="000000"/>
          <w:lang w:val="en-US"/>
        </w:rPr>
        <w:t>cittadini</w:t>
      </w:r>
      <w:proofErr w:type="spellEnd"/>
      <w:r w:rsidRPr="00006B9E">
        <w:rPr>
          <w:color w:val="000000"/>
          <w:lang w:val="en-US"/>
        </w:rPr>
        <w:t xml:space="preserve">, </w:t>
      </w:r>
      <w:proofErr w:type="spellStart"/>
      <w:r w:rsidRPr="00006B9E">
        <w:rPr>
          <w:color w:val="000000"/>
          <w:lang w:val="en-US"/>
        </w:rPr>
        <w:t>sparsi</w:t>
      </w:r>
      <w:proofErr w:type="spellEnd"/>
      <w:r w:rsidRPr="00006B9E">
        <w:rPr>
          <w:color w:val="000000"/>
          <w:lang w:val="en-US"/>
        </w:rPr>
        <w:t xml:space="preserve"> per le </w:t>
      </w:r>
      <w:proofErr w:type="spellStart"/>
      <w:r w:rsidRPr="00006B9E">
        <w:rPr>
          <w:color w:val="000000"/>
          <w:lang w:val="en-US"/>
        </w:rPr>
        <w:t>loro</w:t>
      </w:r>
      <w:proofErr w:type="spellEnd"/>
      <w:r w:rsidRPr="00006B9E">
        <w:rPr>
          <w:color w:val="000000"/>
          <w:lang w:val="en-US"/>
        </w:rPr>
        <w:t xml:space="preserve"> case, </w:t>
      </w:r>
      <w:proofErr w:type="spellStart"/>
      <w:r w:rsidRPr="00006B9E">
        <w:rPr>
          <w:color w:val="000000"/>
          <w:lang w:val="en-US"/>
        </w:rPr>
        <w:t>che</w:t>
      </w:r>
      <w:proofErr w:type="spellEnd"/>
      <w:r w:rsidRPr="00006B9E">
        <w:rPr>
          <w:color w:val="000000"/>
          <w:lang w:val="en-US"/>
        </w:rPr>
        <w:t xml:space="preserve"> ne ho visto de’ molto </w:t>
      </w:r>
      <w:proofErr w:type="spellStart"/>
      <w:r w:rsidRPr="00006B9E">
        <w:rPr>
          <w:color w:val="000000"/>
          <w:lang w:val="en-US"/>
        </w:rPr>
        <w:t>buoni</w:t>
      </w:r>
      <w:proofErr w:type="spellEnd"/>
      <w:r w:rsidRPr="00006B9E">
        <w:rPr>
          <w:color w:val="000000"/>
          <w:lang w:val="en-US"/>
        </w:rPr>
        <w:t xml:space="preserve">.” Vasari, </w:t>
      </w:r>
      <w:r w:rsidRPr="00006B9E">
        <w:rPr>
          <w:i/>
          <w:iCs/>
          <w:color w:val="000000"/>
          <w:lang w:val="en-US"/>
        </w:rPr>
        <w:t xml:space="preserve">Le </w:t>
      </w:r>
      <w:proofErr w:type="spellStart"/>
      <w:r w:rsidRPr="00006B9E">
        <w:rPr>
          <w:i/>
          <w:iCs/>
          <w:color w:val="000000"/>
          <w:lang w:val="en-US"/>
        </w:rPr>
        <w:t>vite</w:t>
      </w:r>
      <w:proofErr w:type="spellEnd"/>
      <w:r w:rsidRPr="00006B9E">
        <w:rPr>
          <w:i/>
          <w:iCs/>
          <w:color w:val="000000"/>
          <w:lang w:val="en-US"/>
        </w:rPr>
        <w:t xml:space="preserve"> </w:t>
      </w:r>
      <w:proofErr w:type="spellStart"/>
      <w:r w:rsidRPr="00006B9E">
        <w:rPr>
          <w:i/>
          <w:iCs/>
          <w:color w:val="000000"/>
          <w:lang w:val="en-US"/>
        </w:rPr>
        <w:t>dei</w:t>
      </w:r>
      <w:proofErr w:type="spellEnd"/>
      <w:r w:rsidRPr="00006B9E">
        <w:rPr>
          <w:i/>
          <w:iCs/>
          <w:color w:val="000000"/>
          <w:lang w:val="en-US"/>
        </w:rPr>
        <w:t xml:space="preserve"> </w:t>
      </w:r>
      <w:proofErr w:type="spellStart"/>
      <w:r w:rsidRPr="00006B9E">
        <w:rPr>
          <w:i/>
          <w:iCs/>
          <w:color w:val="000000"/>
          <w:lang w:val="en-US"/>
        </w:rPr>
        <w:t>più</w:t>
      </w:r>
      <w:proofErr w:type="spellEnd"/>
      <w:r w:rsidRPr="00006B9E">
        <w:rPr>
          <w:i/>
          <w:iCs/>
          <w:color w:val="000000"/>
          <w:lang w:val="en-US"/>
        </w:rPr>
        <w:t xml:space="preserve"> </w:t>
      </w:r>
      <w:proofErr w:type="spellStart"/>
      <w:r w:rsidRPr="00006B9E">
        <w:rPr>
          <w:i/>
          <w:iCs/>
          <w:color w:val="000000"/>
          <w:lang w:val="en-US"/>
        </w:rPr>
        <w:t>eccellenti</w:t>
      </w:r>
      <w:proofErr w:type="spellEnd"/>
      <w:r w:rsidRPr="00006B9E">
        <w:rPr>
          <w:i/>
          <w:iCs/>
          <w:color w:val="000000"/>
          <w:lang w:val="en-US"/>
        </w:rPr>
        <w:t xml:space="preserve"> </w:t>
      </w:r>
      <w:proofErr w:type="spellStart"/>
      <w:r w:rsidRPr="00006B9E">
        <w:rPr>
          <w:i/>
          <w:iCs/>
          <w:color w:val="000000"/>
          <w:lang w:val="en-US"/>
        </w:rPr>
        <w:t>pittori</w:t>
      </w:r>
      <w:proofErr w:type="spellEnd"/>
      <w:r w:rsidRPr="00006B9E">
        <w:rPr>
          <w:i/>
          <w:iCs/>
          <w:color w:val="000000"/>
          <w:lang w:val="en-US"/>
        </w:rPr>
        <w:t xml:space="preserve">, </w:t>
      </w:r>
      <w:proofErr w:type="spellStart"/>
      <w:r w:rsidRPr="00006B9E">
        <w:rPr>
          <w:i/>
          <w:iCs/>
          <w:color w:val="000000"/>
          <w:lang w:val="en-US"/>
        </w:rPr>
        <w:t>scultori</w:t>
      </w:r>
      <w:proofErr w:type="spellEnd"/>
      <w:r w:rsidRPr="00006B9E">
        <w:rPr>
          <w:i/>
          <w:iCs/>
          <w:color w:val="000000"/>
          <w:lang w:val="en-US"/>
        </w:rPr>
        <w:t xml:space="preserve"> e </w:t>
      </w:r>
      <w:proofErr w:type="spellStart"/>
      <w:r w:rsidRPr="00006B9E">
        <w:rPr>
          <w:i/>
          <w:iCs/>
          <w:color w:val="000000"/>
          <w:lang w:val="en-US"/>
        </w:rPr>
        <w:t>architetti</w:t>
      </w:r>
      <w:proofErr w:type="spellEnd"/>
      <w:r w:rsidRPr="00006B9E">
        <w:rPr>
          <w:color w:val="000000"/>
          <w:lang w:val="en-US"/>
        </w:rPr>
        <w:t>, 577.</w:t>
      </w:r>
    </w:p>
  </w:footnote>
  <w:footnote w:id="688">
    <w:p w14:paraId="0867314F" w14:textId="77777777" w:rsidR="00182EED" w:rsidRDefault="00182EED" w:rsidP="00094F64">
      <w:pPr>
        <w:pStyle w:val="FootnoteText"/>
      </w:pPr>
      <w:r w:rsidRPr="00591949">
        <w:rPr>
          <w:rStyle w:val="FootnoteReference"/>
        </w:rPr>
        <w:footnoteRef/>
      </w:r>
      <w:r>
        <w:t xml:space="preserve"> </w:t>
      </w:r>
      <w:r w:rsidRPr="00006B9E">
        <w:rPr>
          <w:color w:val="000000"/>
          <w:lang w:val="en-US"/>
        </w:rPr>
        <w:t xml:space="preserve">Dennis </w:t>
      </w:r>
      <w:proofErr w:type="spellStart"/>
      <w:r w:rsidRPr="00006B9E">
        <w:rPr>
          <w:color w:val="000000"/>
          <w:lang w:val="en-US"/>
        </w:rPr>
        <w:t>Geronimus</w:t>
      </w:r>
      <w:proofErr w:type="spellEnd"/>
      <w:r w:rsidRPr="00006B9E">
        <w:rPr>
          <w:color w:val="000000"/>
          <w:lang w:val="en-US"/>
        </w:rPr>
        <w:t xml:space="preserve">, “Entry 44,” in </w:t>
      </w:r>
      <w:r w:rsidRPr="00006B9E">
        <w:rPr>
          <w:i/>
          <w:iCs/>
          <w:color w:val="000000"/>
          <w:lang w:val="en-US"/>
        </w:rPr>
        <w:t>Piero Di Cosimo: The Poetry of Painting in Renaissance Florence</w:t>
      </w:r>
      <w:r w:rsidRPr="00006B9E">
        <w:rPr>
          <w:color w:val="000000"/>
          <w:lang w:val="en-US"/>
        </w:rPr>
        <w:t xml:space="preserve">, ed. Dennis </w:t>
      </w:r>
      <w:proofErr w:type="spellStart"/>
      <w:r w:rsidRPr="00006B9E">
        <w:rPr>
          <w:color w:val="000000"/>
          <w:lang w:val="en-US"/>
        </w:rPr>
        <w:t>Geronimus</w:t>
      </w:r>
      <w:proofErr w:type="spellEnd"/>
      <w:r w:rsidRPr="00006B9E">
        <w:rPr>
          <w:color w:val="000000"/>
          <w:lang w:val="en-US"/>
        </w:rPr>
        <w:t xml:space="preserve"> (London: Lund Humphries Pub., 2015), 300–301; Brilliant, “Entry 18,” 156–59.</w:t>
      </w:r>
    </w:p>
  </w:footnote>
  <w:footnote w:id="689">
    <w:p w14:paraId="79DB4CAF" w14:textId="77777777" w:rsidR="00182EED" w:rsidRDefault="00182EED" w:rsidP="00094F64">
      <w:pPr>
        <w:pStyle w:val="FootnoteText"/>
      </w:pPr>
      <w:r w:rsidRPr="00591949">
        <w:rPr>
          <w:rStyle w:val="FootnoteReference"/>
        </w:rPr>
        <w:footnoteRef/>
      </w:r>
      <w:r>
        <w:t xml:space="preserve"> </w:t>
      </w:r>
      <w:proofErr w:type="spellStart"/>
      <w:r w:rsidRPr="00006B9E">
        <w:rPr>
          <w:color w:val="000000"/>
          <w:lang w:val="en-US"/>
        </w:rPr>
        <w:t>Winternitz</w:t>
      </w:r>
      <w:proofErr w:type="spellEnd"/>
      <w:r w:rsidRPr="00006B9E">
        <w:rPr>
          <w:color w:val="000000"/>
          <w:lang w:val="en-US"/>
        </w:rPr>
        <w:t>, “Musical Instruments for the Stage in Paintings by Filippino Lippi, Piero Di Cosimo, and Lorenzo Costa,” 215.</w:t>
      </w:r>
    </w:p>
  </w:footnote>
  <w:footnote w:id="690">
    <w:p w14:paraId="6D19BD1F" w14:textId="77777777" w:rsidR="00182EED" w:rsidRDefault="00182EED" w:rsidP="00094F64">
      <w:pPr>
        <w:pStyle w:val="FootnoteText"/>
      </w:pPr>
      <w:r w:rsidRPr="00591949">
        <w:rPr>
          <w:rStyle w:val="FootnoteReference"/>
        </w:rPr>
        <w:footnoteRef/>
      </w:r>
      <w:r>
        <w:t xml:space="preserve"> </w:t>
      </w:r>
      <w:r w:rsidRPr="002F0DB7">
        <w:rPr>
          <w:color w:val="000000"/>
          <w:lang w:val="en-US"/>
        </w:rPr>
        <w:t xml:space="preserve">The painting in the Galleria Borghese is discussed in Dennis </w:t>
      </w:r>
      <w:proofErr w:type="spellStart"/>
      <w:r w:rsidRPr="002F0DB7">
        <w:rPr>
          <w:color w:val="000000"/>
          <w:lang w:val="en-US"/>
        </w:rPr>
        <w:t>Geronimus</w:t>
      </w:r>
      <w:proofErr w:type="spellEnd"/>
      <w:r w:rsidRPr="002F0DB7">
        <w:rPr>
          <w:color w:val="000000"/>
          <w:lang w:val="en-US"/>
        </w:rPr>
        <w:t xml:space="preserve">, </w:t>
      </w:r>
      <w:r w:rsidRPr="002F0DB7">
        <w:rPr>
          <w:i/>
          <w:iCs/>
          <w:color w:val="000000"/>
          <w:lang w:val="en-US"/>
        </w:rPr>
        <w:t>Piero Di Cosimo: Visions, Beautiful and Strange</w:t>
      </w:r>
      <w:r w:rsidRPr="002F0DB7">
        <w:rPr>
          <w:color w:val="000000"/>
          <w:lang w:val="en-US"/>
        </w:rPr>
        <w:t xml:space="preserve"> (New Haven; London: Yale University Press, 2006), 172; Virginia Brilliant, “Entry 32,” in </w:t>
      </w:r>
      <w:r w:rsidRPr="002F0DB7">
        <w:rPr>
          <w:i/>
          <w:iCs/>
          <w:color w:val="000000"/>
          <w:lang w:val="en-US"/>
        </w:rPr>
        <w:t>Piero di Cosimo: The poetry of painting in Renaissance Florence</w:t>
      </w:r>
      <w:r w:rsidRPr="002F0DB7">
        <w:rPr>
          <w:color w:val="000000"/>
          <w:lang w:val="en-US"/>
        </w:rPr>
        <w:t xml:space="preserve">, ed. Dennis </w:t>
      </w:r>
      <w:proofErr w:type="spellStart"/>
      <w:r w:rsidRPr="002F0DB7">
        <w:rPr>
          <w:color w:val="000000"/>
          <w:lang w:val="en-US"/>
        </w:rPr>
        <w:t>Geronimus</w:t>
      </w:r>
      <w:proofErr w:type="spellEnd"/>
      <w:r w:rsidRPr="002F0DB7">
        <w:rPr>
          <w:color w:val="000000"/>
          <w:lang w:val="en-US"/>
        </w:rPr>
        <w:t xml:space="preserve"> (London: Lund Humphries Pub., 2015), 200–201; see also Olson, </w:t>
      </w:r>
      <w:r w:rsidRPr="002F0DB7">
        <w:rPr>
          <w:i/>
          <w:iCs/>
          <w:color w:val="000000"/>
          <w:lang w:val="en-US"/>
        </w:rPr>
        <w:t>The Florentine Tondo</w:t>
      </w:r>
      <w:r w:rsidRPr="002F0DB7">
        <w:rPr>
          <w:color w:val="000000"/>
          <w:lang w:val="en-US"/>
        </w:rPr>
        <w:t>, A49, 253.</w:t>
      </w:r>
    </w:p>
  </w:footnote>
  <w:footnote w:id="691">
    <w:p w14:paraId="0F794FAB" w14:textId="77777777" w:rsidR="00182EED" w:rsidRDefault="00182EED" w:rsidP="00094F64">
      <w:pPr>
        <w:pStyle w:val="FootnoteText"/>
      </w:pPr>
      <w:r w:rsidRPr="00591949">
        <w:rPr>
          <w:rStyle w:val="FootnoteReference"/>
        </w:rPr>
        <w:footnoteRef/>
      </w:r>
      <w:r>
        <w:t xml:space="preserve"> </w:t>
      </w:r>
      <w:r w:rsidRPr="002F0DB7">
        <w:rPr>
          <w:color w:val="000000"/>
          <w:lang w:val="en-US"/>
        </w:rPr>
        <w:t xml:space="preserve">Kristina Hermann Fiore, “Entry 20,” in </w:t>
      </w:r>
      <w:r w:rsidRPr="002F0DB7">
        <w:rPr>
          <w:i/>
          <w:iCs/>
          <w:color w:val="000000"/>
          <w:lang w:val="en-US"/>
        </w:rPr>
        <w:t xml:space="preserve">Botticelli E Filippino: </w:t>
      </w:r>
      <w:proofErr w:type="spellStart"/>
      <w:r w:rsidRPr="002F0DB7">
        <w:rPr>
          <w:i/>
          <w:iCs/>
          <w:color w:val="000000"/>
          <w:lang w:val="en-US"/>
        </w:rPr>
        <w:t>L’inquietudine</w:t>
      </w:r>
      <w:proofErr w:type="spellEnd"/>
      <w:r w:rsidRPr="002F0DB7">
        <w:rPr>
          <w:i/>
          <w:iCs/>
          <w:color w:val="000000"/>
          <w:lang w:val="en-US"/>
        </w:rPr>
        <w:t xml:space="preserve"> E La Grazia Nella </w:t>
      </w:r>
      <w:proofErr w:type="spellStart"/>
      <w:r w:rsidRPr="002F0DB7">
        <w:rPr>
          <w:i/>
          <w:iCs/>
          <w:color w:val="000000"/>
          <w:lang w:val="en-US"/>
        </w:rPr>
        <w:t>Pittura</w:t>
      </w:r>
      <w:proofErr w:type="spellEnd"/>
      <w:r w:rsidRPr="002F0DB7">
        <w:rPr>
          <w:i/>
          <w:iCs/>
          <w:color w:val="000000"/>
          <w:lang w:val="en-US"/>
        </w:rPr>
        <w:t xml:space="preserve"> Fiorentina Del Quattrocento </w:t>
      </w:r>
      <w:proofErr w:type="spellStart"/>
      <w:r w:rsidRPr="002F0DB7">
        <w:rPr>
          <w:color w:val="000000"/>
          <w:lang w:val="en-US"/>
        </w:rPr>
        <w:t>Exh.Cat</w:t>
      </w:r>
      <w:proofErr w:type="spellEnd"/>
      <w:r w:rsidRPr="002F0DB7">
        <w:rPr>
          <w:color w:val="000000"/>
          <w:lang w:val="en-US"/>
        </w:rPr>
        <w:t xml:space="preserve">., ed. Daniel </w:t>
      </w:r>
      <w:proofErr w:type="spellStart"/>
      <w:r w:rsidRPr="002F0DB7">
        <w:rPr>
          <w:color w:val="000000"/>
          <w:lang w:val="en-US"/>
        </w:rPr>
        <w:t>Arasse</w:t>
      </w:r>
      <w:proofErr w:type="spellEnd"/>
      <w:r w:rsidRPr="002F0DB7">
        <w:rPr>
          <w:color w:val="000000"/>
          <w:lang w:val="en-US"/>
        </w:rPr>
        <w:t xml:space="preserve">, </w:t>
      </w:r>
      <w:proofErr w:type="spellStart"/>
      <w:r w:rsidRPr="002F0DB7">
        <w:rPr>
          <w:color w:val="000000"/>
          <w:lang w:val="en-US"/>
        </w:rPr>
        <w:t>Pierluigi</w:t>
      </w:r>
      <w:proofErr w:type="spellEnd"/>
      <w:r w:rsidRPr="002F0DB7">
        <w:rPr>
          <w:color w:val="000000"/>
          <w:lang w:val="en-US"/>
        </w:rPr>
        <w:t xml:space="preserve"> De </w:t>
      </w:r>
      <w:proofErr w:type="spellStart"/>
      <w:r w:rsidRPr="002F0DB7">
        <w:rPr>
          <w:color w:val="000000"/>
          <w:lang w:val="en-US"/>
        </w:rPr>
        <w:t>Vecchi</w:t>
      </w:r>
      <w:proofErr w:type="spellEnd"/>
      <w:r w:rsidRPr="002F0DB7">
        <w:rPr>
          <w:color w:val="000000"/>
          <w:lang w:val="en-US"/>
        </w:rPr>
        <w:t xml:space="preserve">, and Jonathan Katz Nelson (Milan: </w:t>
      </w:r>
      <w:proofErr w:type="spellStart"/>
      <w:r w:rsidRPr="002F0DB7">
        <w:rPr>
          <w:color w:val="000000"/>
          <w:lang w:val="en-US"/>
        </w:rPr>
        <w:t>Skira</w:t>
      </w:r>
      <w:proofErr w:type="spellEnd"/>
      <w:r w:rsidRPr="002F0DB7">
        <w:rPr>
          <w:color w:val="000000"/>
          <w:lang w:val="en-US"/>
        </w:rPr>
        <w:t>, 2004), 168–71.</w:t>
      </w:r>
    </w:p>
  </w:footnote>
  <w:footnote w:id="692">
    <w:p w14:paraId="3BF1FAE9" w14:textId="77777777" w:rsidR="00182EED" w:rsidRDefault="00182EED" w:rsidP="00094F64">
      <w:pPr>
        <w:pStyle w:val="FootnoteText"/>
      </w:pPr>
      <w:r w:rsidRPr="00591949">
        <w:rPr>
          <w:rStyle w:val="FootnoteReference"/>
        </w:rPr>
        <w:footnoteRef/>
      </w:r>
      <w:r>
        <w:t xml:space="preserve"> </w:t>
      </w:r>
      <w:r w:rsidRPr="002F0DB7">
        <w:rPr>
          <w:color w:val="000000"/>
          <w:lang w:val="en-US"/>
        </w:rPr>
        <w:t xml:space="preserve">Elena </w:t>
      </w:r>
      <w:proofErr w:type="spellStart"/>
      <w:r w:rsidRPr="002F0DB7">
        <w:rPr>
          <w:color w:val="000000"/>
          <w:lang w:val="en-US"/>
        </w:rPr>
        <w:t>Capretti</w:t>
      </w:r>
      <w:proofErr w:type="spellEnd"/>
      <w:r w:rsidRPr="002F0DB7">
        <w:rPr>
          <w:color w:val="000000"/>
          <w:lang w:val="en-US"/>
        </w:rPr>
        <w:t xml:space="preserve">, “Entry 40,” in </w:t>
      </w:r>
      <w:r w:rsidRPr="002F0DB7">
        <w:rPr>
          <w:i/>
          <w:iCs/>
          <w:color w:val="000000"/>
          <w:lang w:val="en-US"/>
        </w:rPr>
        <w:t xml:space="preserve">Piero di Cosimo 1462-1522: </w:t>
      </w:r>
      <w:proofErr w:type="spellStart"/>
      <w:r w:rsidRPr="002F0DB7">
        <w:rPr>
          <w:i/>
          <w:iCs/>
          <w:color w:val="000000"/>
          <w:lang w:val="en-US"/>
        </w:rPr>
        <w:t>pittore</w:t>
      </w:r>
      <w:proofErr w:type="spellEnd"/>
      <w:r w:rsidRPr="002F0DB7">
        <w:rPr>
          <w:i/>
          <w:iCs/>
          <w:color w:val="000000"/>
          <w:lang w:val="en-US"/>
        </w:rPr>
        <w:t xml:space="preserve"> </w:t>
      </w:r>
      <w:proofErr w:type="spellStart"/>
      <w:r w:rsidRPr="002F0DB7">
        <w:rPr>
          <w:i/>
          <w:iCs/>
          <w:color w:val="000000"/>
          <w:lang w:val="en-US"/>
        </w:rPr>
        <w:t>eccentrico</w:t>
      </w:r>
      <w:proofErr w:type="spellEnd"/>
      <w:r w:rsidRPr="002F0DB7">
        <w:rPr>
          <w:i/>
          <w:iCs/>
          <w:color w:val="000000"/>
          <w:lang w:val="en-US"/>
        </w:rPr>
        <w:t xml:space="preserve"> </w:t>
      </w:r>
      <w:proofErr w:type="spellStart"/>
      <w:r w:rsidRPr="002F0DB7">
        <w:rPr>
          <w:i/>
          <w:iCs/>
          <w:color w:val="000000"/>
          <w:lang w:val="en-US"/>
        </w:rPr>
        <w:t>fra</w:t>
      </w:r>
      <w:proofErr w:type="spellEnd"/>
      <w:r w:rsidRPr="002F0DB7">
        <w:rPr>
          <w:i/>
          <w:iCs/>
          <w:color w:val="000000"/>
          <w:lang w:val="en-US"/>
        </w:rPr>
        <w:t xml:space="preserve"> </w:t>
      </w:r>
      <w:proofErr w:type="spellStart"/>
      <w:r w:rsidRPr="002F0DB7">
        <w:rPr>
          <w:i/>
          <w:iCs/>
          <w:color w:val="000000"/>
          <w:lang w:val="en-US"/>
        </w:rPr>
        <w:t>Rinascimento</w:t>
      </w:r>
      <w:proofErr w:type="spellEnd"/>
      <w:r w:rsidRPr="002F0DB7">
        <w:rPr>
          <w:i/>
          <w:iCs/>
          <w:color w:val="000000"/>
          <w:lang w:val="en-US"/>
        </w:rPr>
        <w:t xml:space="preserve"> e </w:t>
      </w:r>
      <w:proofErr w:type="spellStart"/>
      <w:r w:rsidRPr="002F0DB7">
        <w:rPr>
          <w:i/>
          <w:iCs/>
          <w:color w:val="000000"/>
          <w:lang w:val="en-US"/>
        </w:rPr>
        <w:t>Maniera</w:t>
      </w:r>
      <w:proofErr w:type="spellEnd"/>
      <w:r w:rsidRPr="002F0DB7">
        <w:rPr>
          <w:color w:val="000000"/>
          <w:lang w:val="en-US"/>
        </w:rPr>
        <w:t xml:space="preserve">, ed. Elena </w:t>
      </w:r>
      <w:proofErr w:type="spellStart"/>
      <w:r w:rsidRPr="002F0DB7">
        <w:rPr>
          <w:color w:val="000000"/>
          <w:lang w:val="en-US"/>
        </w:rPr>
        <w:t>Capretti</w:t>
      </w:r>
      <w:proofErr w:type="spellEnd"/>
      <w:r w:rsidRPr="002F0DB7">
        <w:rPr>
          <w:color w:val="000000"/>
          <w:lang w:val="en-US"/>
        </w:rPr>
        <w:t xml:space="preserve"> et al., 2015, 292.</w:t>
      </w:r>
    </w:p>
  </w:footnote>
  <w:footnote w:id="693">
    <w:p w14:paraId="4D33816E" w14:textId="77777777" w:rsidR="00182EED" w:rsidRDefault="00182EED" w:rsidP="00094F64">
      <w:pPr>
        <w:pStyle w:val="FootnoteText"/>
      </w:pPr>
      <w:r w:rsidRPr="00591949">
        <w:rPr>
          <w:rStyle w:val="FootnoteReference"/>
        </w:rPr>
        <w:footnoteRef/>
      </w:r>
      <w:r>
        <w:t xml:space="preserve"> </w:t>
      </w:r>
      <w:r w:rsidRPr="002F0DB7">
        <w:rPr>
          <w:color w:val="000000"/>
          <w:lang w:val="en-US"/>
        </w:rPr>
        <w:t xml:space="preserve">Federico </w:t>
      </w:r>
      <w:proofErr w:type="spellStart"/>
      <w:r w:rsidRPr="002F0DB7">
        <w:rPr>
          <w:color w:val="000000"/>
          <w:lang w:val="en-US"/>
        </w:rPr>
        <w:t>Zeri</w:t>
      </w:r>
      <w:proofErr w:type="spellEnd"/>
      <w:r w:rsidRPr="002F0DB7">
        <w:rPr>
          <w:color w:val="000000"/>
          <w:lang w:val="en-US"/>
        </w:rPr>
        <w:t xml:space="preserve"> and Mauro Natale, “I Dipinti </w:t>
      </w:r>
      <w:proofErr w:type="spellStart"/>
      <w:r w:rsidRPr="002F0DB7">
        <w:rPr>
          <w:color w:val="000000"/>
          <w:lang w:val="en-US"/>
        </w:rPr>
        <w:t>Toscani</w:t>
      </w:r>
      <w:proofErr w:type="spellEnd"/>
      <w:r w:rsidRPr="002F0DB7">
        <w:rPr>
          <w:color w:val="000000"/>
          <w:lang w:val="en-US"/>
        </w:rPr>
        <w:t xml:space="preserve">,” in </w:t>
      </w:r>
      <w:r w:rsidRPr="002F0DB7">
        <w:rPr>
          <w:i/>
          <w:iCs/>
          <w:color w:val="000000"/>
          <w:lang w:val="en-US"/>
        </w:rPr>
        <w:t xml:space="preserve">Dipinti </w:t>
      </w:r>
      <w:proofErr w:type="spellStart"/>
      <w:r w:rsidRPr="002F0DB7">
        <w:rPr>
          <w:i/>
          <w:iCs/>
          <w:color w:val="000000"/>
          <w:lang w:val="en-US"/>
        </w:rPr>
        <w:t>toscani</w:t>
      </w:r>
      <w:proofErr w:type="spellEnd"/>
      <w:r w:rsidRPr="002F0DB7">
        <w:rPr>
          <w:i/>
          <w:iCs/>
          <w:color w:val="000000"/>
          <w:lang w:val="en-US"/>
        </w:rPr>
        <w:t xml:space="preserve"> e </w:t>
      </w:r>
      <w:proofErr w:type="spellStart"/>
      <w:r w:rsidRPr="002F0DB7">
        <w:rPr>
          <w:i/>
          <w:iCs/>
          <w:color w:val="000000"/>
          <w:lang w:val="en-US"/>
        </w:rPr>
        <w:t>oggetti</w:t>
      </w:r>
      <w:proofErr w:type="spellEnd"/>
      <w:r w:rsidRPr="002F0DB7">
        <w:rPr>
          <w:i/>
          <w:iCs/>
          <w:color w:val="000000"/>
          <w:lang w:val="en-US"/>
        </w:rPr>
        <w:t xml:space="preserve"> </w:t>
      </w:r>
      <w:proofErr w:type="spellStart"/>
      <w:r w:rsidRPr="002F0DB7">
        <w:rPr>
          <w:i/>
          <w:iCs/>
          <w:color w:val="000000"/>
          <w:lang w:val="en-US"/>
        </w:rPr>
        <w:t>d’arte</w:t>
      </w:r>
      <w:proofErr w:type="spellEnd"/>
      <w:r w:rsidRPr="002F0DB7">
        <w:rPr>
          <w:i/>
          <w:iCs/>
          <w:color w:val="000000"/>
          <w:lang w:val="en-US"/>
        </w:rPr>
        <w:t xml:space="preserve"> </w:t>
      </w:r>
      <w:proofErr w:type="spellStart"/>
      <w:r w:rsidRPr="002F0DB7">
        <w:rPr>
          <w:i/>
          <w:iCs/>
          <w:color w:val="000000"/>
          <w:lang w:val="en-US"/>
        </w:rPr>
        <w:t>dalla</w:t>
      </w:r>
      <w:proofErr w:type="spellEnd"/>
      <w:r w:rsidRPr="002F0DB7">
        <w:rPr>
          <w:i/>
          <w:iCs/>
          <w:color w:val="000000"/>
          <w:lang w:val="en-US"/>
        </w:rPr>
        <w:t xml:space="preserve"> </w:t>
      </w:r>
      <w:proofErr w:type="spellStart"/>
      <w:r w:rsidRPr="002F0DB7">
        <w:rPr>
          <w:i/>
          <w:iCs/>
          <w:color w:val="000000"/>
          <w:lang w:val="en-US"/>
        </w:rPr>
        <w:t>collezione</w:t>
      </w:r>
      <w:proofErr w:type="spellEnd"/>
      <w:r w:rsidRPr="002F0DB7">
        <w:rPr>
          <w:i/>
          <w:iCs/>
          <w:color w:val="000000"/>
          <w:lang w:val="en-US"/>
        </w:rPr>
        <w:t xml:space="preserve"> Vittorio </w:t>
      </w:r>
      <w:proofErr w:type="spellStart"/>
      <w:r w:rsidRPr="002F0DB7">
        <w:rPr>
          <w:i/>
          <w:iCs/>
          <w:color w:val="000000"/>
          <w:lang w:val="en-US"/>
        </w:rPr>
        <w:t>Cini</w:t>
      </w:r>
      <w:proofErr w:type="spellEnd"/>
      <w:r w:rsidRPr="002F0DB7">
        <w:rPr>
          <w:color w:val="000000"/>
          <w:lang w:val="en-US"/>
        </w:rPr>
        <w:t xml:space="preserve">, ed. Federico </w:t>
      </w:r>
      <w:proofErr w:type="spellStart"/>
      <w:r w:rsidRPr="002F0DB7">
        <w:rPr>
          <w:color w:val="000000"/>
          <w:lang w:val="en-US"/>
        </w:rPr>
        <w:t>Zeri</w:t>
      </w:r>
      <w:proofErr w:type="spellEnd"/>
      <w:r w:rsidRPr="002F0DB7">
        <w:rPr>
          <w:color w:val="000000"/>
          <w:lang w:val="en-US"/>
        </w:rPr>
        <w:t xml:space="preserve">, Alessandra </w:t>
      </w:r>
      <w:proofErr w:type="spellStart"/>
      <w:r w:rsidRPr="002F0DB7">
        <w:rPr>
          <w:color w:val="000000"/>
          <w:lang w:val="en-US"/>
        </w:rPr>
        <w:t>Mottola</w:t>
      </w:r>
      <w:proofErr w:type="spellEnd"/>
      <w:r w:rsidRPr="002F0DB7">
        <w:rPr>
          <w:color w:val="000000"/>
          <w:lang w:val="en-US"/>
        </w:rPr>
        <w:t xml:space="preserve"> </w:t>
      </w:r>
      <w:proofErr w:type="spellStart"/>
      <w:r w:rsidRPr="002F0DB7">
        <w:rPr>
          <w:color w:val="000000"/>
          <w:lang w:val="en-US"/>
        </w:rPr>
        <w:t>Molfino</w:t>
      </w:r>
      <w:proofErr w:type="spellEnd"/>
      <w:r w:rsidRPr="002F0DB7">
        <w:rPr>
          <w:color w:val="000000"/>
          <w:lang w:val="en-US"/>
        </w:rPr>
        <w:t>, and Mauro Natale (</w:t>
      </w:r>
      <w:proofErr w:type="spellStart"/>
      <w:r w:rsidRPr="002F0DB7">
        <w:rPr>
          <w:color w:val="000000"/>
          <w:lang w:val="en-US"/>
        </w:rPr>
        <w:t>Neri</w:t>
      </w:r>
      <w:proofErr w:type="spellEnd"/>
      <w:r w:rsidRPr="002F0DB7">
        <w:rPr>
          <w:color w:val="000000"/>
          <w:lang w:val="en-US"/>
        </w:rPr>
        <w:t xml:space="preserve"> </w:t>
      </w:r>
      <w:proofErr w:type="spellStart"/>
      <w:r w:rsidRPr="002F0DB7">
        <w:rPr>
          <w:color w:val="000000"/>
          <w:lang w:val="en-US"/>
        </w:rPr>
        <w:t>Pozza</w:t>
      </w:r>
      <w:proofErr w:type="spellEnd"/>
      <w:r w:rsidRPr="002F0DB7">
        <w:rPr>
          <w:color w:val="000000"/>
          <w:lang w:val="en-US"/>
        </w:rPr>
        <w:t>, 1984), 31–32.</w:t>
      </w:r>
    </w:p>
  </w:footnote>
  <w:footnote w:id="694">
    <w:p w14:paraId="4BF9290F" w14:textId="77777777" w:rsidR="00182EED" w:rsidRDefault="00182EED" w:rsidP="00094F64">
      <w:pPr>
        <w:pStyle w:val="FootnoteText"/>
      </w:pPr>
      <w:r w:rsidRPr="00591949">
        <w:rPr>
          <w:rStyle w:val="FootnoteReference"/>
        </w:rPr>
        <w:footnoteRef/>
      </w:r>
      <w:r>
        <w:t xml:space="preserve"> </w:t>
      </w:r>
      <w:r w:rsidRPr="002F0DB7">
        <w:rPr>
          <w:color w:val="000000"/>
          <w:lang w:val="en-US"/>
        </w:rPr>
        <w:t xml:space="preserve">Dennis </w:t>
      </w:r>
      <w:proofErr w:type="spellStart"/>
      <w:r w:rsidRPr="002F0DB7">
        <w:rPr>
          <w:color w:val="000000"/>
          <w:lang w:val="en-US"/>
        </w:rPr>
        <w:t>Geronimus</w:t>
      </w:r>
      <w:proofErr w:type="spellEnd"/>
      <w:r w:rsidRPr="002F0DB7">
        <w:rPr>
          <w:color w:val="000000"/>
          <w:lang w:val="en-US"/>
        </w:rPr>
        <w:t xml:space="preserve">, “Entry 24,” in </w:t>
      </w:r>
      <w:r w:rsidRPr="002F0DB7">
        <w:rPr>
          <w:i/>
          <w:iCs/>
          <w:color w:val="000000"/>
          <w:lang w:val="en-US"/>
        </w:rPr>
        <w:t>Piero Di Cosimo: The Poetry of Painting in Renaissance Florence</w:t>
      </w:r>
      <w:r w:rsidRPr="002F0DB7">
        <w:rPr>
          <w:color w:val="000000"/>
          <w:lang w:val="en-US"/>
        </w:rPr>
        <w:t xml:space="preserve">, ed. Dennis </w:t>
      </w:r>
      <w:proofErr w:type="spellStart"/>
      <w:r w:rsidRPr="002F0DB7">
        <w:rPr>
          <w:color w:val="000000"/>
          <w:lang w:val="en-US"/>
        </w:rPr>
        <w:t>Geronimus</w:t>
      </w:r>
      <w:proofErr w:type="spellEnd"/>
      <w:r w:rsidRPr="002F0DB7">
        <w:rPr>
          <w:color w:val="000000"/>
          <w:lang w:val="en-US"/>
        </w:rPr>
        <w:t xml:space="preserve"> (London: Lund Humphries Pub., 2015), 175–77, esp. 175, 177 n.9.</w:t>
      </w:r>
    </w:p>
  </w:footnote>
  <w:footnote w:id="695">
    <w:p w14:paraId="30A904F5" w14:textId="77777777" w:rsidR="00182EED" w:rsidRDefault="00182EED" w:rsidP="00094F64">
      <w:pPr>
        <w:pStyle w:val="FootnoteText"/>
      </w:pPr>
      <w:r w:rsidRPr="00591949">
        <w:rPr>
          <w:rStyle w:val="FootnoteReference"/>
        </w:rPr>
        <w:footnoteRef/>
      </w:r>
      <w:r>
        <w:t xml:space="preserve"> </w:t>
      </w:r>
      <w:r w:rsidRPr="002F0DB7">
        <w:rPr>
          <w:color w:val="000000"/>
          <w:lang w:val="en-US"/>
        </w:rPr>
        <w:t xml:space="preserve">Olson, </w:t>
      </w:r>
      <w:r w:rsidRPr="002F0DB7">
        <w:rPr>
          <w:i/>
          <w:iCs/>
          <w:color w:val="000000"/>
          <w:lang w:val="en-US"/>
        </w:rPr>
        <w:t>The Florentine Tondo</w:t>
      </w:r>
      <w:r w:rsidRPr="002F0DB7">
        <w:rPr>
          <w:color w:val="000000"/>
          <w:lang w:val="en-US"/>
        </w:rPr>
        <w:t>, A58, 255.</w:t>
      </w:r>
    </w:p>
  </w:footnote>
  <w:footnote w:id="696">
    <w:p w14:paraId="5F30030B" w14:textId="77777777" w:rsidR="00182EED" w:rsidRDefault="00182EED" w:rsidP="00094F64">
      <w:pPr>
        <w:pStyle w:val="FootnoteText"/>
      </w:pPr>
      <w:r w:rsidRPr="00591949">
        <w:rPr>
          <w:rStyle w:val="FootnoteReference"/>
        </w:rPr>
        <w:footnoteRef/>
      </w:r>
      <w:r>
        <w:t xml:space="preserve"> </w:t>
      </w:r>
      <w:r w:rsidRPr="002F0DB7">
        <w:rPr>
          <w:color w:val="000000"/>
          <w:lang w:val="en-US"/>
        </w:rPr>
        <w:t xml:space="preserve">“Uno tondo </w:t>
      </w:r>
      <w:proofErr w:type="spellStart"/>
      <w:r w:rsidRPr="002F0DB7">
        <w:rPr>
          <w:color w:val="000000"/>
          <w:lang w:val="en-US"/>
        </w:rPr>
        <w:t>d’una</w:t>
      </w:r>
      <w:proofErr w:type="spellEnd"/>
      <w:r w:rsidRPr="002F0DB7">
        <w:rPr>
          <w:color w:val="000000"/>
          <w:lang w:val="en-US"/>
        </w:rPr>
        <w:t xml:space="preserve"> Nostra Donna, </w:t>
      </w:r>
      <w:proofErr w:type="spellStart"/>
      <w:r w:rsidRPr="002F0DB7">
        <w:rPr>
          <w:color w:val="000000"/>
          <w:lang w:val="en-US"/>
        </w:rPr>
        <w:t>che</w:t>
      </w:r>
      <w:proofErr w:type="spellEnd"/>
      <w:r w:rsidRPr="002F0DB7">
        <w:rPr>
          <w:color w:val="000000"/>
          <w:lang w:val="en-US"/>
        </w:rPr>
        <w:t xml:space="preserve"> </w:t>
      </w:r>
      <w:proofErr w:type="spellStart"/>
      <w:r w:rsidRPr="002F0DB7">
        <w:rPr>
          <w:color w:val="000000"/>
          <w:lang w:val="en-US"/>
        </w:rPr>
        <w:t>fu</w:t>
      </w:r>
      <w:proofErr w:type="spellEnd"/>
      <w:r w:rsidRPr="002F0DB7">
        <w:rPr>
          <w:color w:val="000000"/>
          <w:lang w:val="en-US"/>
        </w:rPr>
        <w:t xml:space="preserve"> </w:t>
      </w:r>
      <w:proofErr w:type="spellStart"/>
      <w:r w:rsidRPr="002F0DB7">
        <w:rPr>
          <w:color w:val="000000"/>
          <w:lang w:val="en-US"/>
        </w:rPr>
        <w:t>mandato</w:t>
      </w:r>
      <w:proofErr w:type="spellEnd"/>
      <w:r w:rsidRPr="002F0DB7">
        <w:rPr>
          <w:color w:val="000000"/>
          <w:lang w:val="en-US"/>
        </w:rPr>
        <w:t xml:space="preserve"> al Re di </w:t>
      </w:r>
      <w:proofErr w:type="spellStart"/>
      <w:r w:rsidRPr="002F0DB7">
        <w:rPr>
          <w:color w:val="000000"/>
          <w:lang w:val="en-US"/>
        </w:rPr>
        <w:t>Spagna</w:t>
      </w:r>
      <w:proofErr w:type="spellEnd"/>
      <w:r w:rsidRPr="002F0DB7">
        <w:rPr>
          <w:color w:val="000000"/>
          <w:lang w:val="en-US"/>
        </w:rPr>
        <w:t xml:space="preserve">, </w:t>
      </w:r>
      <w:proofErr w:type="spellStart"/>
      <w:r w:rsidRPr="002F0DB7">
        <w:rPr>
          <w:color w:val="000000"/>
          <w:lang w:val="en-US"/>
        </w:rPr>
        <w:t>il</w:t>
      </w:r>
      <w:proofErr w:type="spellEnd"/>
      <w:r w:rsidRPr="002F0DB7">
        <w:rPr>
          <w:color w:val="000000"/>
          <w:lang w:val="en-US"/>
        </w:rPr>
        <w:t xml:space="preserve"> </w:t>
      </w:r>
      <w:proofErr w:type="spellStart"/>
      <w:r w:rsidRPr="002F0DB7">
        <w:rPr>
          <w:color w:val="000000"/>
          <w:lang w:val="en-US"/>
        </w:rPr>
        <w:t>disegno</w:t>
      </w:r>
      <w:proofErr w:type="spellEnd"/>
      <w:r w:rsidRPr="002F0DB7">
        <w:rPr>
          <w:color w:val="000000"/>
          <w:lang w:val="en-US"/>
        </w:rPr>
        <w:t xml:space="preserve"> </w:t>
      </w:r>
      <w:proofErr w:type="spellStart"/>
      <w:r w:rsidRPr="002F0DB7">
        <w:rPr>
          <w:color w:val="000000"/>
          <w:lang w:val="en-US"/>
        </w:rPr>
        <w:t>della</w:t>
      </w:r>
      <w:proofErr w:type="spellEnd"/>
      <w:r w:rsidRPr="002F0DB7">
        <w:rPr>
          <w:color w:val="000000"/>
          <w:lang w:val="en-US"/>
        </w:rPr>
        <w:t xml:space="preserve"> qual </w:t>
      </w:r>
      <w:proofErr w:type="spellStart"/>
      <w:r w:rsidRPr="002F0DB7">
        <w:rPr>
          <w:color w:val="000000"/>
          <w:lang w:val="en-US"/>
        </w:rPr>
        <w:t>pittura</w:t>
      </w:r>
      <w:proofErr w:type="spellEnd"/>
      <w:r w:rsidRPr="002F0DB7">
        <w:rPr>
          <w:color w:val="000000"/>
          <w:lang w:val="en-US"/>
        </w:rPr>
        <w:t xml:space="preserve"> </w:t>
      </w:r>
      <w:proofErr w:type="spellStart"/>
      <w:r w:rsidRPr="002F0DB7">
        <w:rPr>
          <w:color w:val="000000"/>
          <w:lang w:val="en-US"/>
        </w:rPr>
        <w:t>ritrasse</w:t>
      </w:r>
      <w:proofErr w:type="spellEnd"/>
      <w:r w:rsidRPr="002F0DB7">
        <w:rPr>
          <w:color w:val="000000"/>
          <w:lang w:val="en-US"/>
        </w:rPr>
        <w:t xml:space="preserve"> da una </w:t>
      </w:r>
      <w:proofErr w:type="spellStart"/>
      <w:r w:rsidRPr="002F0DB7">
        <w:rPr>
          <w:color w:val="000000"/>
          <w:lang w:val="en-US"/>
        </w:rPr>
        <w:t>d’Andrea</w:t>
      </w:r>
      <w:proofErr w:type="spellEnd"/>
      <w:r w:rsidRPr="002F0DB7">
        <w:rPr>
          <w:color w:val="000000"/>
          <w:lang w:val="en-US"/>
        </w:rPr>
        <w:t xml:space="preserve"> [del Verrocchio] </w:t>
      </w:r>
      <w:proofErr w:type="spellStart"/>
      <w:r w:rsidRPr="002F0DB7">
        <w:rPr>
          <w:color w:val="000000"/>
          <w:lang w:val="en-US"/>
        </w:rPr>
        <w:t>suo</w:t>
      </w:r>
      <w:proofErr w:type="spellEnd"/>
      <w:r w:rsidRPr="002F0DB7">
        <w:rPr>
          <w:color w:val="000000"/>
          <w:lang w:val="en-US"/>
        </w:rPr>
        <w:t xml:space="preserve"> maestro.” Vasari, </w:t>
      </w:r>
      <w:r w:rsidRPr="002F0DB7">
        <w:rPr>
          <w:i/>
          <w:iCs/>
          <w:color w:val="000000"/>
          <w:lang w:val="en-US"/>
        </w:rPr>
        <w:t xml:space="preserve">Le </w:t>
      </w:r>
      <w:proofErr w:type="spellStart"/>
      <w:r w:rsidRPr="002F0DB7">
        <w:rPr>
          <w:i/>
          <w:iCs/>
          <w:color w:val="000000"/>
          <w:lang w:val="en-US"/>
        </w:rPr>
        <w:t>vite</w:t>
      </w:r>
      <w:proofErr w:type="spellEnd"/>
      <w:r w:rsidRPr="002F0DB7">
        <w:rPr>
          <w:i/>
          <w:iCs/>
          <w:color w:val="000000"/>
          <w:lang w:val="en-US"/>
        </w:rPr>
        <w:t xml:space="preserve"> </w:t>
      </w:r>
      <w:proofErr w:type="spellStart"/>
      <w:r w:rsidRPr="002F0DB7">
        <w:rPr>
          <w:i/>
          <w:iCs/>
          <w:color w:val="000000"/>
          <w:lang w:val="en-US"/>
        </w:rPr>
        <w:t>dei</w:t>
      </w:r>
      <w:proofErr w:type="spellEnd"/>
      <w:r w:rsidRPr="002F0DB7">
        <w:rPr>
          <w:i/>
          <w:iCs/>
          <w:color w:val="000000"/>
          <w:lang w:val="en-US"/>
        </w:rPr>
        <w:t xml:space="preserve"> </w:t>
      </w:r>
      <w:proofErr w:type="spellStart"/>
      <w:r w:rsidRPr="002F0DB7">
        <w:rPr>
          <w:i/>
          <w:iCs/>
          <w:color w:val="000000"/>
          <w:lang w:val="en-US"/>
        </w:rPr>
        <w:t>più</w:t>
      </w:r>
      <w:proofErr w:type="spellEnd"/>
      <w:r w:rsidRPr="002F0DB7">
        <w:rPr>
          <w:i/>
          <w:iCs/>
          <w:color w:val="000000"/>
          <w:lang w:val="en-US"/>
        </w:rPr>
        <w:t xml:space="preserve"> </w:t>
      </w:r>
      <w:proofErr w:type="spellStart"/>
      <w:r w:rsidRPr="002F0DB7">
        <w:rPr>
          <w:i/>
          <w:iCs/>
          <w:color w:val="000000"/>
          <w:lang w:val="en-US"/>
        </w:rPr>
        <w:t>eccellenti</w:t>
      </w:r>
      <w:proofErr w:type="spellEnd"/>
      <w:r w:rsidRPr="002F0DB7">
        <w:rPr>
          <w:i/>
          <w:iCs/>
          <w:color w:val="000000"/>
          <w:lang w:val="en-US"/>
        </w:rPr>
        <w:t xml:space="preserve"> </w:t>
      </w:r>
      <w:proofErr w:type="spellStart"/>
      <w:r w:rsidRPr="002F0DB7">
        <w:rPr>
          <w:i/>
          <w:iCs/>
          <w:color w:val="000000"/>
          <w:lang w:val="en-US"/>
        </w:rPr>
        <w:t>pittori</w:t>
      </w:r>
      <w:proofErr w:type="spellEnd"/>
      <w:r w:rsidRPr="002F0DB7">
        <w:rPr>
          <w:i/>
          <w:iCs/>
          <w:color w:val="000000"/>
          <w:lang w:val="en-US"/>
        </w:rPr>
        <w:t xml:space="preserve">, </w:t>
      </w:r>
      <w:proofErr w:type="spellStart"/>
      <w:r w:rsidRPr="002F0DB7">
        <w:rPr>
          <w:i/>
          <w:iCs/>
          <w:color w:val="000000"/>
          <w:lang w:val="en-US"/>
        </w:rPr>
        <w:t>scultori</w:t>
      </w:r>
      <w:proofErr w:type="spellEnd"/>
      <w:r w:rsidRPr="002F0DB7">
        <w:rPr>
          <w:i/>
          <w:iCs/>
          <w:color w:val="000000"/>
          <w:lang w:val="en-US"/>
        </w:rPr>
        <w:t xml:space="preserve"> e </w:t>
      </w:r>
      <w:proofErr w:type="spellStart"/>
      <w:r w:rsidRPr="002F0DB7">
        <w:rPr>
          <w:i/>
          <w:iCs/>
          <w:color w:val="000000"/>
          <w:lang w:val="en-US"/>
        </w:rPr>
        <w:t>architetti</w:t>
      </w:r>
      <w:proofErr w:type="spellEnd"/>
      <w:r w:rsidRPr="002F0DB7">
        <w:rPr>
          <w:color w:val="000000"/>
          <w:lang w:val="en-US"/>
        </w:rPr>
        <w:t xml:space="preserve">, 683; Olson, </w:t>
      </w:r>
      <w:r w:rsidRPr="002F0DB7">
        <w:rPr>
          <w:i/>
          <w:iCs/>
          <w:color w:val="000000"/>
          <w:lang w:val="en-US"/>
        </w:rPr>
        <w:t>The Florentine Tondo</w:t>
      </w:r>
      <w:r w:rsidRPr="002F0DB7">
        <w:rPr>
          <w:color w:val="000000"/>
          <w:lang w:val="en-US"/>
        </w:rPr>
        <w:t>, 254.</w:t>
      </w:r>
    </w:p>
  </w:footnote>
  <w:footnote w:id="697">
    <w:p w14:paraId="4FF1A73E" w14:textId="77777777" w:rsidR="00182EED" w:rsidRDefault="00182EED" w:rsidP="00094F64">
      <w:pPr>
        <w:pStyle w:val="FootnoteText"/>
      </w:pPr>
      <w:r w:rsidRPr="00591949">
        <w:rPr>
          <w:rStyle w:val="FootnoteReference"/>
        </w:rPr>
        <w:footnoteRef/>
      </w:r>
      <w:r>
        <w:t xml:space="preserve"> </w:t>
      </w:r>
      <w:r w:rsidRPr="002F0DB7">
        <w:rPr>
          <w:color w:val="000000"/>
          <w:lang w:val="en-US"/>
        </w:rPr>
        <w:t xml:space="preserve">Olson, </w:t>
      </w:r>
      <w:r w:rsidRPr="002F0DB7">
        <w:rPr>
          <w:i/>
          <w:iCs/>
          <w:color w:val="000000"/>
          <w:lang w:val="en-US"/>
        </w:rPr>
        <w:t>The Florentine Tondo</w:t>
      </w:r>
      <w:r w:rsidRPr="002F0DB7">
        <w:rPr>
          <w:color w:val="000000"/>
          <w:lang w:val="en-US"/>
        </w:rPr>
        <w:t>, A33, 249.</w:t>
      </w:r>
    </w:p>
  </w:footnote>
  <w:footnote w:id="698">
    <w:p w14:paraId="04A9E518" w14:textId="77777777" w:rsidR="00182EED" w:rsidRDefault="00182EED" w:rsidP="00094F64">
      <w:pPr>
        <w:pStyle w:val="FootnoteText"/>
      </w:pPr>
      <w:r w:rsidRPr="00591949">
        <w:rPr>
          <w:rStyle w:val="FootnoteReference"/>
        </w:rPr>
        <w:footnoteRef/>
      </w:r>
      <w:r>
        <w:t xml:space="preserve"> </w:t>
      </w:r>
      <w:r w:rsidRPr="007E721A">
        <w:rPr>
          <w:color w:val="000000"/>
          <w:lang w:val="en-US"/>
        </w:rPr>
        <w:t xml:space="preserve">The story of the musical contest between Apollo and Pan is recounted in Ovid, </w:t>
      </w:r>
      <w:r w:rsidRPr="007E721A">
        <w:rPr>
          <w:i/>
          <w:iCs/>
          <w:color w:val="000000"/>
          <w:lang w:val="en-US"/>
        </w:rPr>
        <w:t>Metamorphoses</w:t>
      </w:r>
      <w:r w:rsidRPr="007E721A">
        <w:rPr>
          <w:color w:val="000000"/>
          <w:lang w:val="en-US"/>
        </w:rPr>
        <w:t>, trans. A. D. Melville and E. J. Kenney (Oxford: Oxford University Press, 1998), 11,159-191.</w:t>
      </w:r>
    </w:p>
  </w:footnote>
  <w:footnote w:id="699">
    <w:p w14:paraId="04C68EF5" w14:textId="77777777" w:rsidR="00182EED" w:rsidRDefault="00182EED" w:rsidP="00094F64">
      <w:pPr>
        <w:pStyle w:val="FootnoteText"/>
      </w:pPr>
      <w:r w:rsidRPr="00591949">
        <w:rPr>
          <w:rStyle w:val="FootnoteReference"/>
        </w:rPr>
        <w:footnoteRef/>
      </w:r>
      <w:r>
        <w:t xml:space="preserve"> </w:t>
      </w:r>
      <w:r w:rsidRPr="007E721A">
        <w:rPr>
          <w:color w:val="000000"/>
          <w:lang w:val="en-US"/>
        </w:rPr>
        <w:t xml:space="preserve">Tim Shephard and Patrick McMahon, “Foolish Midas: Representing Musical Judgement and Moral Judgement in Italy, c. 1520,” in </w:t>
      </w:r>
      <w:r w:rsidRPr="007E721A">
        <w:rPr>
          <w:i/>
          <w:iCs/>
          <w:color w:val="000000"/>
          <w:lang w:val="en-US"/>
        </w:rPr>
        <w:t>Music, Myth and Story in Medieval and Early Modern Culture</w:t>
      </w:r>
      <w:r w:rsidRPr="007E721A">
        <w:rPr>
          <w:color w:val="000000"/>
          <w:lang w:val="en-US"/>
        </w:rPr>
        <w:t xml:space="preserve">, ed. Katherine Butler and Samantha </w:t>
      </w:r>
      <w:proofErr w:type="spellStart"/>
      <w:r w:rsidRPr="007E721A">
        <w:rPr>
          <w:color w:val="000000"/>
          <w:lang w:val="en-US"/>
        </w:rPr>
        <w:t>Bassler</w:t>
      </w:r>
      <w:proofErr w:type="spellEnd"/>
      <w:r w:rsidRPr="007E721A">
        <w:rPr>
          <w:color w:val="000000"/>
          <w:lang w:val="en-US"/>
        </w:rPr>
        <w:t xml:space="preserve"> (Woodbridge: Boydell and Brewer, 2019), 87–104.</w:t>
      </w:r>
    </w:p>
  </w:footnote>
  <w:footnote w:id="700">
    <w:p w14:paraId="5066FA2F" w14:textId="77777777" w:rsidR="00182EED" w:rsidRDefault="00182EED" w:rsidP="00094F64">
      <w:pPr>
        <w:pStyle w:val="FootnoteText"/>
      </w:pPr>
      <w:r w:rsidRPr="00591949">
        <w:rPr>
          <w:rStyle w:val="FootnoteReference"/>
        </w:rPr>
        <w:footnoteRef/>
      </w:r>
      <w:r>
        <w:t xml:space="preserve"> </w:t>
      </w:r>
      <w:r w:rsidRPr="007E721A">
        <w:rPr>
          <w:color w:val="000000"/>
          <w:lang w:val="en-US"/>
        </w:rPr>
        <w:t xml:space="preserve">Rudolf </w:t>
      </w:r>
      <w:proofErr w:type="spellStart"/>
      <w:r w:rsidRPr="007E721A">
        <w:rPr>
          <w:color w:val="000000"/>
          <w:lang w:val="en-US"/>
        </w:rPr>
        <w:t>Wittkower</w:t>
      </w:r>
      <w:proofErr w:type="spellEnd"/>
      <w:r w:rsidRPr="007E721A">
        <w:rPr>
          <w:color w:val="000000"/>
          <w:lang w:val="en-US"/>
        </w:rPr>
        <w:t xml:space="preserve">, “Transformations of Minerva in Renaissance Imagery,” </w:t>
      </w:r>
      <w:r w:rsidRPr="007E721A">
        <w:rPr>
          <w:i/>
          <w:iCs/>
          <w:color w:val="000000"/>
          <w:lang w:val="en-US"/>
        </w:rPr>
        <w:t>Journal of the Warburg Institute</w:t>
      </w:r>
      <w:r w:rsidRPr="007E721A">
        <w:rPr>
          <w:color w:val="000000"/>
          <w:lang w:val="en-US"/>
        </w:rPr>
        <w:t xml:space="preserve"> 2, no. 3 (1939): 199.</w:t>
      </w:r>
    </w:p>
  </w:footnote>
  <w:footnote w:id="701">
    <w:p w14:paraId="1998CB39" w14:textId="77777777" w:rsidR="00182EED" w:rsidRDefault="00182EED" w:rsidP="00094F64">
      <w:pPr>
        <w:pStyle w:val="FootnoteText"/>
      </w:pPr>
      <w:r w:rsidRPr="00591949">
        <w:rPr>
          <w:rStyle w:val="FootnoteReference"/>
        </w:rPr>
        <w:footnoteRef/>
      </w:r>
      <w:r>
        <w:t xml:space="preserve"> </w:t>
      </w:r>
      <w:r>
        <w:rPr>
          <w:noProof/>
        </w:rPr>
        <w:t>Quoted in ibid., 200.</w:t>
      </w:r>
    </w:p>
  </w:footnote>
  <w:footnote w:id="702">
    <w:p w14:paraId="15B8FDA3" w14:textId="77777777" w:rsidR="00182EED" w:rsidRDefault="00182EED" w:rsidP="00094F64">
      <w:pPr>
        <w:pStyle w:val="FootnoteText"/>
      </w:pPr>
      <w:r w:rsidRPr="00591949">
        <w:rPr>
          <w:rStyle w:val="FootnoteReference"/>
        </w:rPr>
        <w:footnoteRef/>
      </w:r>
      <w:r>
        <w:t xml:space="preserve"> </w:t>
      </w:r>
      <w:r w:rsidRPr="007E721A">
        <w:rPr>
          <w:color w:val="000000"/>
          <w:lang w:val="en-US"/>
        </w:rPr>
        <w:t>Ibid., 203–4.</w:t>
      </w:r>
    </w:p>
  </w:footnote>
  <w:footnote w:id="703">
    <w:p w14:paraId="74E704F8" w14:textId="77777777" w:rsidR="00182EED" w:rsidRDefault="00182EED" w:rsidP="00094F64">
      <w:pPr>
        <w:pStyle w:val="FootnoteText"/>
      </w:pPr>
      <w:r w:rsidRPr="00591949">
        <w:rPr>
          <w:rStyle w:val="FootnoteReference"/>
        </w:rPr>
        <w:footnoteRef/>
      </w:r>
      <w:r>
        <w:t xml:space="preserve"> </w:t>
      </w:r>
      <w:r>
        <w:rPr>
          <w:noProof/>
        </w:rPr>
        <w:t>Ibid., 204.</w:t>
      </w:r>
    </w:p>
  </w:footnote>
  <w:footnote w:id="704">
    <w:p w14:paraId="5DB6851E" w14:textId="77777777" w:rsidR="00182EED" w:rsidRDefault="00182EED" w:rsidP="00094F64">
      <w:pPr>
        <w:pStyle w:val="FootnoteText"/>
      </w:pPr>
      <w:r w:rsidRPr="00591949">
        <w:rPr>
          <w:rStyle w:val="FootnoteReference"/>
        </w:rPr>
        <w:footnoteRef/>
      </w:r>
      <w:r>
        <w:t xml:space="preserve"> </w:t>
      </w:r>
      <w:r>
        <w:rPr>
          <w:noProof/>
        </w:rPr>
        <w:t>Ibid., 200.</w:t>
      </w:r>
    </w:p>
  </w:footnote>
  <w:footnote w:id="705">
    <w:p w14:paraId="3E1DC6CF" w14:textId="77777777" w:rsidR="00182EED" w:rsidRDefault="00182EED" w:rsidP="00094F64">
      <w:pPr>
        <w:pStyle w:val="FootnoteText"/>
      </w:pPr>
      <w:r w:rsidRPr="00591949">
        <w:rPr>
          <w:rStyle w:val="FootnoteReference"/>
        </w:rPr>
        <w:footnoteRef/>
      </w:r>
      <w:r>
        <w:t xml:space="preserve"> </w:t>
      </w:r>
      <w:r w:rsidRPr="007E721A">
        <w:rPr>
          <w:color w:val="000000"/>
          <w:lang w:val="en-US"/>
        </w:rPr>
        <w:t>Shephard and McMahon, “Foolish Midas: Representing Musical Judgement and Moral Judgement in Italy, c. 1520,” 98.</w:t>
      </w:r>
    </w:p>
  </w:footnote>
  <w:footnote w:id="706">
    <w:p w14:paraId="1760D728" w14:textId="77777777" w:rsidR="00182EED" w:rsidRDefault="00182EED" w:rsidP="00094F64">
      <w:pPr>
        <w:pStyle w:val="FootnoteText"/>
      </w:pPr>
      <w:r w:rsidRPr="00591949">
        <w:rPr>
          <w:rStyle w:val="FootnoteReference"/>
        </w:rPr>
        <w:footnoteRef/>
      </w:r>
      <w:r>
        <w:t xml:space="preserve"> </w:t>
      </w:r>
      <w:r>
        <w:rPr>
          <w:noProof/>
        </w:rPr>
        <w:t>See also ibid., 99.</w:t>
      </w:r>
    </w:p>
  </w:footnote>
  <w:footnote w:id="707">
    <w:p w14:paraId="792AD8D8" w14:textId="77777777" w:rsidR="00182EED" w:rsidRPr="005C62F6" w:rsidRDefault="00182EED" w:rsidP="00094F64">
      <w:pPr>
        <w:pStyle w:val="FootnoteText"/>
        <w:rPr>
          <w:lang w:val="en-US"/>
        </w:rPr>
      </w:pPr>
      <w:r w:rsidRPr="00591949">
        <w:rPr>
          <w:rStyle w:val="FootnoteReference"/>
        </w:rPr>
        <w:footnoteRef/>
      </w:r>
      <w:r w:rsidRPr="005C62F6">
        <w:t xml:space="preserve"> </w:t>
      </w:r>
      <w:r w:rsidRPr="005C62F6">
        <w:rPr>
          <w:lang w:val="en-US"/>
        </w:rPr>
        <w:t xml:space="preserve">The story of the choice of Hercules is recounted in Xenophon’s </w:t>
      </w:r>
      <w:r w:rsidRPr="005C62F6">
        <w:rPr>
          <w:i/>
          <w:lang w:val="en-US"/>
        </w:rPr>
        <w:t>Memorabilia</w:t>
      </w:r>
      <w:r w:rsidRPr="005C62F6">
        <w:rPr>
          <w:lang w:val="en-US"/>
        </w:rPr>
        <w:t>.</w:t>
      </w:r>
    </w:p>
  </w:footnote>
  <w:footnote w:id="708">
    <w:p w14:paraId="7BCDC2F6" w14:textId="77777777" w:rsidR="00182EED" w:rsidRDefault="00182EED" w:rsidP="00310CB2">
      <w:pPr>
        <w:pStyle w:val="FootnoteText"/>
      </w:pPr>
      <w:r w:rsidRPr="00D72450">
        <w:rPr>
          <w:rStyle w:val="FootnoteReference"/>
        </w:rPr>
        <w:footnoteRef/>
      </w:r>
      <w:r>
        <w:t xml:space="preserve"> See Chapter 3.2.1 of this thesis. </w:t>
      </w:r>
      <w:r w:rsidRPr="006C3C20">
        <w:rPr>
          <w:rFonts w:cs="Times New Roman"/>
          <w:lang w:val="en-US"/>
        </w:rPr>
        <w:t xml:space="preserve">Abigail </w:t>
      </w:r>
      <w:proofErr w:type="spellStart"/>
      <w:r w:rsidRPr="006C3C20">
        <w:rPr>
          <w:rFonts w:cs="Times New Roman"/>
          <w:lang w:val="en-US"/>
        </w:rPr>
        <w:t>Brundin</w:t>
      </w:r>
      <w:proofErr w:type="spellEnd"/>
      <w:r w:rsidRPr="006C3C20">
        <w:rPr>
          <w:rFonts w:cs="Times New Roman"/>
          <w:lang w:val="en-US"/>
        </w:rPr>
        <w:t xml:space="preserve">, Deborah Howard, and Mary </w:t>
      </w:r>
      <w:proofErr w:type="spellStart"/>
      <w:r w:rsidRPr="006C3C20">
        <w:rPr>
          <w:rFonts w:cs="Times New Roman"/>
          <w:lang w:val="en-US"/>
        </w:rPr>
        <w:t>Laven</w:t>
      </w:r>
      <w:proofErr w:type="spellEnd"/>
      <w:r w:rsidRPr="006C3C20">
        <w:rPr>
          <w:rFonts w:cs="Times New Roman"/>
          <w:lang w:val="en-US"/>
        </w:rPr>
        <w:t xml:space="preserve">, </w:t>
      </w:r>
      <w:r w:rsidRPr="006C3C20">
        <w:rPr>
          <w:rFonts w:cs="Times New Roman"/>
          <w:i/>
          <w:iCs/>
          <w:lang w:val="en-US"/>
        </w:rPr>
        <w:t>The Sacred Home in Renaissance Italy</w:t>
      </w:r>
      <w:r w:rsidRPr="006C3C20">
        <w:rPr>
          <w:rFonts w:cs="Times New Roman"/>
          <w:lang w:val="en-US"/>
        </w:rPr>
        <w:t xml:space="preserve"> (Oxford: Oxford University Press, 2018), 182.</w:t>
      </w:r>
    </w:p>
  </w:footnote>
  <w:footnote w:id="709">
    <w:p w14:paraId="1FBD582C" w14:textId="77777777" w:rsidR="00182EED" w:rsidRDefault="00182EED" w:rsidP="00310CB2">
      <w:pPr>
        <w:pStyle w:val="FootnoteText"/>
      </w:pPr>
      <w:r w:rsidRPr="00D72450">
        <w:rPr>
          <w:rStyle w:val="FootnoteReference"/>
        </w:rPr>
        <w:footnoteRef/>
      </w:r>
      <w:r>
        <w:t xml:space="preserve"> </w:t>
      </w:r>
      <w:r w:rsidRPr="00C63D51">
        <w:rPr>
          <w:rFonts w:cs="Times New Roman"/>
          <w:lang w:val="en-US"/>
        </w:rPr>
        <w:t xml:space="preserve">Marietta </w:t>
      </w:r>
      <w:proofErr w:type="spellStart"/>
      <w:r w:rsidRPr="00C63D51">
        <w:rPr>
          <w:rFonts w:cs="Times New Roman"/>
          <w:lang w:val="en-US"/>
        </w:rPr>
        <w:t>Cambareri</w:t>
      </w:r>
      <w:proofErr w:type="spellEnd"/>
      <w:r w:rsidRPr="00C63D51">
        <w:rPr>
          <w:rFonts w:cs="Times New Roman"/>
          <w:lang w:val="en-US"/>
        </w:rPr>
        <w:t xml:space="preserve">, </w:t>
      </w:r>
      <w:r w:rsidRPr="00C63D51">
        <w:rPr>
          <w:rFonts w:cs="Times New Roman"/>
          <w:i/>
          <w:iCs/>
          <w:lang w:val="en-US"/>
        </w:rPr>
        <w:t>Della Robbia: Sculpting with Color in Renaissance Florence</w:t>
      </w:r>
      <w:r w:rsidRPr="00C63D51">
        <w:rPr>
          <w:rFonts w:cs="Times New Roman"/>
          <w:lang w:val="en-US"/>
        </w:rPr>
        <w:t xml:space="preserve">, ed. Abigail </w:t>
      </w:r>
      <w:proofErr w:type="spellStart"/>
      <w:r w:rsidRPr="00C63D51">
        <w:rPr>
          <w:rFonts w:cs="Times New Roman"/>
          <w:lang w:val="en-US"/>
        </w:rPr>
        <w:t>Hykin</w:t>
      </w:r>
      <w:proofErr w:type="spellEnd"/>
      <w:r w:rsidRPr="00C63D51">
        <w:rPr>
          <w:rFonts w:cs="Times New Roman"/>
          <w:lang w:val="en-US"/>
        </w:rPr>
        <w:t xml:space="preserve"> and Courtney Leigh Harris (Boston: MFA Publications - Museum of Fine Arts, 2016), 90; Daphne Barbour and Roberta J. M. Olson, “New Methods for Studying Serialization in the Workshop of Andrea Della Robbia: Technical Study and Analysis,” in </w:t>
      </w:r>
      <w:r w:rsidRPr="00C63D51">
        <w:rPr>
          <w:rFonts w:cs="Times New Roman"/>
          <w:i/>
          <w:iCs/>
          <w:lang w:val="en-US"/>
        </w:rPr>
        <w:t xml:space="preserve">Della Robbia: </w:t>
      </w:r>
      <w:proofErr w:type="spellStart"/>
      <w:r w:rsidRPr="00C63D51">
        <w:rPr>
          <w:rFonts w:cs="Times New Roman"/>
          <w:i/>
          <w:iCs/>
          <w:lang w:val="en-US"/>
        </w:rPr>
        <w:t>Dieci</w:t>
      </w:r>
      <w:proofErr w:type="spellEnd"/>
      <w:r w:rsidRPr="00C63D51">
        <w:rPr>
          <w:rFonts w:cs="Times New Roman"/>
          <w:i/>
          <w:iCs/>
          <w:lang w:val="en-US"/>
        </w:rPr>
        <w:t xml:space="preserve"> Anni Di </w:t>
      </w:r>
      <w:proofErr w:type="spellStart"/>
      <w:r w:rsidRPr="00C63D51">
        <w:rPr>
          <w:rFonts w:cs="Times New Roman"/>
          <w:i/>
          <w:iCs/>
          <w:lang w:val="en-US"/>
        </w:rPr>
        <w:t>Studi</w:t>
      </w:r>
      <w:proofErr w:type="spellEnd"/>
      <w:r w:rsidRPr="00C63D51">
        <w:rPr>
          <w:rFonts w:cs="Times New Roman"/>
          <w:i/>
          <w:iCs/>
          <w:lang w:val="en-US"/>
        </w:rPr>
        <w:t xml:space="preserve"> - Dix Ans </w:t>
      </w:r>
      <w:proofErr w:type="spellStart"/>
      <w:r w:rsidRPr="00C63D51">
        <w:rPr>
          <w:rFonts w:cs="Times New Roman"/>
          <w:i/>
          <w:iCs/>
          <w:lang w:val="en-US"/>
        </w:rPr>
        <w:t>d’études</w:t>
      </w:r>
      <w:proofErr w:type="spellEnd"/>
      <w:r w:rsidRPr="00C63D51">
        <w:rPr>
          <w:rFonts w:cs="Times New Roman"/>
          <w:lang w:val="en-US"/>
        </w:rPr>
        <w:t xml:space="preserve">, ed. Anne </w:t>
      </w:r>
      <w:proofErr w:type="spellStart"/>
      <w:r w:rsidRPr="00C63D51">
        <w:rPr>
          <w:rFonts w:cs="Times New Roman"/>
          <w:lang w:val="en-US"/>
        </w:rPr>
        <w:t>Bouquillon</w:t>
      </w:r>
      <w:proofErr w:type="spellEnd"/>
      <w:r w:rsidRPr="00C63D51">
        <w:rPr>
          <w:rFonts w:cs="Times New Roman"/>
          <w:lang w:val="en-US"/>
        </w:rPr>
        <w:t xml:space="preserve">, Marc </w:t>
      </w:r>
      <w:proofErr w:type="spellStart"/>
      <w:r w:rsidRPr="00C63D51">
        <w:rPr>
          <w:rFonts w:cs="Times New Roman"/>
          <w:lang w:val="en-US"/>
        </w:rPr>
        <w:t>Bormand</w:t>
      </w:r>
      <w:proofErr w:type="spellEnd"/>
      <w:r w:rsidRPr="00C63D51">
        <w:rPr>
          <w:rFonts w:cs="Times New Roman"/>
          <w:lang w:val="en-US"/>
        </w:rPr>
        <w:t xml:space="preserve">, and Alessandro </w:t>
      </w:r>
      <w:proofErr w:type="spellStart"/>
      <w:r w:rsidRPr="00C63D51">
        <w:rPr>
          <w:rFonts w:cs="Times New Roman"/>
          <w:lang w:val="en-US"/>
        </w:rPr>
        <w:t>Zucchiatti</w:t>
      </w:r>
      <w:proofErr w:type="spellEnd"/>
      <w:r w:rsidRPr="00C63D51">
        <w:rPr>
          <w:rFonts w:cs="Times New Roman"/>
          <w:lang w:val="en-US"/>
        </w:rPr>
        <w:t xml:space="preserve"> (Genova: </w:t>
      </w:r>
      <w:proofErr w:type="spellStart"/>
      <w:r w:rsidRPr="00C63D51">
        <w:rPr>
          <w:rFonts w:cs="Times New Roman"/>
          <w:lang w:val="en-US"/>
        </w:rPr>
        <w:t>Sagep</w:t>
      </w:r>
      <w:proofErr w:type="spellEnd"/>
      <w:r w:rsidRPr="00C63D51">
        <w:rPr>
          <w:rFonts w:cs="Times New Roman"/>
          <w:lang w:val="en-US"/>
        </w:rPr>
        <w:t xml:space="preserve"> </w:t>
      </w:r>
      <w:proofErr w:type="spellStart"/>
      <w:r w:rsidRPr="00C63D51">
        <w:rPr>
          <w:rFonts w:cs="Times New Roman"/>
          <w:lang w:val="en-US"/>
        </w:rPr>
        <w:t>Editori</w:t>
      </w:r>
      <w:proofErr w:type="spellEnd"/>
      <w:r w:rsidRPr="00C63D51">
        <w:rPr>
          <w:rFonts w:cs="Times New Roman"/>
          <w:lang w:val="en-US"/>
        </w:rPr>
        <w:t xml:space="preserve">, 2011), 56–61, esp. 57; Roberta J. M Olson and Daphne Barbour, “Toward a New Method for Studying Glazed </w:t>
      </w:r>
      <w:proofErr w:type="spellStart"/>
      <w:r w:rsidRPr="00C63D51">
        <w:rPr>
          <w:rFonts w:cs="Times New Roman"/>
          <w:lang w:val="en-US"/>
        </w:rPr>
        <w:t>Terracottas</w:t>
      </w:r>
      <w:proofErr w:type="spellEnd"/>
      <w:r w:rsidRPr="00C63D51">
        <w:rPr>
          <w:rFonts w:cs="Times New Roman"/>
          <w:lang w:val="en-US"/>
        </w:rPr>
        <w:t xml:space="preserve">: Examining a Group of Tondi by Andrea Della Robbia,” </w:t>
      </w:r>
      <w:r w:rsidRPr="00C63D51">
        <w:rPr>
          <w:rFonts w:cs="Times New Roman"/>
          <w:i/>
          <w:iCs/>
          <w:lang w:val="en-US"/>
        </w:rPr>
        <w:t>Apollo.</w:t>
      </w:r>
      <w:r w:rsidRPr="00C63D51">
        <w:rPr>
          <w:rFonts w:cs="Times New Roman"/>
          <w:lang w:val="en-US"/>
        </w:rPr>
        <w:t>, 2001, 44–52, esp. 45.</w:t>
      </w:r>
    </w:p>
  </w:footnote>
  <w:footnote w:id="710">
    <w:p w14:paraId="3DEC4CC0" w14:textId="77777777" w:rsidR="00182EED" w:rsidRDefault="00182EED" w:rsidP="00310CB2">
      <w:pPr>
        <w:pStyle w:val="FootnoteText"/>
      </w:pPr>
      <w:r w:rsidRPr="00D72450">
        <w:rPr>
          <w:rStyle w:val="FootnoteReference"/>
        </w:rPr>
        <w:footnoteRef/>
      </w:r>
      <w:r>
        <w:t xml:space="preserve"> </w:t>
      </w:r>
      <w:r w:rsidRPr="00E03F73">
        <w:rPr>
          <w:rFonts w:cs="Times New Roman"/>
          <w:lang w:val="en-US"/>
        </w:rPr>
        <w:t>Cooper, “Devotion,”</w:t>
      </w:r>
      <w:r>
        <w:rPr>
          <w:rFonts w:cs="Times New Roman"/>
          <w:lang w:val="en-US"/>
        </w:rPr>
        <w:t xml:space="preserve"> </w:t>
      </w:r>
      <w:r w:rsidRPr="00E03F73">
        <w:rPr>
          <w:rFonts w:cs="Times New Roman"/>
          <w:lang w:val="en-US"/>
        </w:rPr>
        <w:t>192.</w:t>
      </w:r>
    </w:p>
  </w:footnote>
  <w:footnote w:id="711">
    <w:p w14:paraId="2D494781" w14:textId="77777777" w:rsidR="00182EED" w:rsidRDefault="00182EED" w:rsidP="00310CB2">
      <w:pPr>
        <w:pStyle w:val="FootnoteText"/>
      </w:pPr>
      <w:r w:rsidRPr="00D72450">
        <w:rPr>
          <w:rStyle w:val="FootnoteReference"/>
        </w:rPr>
        <w:footnoteRef/>
      </w:r>
      <w:r>
        <w:t xml:space="preserve"> </w:t>
      </w:r>
      <w:r w:rsidRPr="00E17E15">
        <w:rPr>
          <w:rFonts w:cs="Times New Roman"/>
          <w:lang w:val="en-US"/>
        </w:rPr>
        <w:t xml:space="preserve">Jacqueline Marie </w:t>
      </w:r>
      <w:proofErr w:type="spellStart"/>
      <w:r w:rsidRPr="00E17E15">
        <w:rPr>
          <w:rFonts w:cs="Times New Roman"/>
          <w:lang w:val="en-US"/>
        </w:rPr>
        <w:t>Musacchio</w:t>
      </w:r>
      <w:proofErr w:type="spellEnd"/>
      <w:r w:rsidRPr="00E17E15">
        <w:rPr>
          <w:rFonts w:cs="Times New Roman"/>
          <w:lang w:val="en-US"/>
        </w:rPr>
        <w:t xml:space="preserve">, “The Madonna and Child, a Host of Saints and Domestic Devotion,” in </w:t>
      </w:r>
      <w:r w:rsidRPr="00E17E15">
        <w:rPr>
          <w:rFonts w:cs="Times New Roman"/>
          <w:i/>
          <w:iCs/>
          <w:lang w:val="en-US"/>
        </w:rPr>
        <w:t>Revaluing Renaissance Art</w:t>
      </w:r>
      <w:r w:rsidRPr="00E17E15">
        <w:rPr>
          <w:rFonts w:cs="Times New Roman"/>
          <w:lang w:val="en-US"/>
        </w:rPr>
        <w:t xml:space="preserve">, ed. Gabriele </w:t>
      </w:r>
      <w:proofErr w:type="spellStart"/>
      <w:r w:rsidRPr="00E17E15">
        <w:rPr>
          <w:rFonts w:cs="Times New Roman"/>
          <w:lang w:val="en-US"/>
        </w:rPr>
        <w:t>Neher</w:t>
      </w:r>
      <w:proofErr w:type="spellEnd"/>
      <w:r w:rsidRPr="00E17E15">
        <w:rPr>
          <w:rFonts w:cs="Times New Roman"/>
          <w:lang w:val="en-US"/>
        </w:rPr>
        <w:t xml:space="preserve"> and Rupert Shepherd (</w:t>
      </w:r>
      <w:proofErr w:type="spellStart"/>
      <w:r w:rsidRPr="00E17E15">
        <w:rPr>
          <w:rFonts w:cs="Times New Roman"/>
          <w:lang w:val="en-US"/>
        </w:rPr>
        <w:t>Aldershot</w:t>
      </w:r>
      <w:proofErr w:type="spellEnd"/>
      <w:r w:rsidRPr="00E17E15">
        <w:rPr>
          <w:rFonts w:cs="Times New Roman"/>
          <w:lang w:val="en-US"/>
        </w:rPr>
        <w:t>; Brookfield, VT: Ashgate, 2000), 154; Cooper, “Devotion,” 199.</w:t>
      </w:r>
    </w:p>
  </w:footnote>
  <w:footnote w:id="712">
    <w:p w14:paraId="6F48ECF6" w14:textId="77777777" w:rsidR="00182EED" w:rsidRDefault="00182EED" w:rsidP="00310CB2">
      <w:pPr>
        <w:pStyle w:val="FootnoteText"/>
      </w:pPr>
      <w:r w:rsidRPr="00D72450">
        <w:rPr>
          <w:rStyle w:val="FootnoteReference"/>
        </w:rPr>
        <w:footnoteRef/>
      </w:r>
      <w:r>
        <w:t xml:space="preserve"> </w:t>
      </w:r>
      <w:r w:rsidRPr="00E03F73">
        <w:rPr>
          <w:rFonts w:cs="Times New Roman"/>
          <w:lang w:val="en-US"/>
        </w:rPr>
        <w:t xml:space="preserve">John Kent </w:t>
      </w:r>
      <w:proofErr w:type="spellStart"/>
      <w:r w:rsidRPr="00E03F73">
        <w:rPr>
          <w:rFonts w:cs="Times New Roman"/>
          <w:lang w:val="en-US"/>
        </w:rPr>
        <w:t>Lydecker</w:t>
      </w:r>
      <w:proofErr w:type="spellEnd"/>
      <w:r w:rsidRPr="00E03F73">
        <w:rPr>
          <w:rFonts w:cs="Times New Roman"/>
          <w:lang w:val="en-US"/>
        </w:rPr>
        <w:t xml:space="preserve">, “The Domestic Setting of the Arts in Renaissance Florence” (John Hopkins University, 1987), 64 n.84; </w:t>
      </w:r>
      <w:proofErr w:type="spellStart"/>
      <w:r w:rsidRPr="00E03F73">
        <w:rPr>
          <w:rFonts w:cs="Times New Roman"/>
          <w:lang w:val="en-US"/>
        </w:rPr>
        <w:t>Musacchio</w:t>
      </w:r>
      <w:proofErr w:type="spellEnd"/>
      <w:r w:rsidRPr="00E03F73">
        <w:rPr>
          <w:rFonts w:cs="Times New Roman"/>
          <w:lang w:val="en-US"/>
        </w:rPr>
        <w:t>, “The Madonna and Child,” 155.</w:t>
      </w:r>
    </w:p>
  </w:footnote>
  <w:footnote w:id="713">
    <w:p w14:paraId="5BB7960C" w14:textId="77777777" w:rsidR="00182EED" w:rsidRDefault="00182EED" w:rsidP="00310CB2">
      <w:pPr>
        <w:pStyle w:val="FootnoteText"/>
      </w:pPr>
      <w:r w:rsidRPr="00D72450">
        <w:rPr>
          <w:rStyle w:val="FootnoteReference"/>
        </w:rPr>
        <w:footnoteRef/>
      </w:r>
      <w:r>
        <w:t xml:space="preserve"> </w:t>
      </w:r>
      <w:r w:rsidRPr="00E03F73">
        <w:rPr>
          <w:rFonts w:cs="Times New Roman"/>
          <w:lang w:val="en-US"/>
        </w:rPr>
        <w:t xml:space="preserve">Quoted in </w:t>
      </w:r>
      <w:proofErr w:type="spellStart"/>
      <w:r w:rsidRPr="00E03F73">
        <w:rPr>
          <w:rFonts w:cs="Times New Roman"/>
          <w:lang w:val="en-US"/>
        </w:rPr>
        <w:t>Musacchio</w:t>
      </w:r>
      <w:proofErr w:type="spellEnd"/>
      <w:r w:rsidRPr="00E03F73">
        <w:rPr>
          <w:rFonts w:cs="Times New Roman"/>
          <w:lang w:val="en-US"/>
        </w:rPr>
        <w:t>, “The Madonna and Child,” 154–55, n.106.</w:t>
      </w:r>
    </w:p>
  </w:footnote>
  <w:footnote w:id="714">
    <w:p w14:paraId="2D042DCA" w14:textId="77777777" w:rsidR="00182EED" w:rsidRDefault="00182EED" w:rsidP="00310CB2">
      <w:pPr>
        <w:pStyle w:val="FootnoteText"/>
      </w:pPr>
      <w:r w:rsidRPr="00D72450">
        <w:rPr>
          <w:rStyle w:val="FootnoteReference"/>
        </w:rPr>
        <w:footnoteRef/>
      </w:r>
      <w:r>
        <w:t xml:space="preserve"> </w:t>
      </w:r>
      <w:r w:rsidRPr="00E03F73">
        <w:rPr>
          <w:rFonts w:cs="Times New Roman"/>
          <w:lang w:val="en-US"/>
        </w:rPr>
        <w:t xml:space="preserve">Stephanie R Miller, “Parenting in the Palazzo: Images and Artifacts of Children in the Italian Renaissance Home,” in </w:t>
      </w:r>
      <w:r w:rsidRPr="00E03F73">
        <w:rPr>
          <w:rFonts w:cs="Times New Roman"/>
          <w:i/>
          <w:iCs/>
          <w:lang w:val="en-US"/>
        </w:rPr>
        <w:t>The Early Modern Italian Domestic Interior, 1400-1700: Objects, Spaces, Domesticities</w:t>
      </w:r>
      <w:r w:rsidRPr="00E03F73">
        <w:rPr>
          <w:rFonts w:cs="Times New Roman"/>
          <w:lang w:val="en-US"/>
        </w:rPr>
        <w:t xml:space="preserve">, ed. Elizabeth Carroll </w:t>
      </w:r>
      <w:proofErr w:type="spellStart"/>
      <w:r w:rsidRPr="00E03F73">
        <w:rPr>
          <w:rFonts w:cs="Times New Roman"/>
          <w:lang w:val="en-US"/>
        </w:rPr>
        <w:t>Consavari</w:t>
      </w:r>
      <w:proofErr w:type="spellEnd"/>
      <w:r w:rsidRPr="00E03F73">
        <w:rPr>
          <w:rFonts w:cs="Times New Roman"/>
          <w:lang w:val="en-US"/>
        </w:rPr>
        <w:t>, Stephanie R Miller, and Erin J Campbell (</w:t>
      </w:r>
      <w:proofErr w:type="spellStart"/>
      <w:r w:rsidRPr="00E03F73">
        <w:rPr>
          <w:rFonts w:cs="Times New Roman"/>
          <w:lang w:val="en-US"/>
        </w:rPr>
        <w:t>Farnham</w:t>
      </w:r>
      <w:proofErr w:type="spellEnd"/>
      <w:r w:rsidRPr="00E03F73">
        <w:rPr>
          <w:rFonts w:cs="Times New Roman"/>
          <w:lang w:val="en-US"/>
        </w:rPr>
        <w:t>: Ashgate, 2014), 75.</w:t>
      </w:r>
    </w:p>
  </w:footnote>
  <w:footnote w:id="715">
    <w:p w14:paraId="145D79A6" w14:textId="77777777" w:rsidR="00182EED" w:rsidRDefault="00182EED" w:rsidP="00310CB2">
      <w:pPr>
        <w:pStyle w:val="FootnoteText"/>
      </w:pPr>
      <w:r w:rsidRPr="00D72450">
        <w:rPr>
          <w:rStyle w:val="FootnoteReference"/>
        </w:rPr>
        <w:footnoteRef/>
      </w:r>
      <w:r>
        <w:t xml:space="preserve"> </w:t>
      </w:r>
      <w:r w:rsidRPr="00E03F73">
        <w:rPr>
          <w:rFonts w:cs="Times New Roman"/>
          <w:lang w:val="en-US"/>
        </w:rPr>
        <w:t xml:space="preserve">Richard Stapleford, </w:t>
      </w:r>
      <w:r w:rsidRPr="00E03F73">
        <w:rPr>
          <w:rFonts w:cs="Times New Roman"/>
          <w:i/>
          <w:iCs/>
          <w:lang w:val="en-US"/>
        </w:rPr>
        <w:t>Lorenzo de’ Medici at Home: The Inventory of the Palazzo Medici in 1492</w:t>
      </w:r>
      <w:r w:rsidRPr="00E03F73">
        <w:rPr>
          <w:rFonts w:cs="Times New Roman"/>
          <w:lang w:val="en-US"/>
        </w:rPr>
        <w:t>, ed. and trans. Richard Stapleford (University Park, PA: Pennsylvania State University Press, 2013), 134.</w:t>
      </w:r>
    </w:p>
  </w:footnote>
  <w:footnote w:id="716">
    <w:p w14:paraId="611091EC" w14:textId="77777777" w:rsidR="00182EED" w:rsidRDefault="00182EED" w:rsidP="00310CB2">
      <w:pPr>
        <w:pStyle w:val="FootnoteText"/>
      </w:pPr>
      <w:r w:rsidRPr="00D72450">
        <w:rPr>
          <w:rStyle w:val="FootnoteReference"/>
        </w:rPr>
        <w:footnoteRef/>
      </w:r>
      <w:r>
        <w:t xml:space="preserve"> </w:t>
      </w:r>
      <w:r w:rsidRPr="00E03F73">
        <w:rPr>
          <w:rFonts w:cs="Times New Roman"/>
          <w:lang w:val="en-US"/>
        </w:rPr>
        <w:t>Ibid., 12–13, 30.</w:t>
      </w:r>
    </w:p>
  </w:footnote>
  <w:footnote w:id="717">
    <w:p w14:paraId="53BAE28D" w14:textId="77777777" w:rsidR="00182EED" w:rsidRDefault="00182EED" w:rsidP="00310CB2">
      <w:pPr>
        <w:pStyle w:val="FootnoteText"/>
      </w:pPr>
      <w:r w:rsidRPr="00D72450">
        <w:rPr>
          <w:rStyle w:val="FootnoteReference"/>
        </w:rPr>
        <w:footnoteRef/>
      </w:r>
      <w:r>
        <w:t xml:space="preserve"> </w:t>
      </w:r>
      <w:r w:rsidRPr="00E53EE2">
        <w:rPr>
          <w:rFonts w:cs="Times New Roman"/>
          <w:lang w:val="en-US"/>
        </w:rPr>
        <w:t xml:space="preserve">“Ma </w:t>
      </w:r>
      <w:proofErr w:type="spellStart"/>
      <w:r w:rsidRPr="00E53EE2">
        <w:rPr>
          <w:rFonts w:cs="Times New Roman"/>
          <w:lang w:val="en-US"/>
        </w:rPr>
        <w:t>farai</w:t>
      </w:r>
      <w:proofErr w:type="spellEnd"/>
      <w:r w:rsidRPr="00E53EE2">
        <w:rPr>
          <w:rFonts w:cs="Times New Roman"/>
          <w:lang w:val="en-US"/>
        </w:rPr>
        <w:t xml:space="preserve"> </w:t>
      </w:r>
      <w:proofErr w:type="spellStart"/>
      <w:r w:rsidRPr="00E53EE2">
        <w:rPr>
          <w:rFonts w:cs="Times New Roman"/>
          <w:lang w:val="en-US"/>
        </w:rPr>
        <w:t>uno</w:t>
      </w:r>
      <w:proofErr w:type="spellEnd"/>
      <w:r w:rsidRPr="00E53EE2">
        <w:rPr>
          <w:rFonts w:cs="Times New Roman"/>
          <w:lang w:val="en-US"/>
        </w:rPr>
        <w:t xml:space="preserve"> </w:t>
      </w:r>
      <w:proofErr w:type="spellStart"/>
      <w:r w:rsidRPr="00E53EE2">
        <w:rPr>
          <w:rFonts w:cs="Times New Roman"/>
          <w:lang w:val="en-US"/>
        </w:rPr>
        <w:t>altaruzzo</w:t>
      </w:r>
      <w:proofErr w:type="spellEnd"/>
      <w:r w:rsidRPr="00E53EE2">
        <w:rPr>
          <w:rFonts w:cs="Times New Roman"/>
          <w:lang w:val="en-US"/>
        </w:rPr>
        <w:t xml:space="preserve"> o due in casa, sotto </w:t>
      </w:r>
      <w:proofErr w:type="spellStart"/>
      <w:r w:rsidRPr="00E53EE2">
        <w:rPr>
          <w:rFonts w:cs="Times New Roman"/>
          <w:lang w:val="en-US"/>
        </w:rPr>
        <w:t>titolo</w:t>
      </w:r>
      <w:proofErr w:type="spellEnd"/>
      <w:r w:rsidRPr="00E53EE2">
        <w:rPr>
          <w:rFonts w:cs="Times New Roman"/>
          <w:lang w:val="en-US"/>
        </w:rPr>
        <w:t xml:space="preserve"> del Salvatore, del quale è la </w:t>
      </w:r>
      <w:proofErr w:type="spellStart"/>
      <w:r w:rsidRPr="00E53EE2">
        <w:rPr>
          <w:rFonts w:cs="Times New Roman"/>
          <w:lang w:val="en-US"/>
        </w:rPr>
        <w:t>festa</w:t>
      </w:r>
      <w:proofErr w:type="spellEnd"/>
      <w:r w:rsidRPr="00E53EE2">
        <w:rPr>
          <w:rFonts w:cs="Times New Roman"/>
          <w:lang w:val="en-US"/>
        </w:rPr>
        <w:t xml:space="preserve"> </w:t>
      </w:r>
      <w:proofErr w:type="spellStart"/>
      <w:r w:rsidRPr="00E53EE2">
        <w:rPr>
          <w:rFonts w:cs="Times New Roman"/>
          <w:lang w:val="en-US"/>
        </w:rPr>
        <w:t>ogni</w:t>
      </w:r>
      <w:proofErr w:type="spellEnd"/>
      <w:r w:rsidRPr="00E53EE2">
        <w:rPr>
          <w:rFonts w:cs="Times New Roman"/>
          <w:lang w:val="en-US"/>
        </w:rPr>
        <w:t xml:space="preserve"> </w:t>
      </w:r>
      <w:proofErr w:type="spellStart"/>
      <w:r w:rsidRPr="00E53EE2">
        <w:rPr>
          <w:rFonts w:cs="Times New Roman"/>
          <w:lang w:val="en-US"/>
        </w:rPr>
        <w:t>domenica</w:t>
      </w:r>
      <w:proofErr w:type="spellEnd"/>
      <w:r w:rsidRPr="00E53EE2">
        <w:rPr>
          <w:rFonts w:cs="Times New Roman"/>
          <w:lang w:val="en-US"/>
        </w:rPr>
        <w:t xml:space="preserve">: </w:t>
      </w:r>
      <w:proofErr w:type="spellStart"/>
      <w:r w:rsidRPr="00E53EE2">
        <w:rPr>
          <w:rFonts w:cs="Times New Roman"/>
          <w:lang w:val="en-US"/>
        </w:rPr>
        <w:t>abbivi</w:t>
      </w:r>
      <w:proofErr w:type="spellEnd"/>
      <w:r w:rsidRPr="00E53EE2">
        <w:rPr>
          <w:rFonts w:cs="Times New Roman"/>
          <w:lang w:val="en-US"/>
        </w:rPr>
        <w:t xml:space="preserve"> </w:t>
      </w:r>
      <w:proofErr w:type="spellStart"/>
      <w:r w:rsidRPr="00E53EE2">
        <w:rPr>
          <w:rFonts w:cs="Times New Roman"/>
          <w:lang w:val="en-US"/>
        </w:rPr>
        <w:t>tre</w:t>
      </w:r>
      <w:proofErr w:type="spellEnd"/>
      <w:r w:rsidRPr="00E53EE2">
        <w:rPr>
          <w:rFonts w:cs="Times New Roman"/>
          <w:lang w:val="en-US"/>
        </w:rPr>
        <w:t xml:space="preserve"> o quattro </w:t>
      </w:r>
      <w:proofErr w:type="spellStart"/>
      <w:r w:rsidRPr="00E53EE2">
        <w:rPr>
          <w:rFonts w:cs="Times New Roman"/>
          <w:lang w:val="en-US"/>
        </w:rPr>
        <w:t>dossaluzzi</w:t>
      </w:r>
      <w:proofErr w:type="spellEnd"/>
      <w:r w:rsidRPr="00E53EE2">
        <w:rPr>
          <w:rFonts w:cs="Times New Roman"/>
          <w:lang w:val="en-US"/>
        </w:rPr>
        <w:t xml:space="preserve"> </w:t>
      </w:r>
      <w:proofErr w:type="spellStart"/>
      <w:r w:rsidRPr="00E53EE2">
        <w:rPr>
          <w:rFonts w:cs="Times New Roman"/>
          <w:lang w:val="en-US"/>
        </w:rPr>
        <w:t>variati</w:t>
      </w:r>
      <w:proofErr w:type="spellEnd"/>
      <w:r w:rsidRPr="00E53EE2">
        <w:rPr>
          <w:rFonts w:cs="Times New Roman"/>
          <w:lang w:val="en-US"/>
        </w:rPr>
        <w:t xml:space="preserve">, ed </w:t>
      </w:r>
      <w:proofErr w:type="spellStart"/>
      <w:r w:rsidRPr="00E53EE2">
        <w:rPr>
          <w:rFonts w:cs="Times New Roman"/>
          <w:lang w:val="en-US"/>
        </w:rPr>
        <w:t>egli</w:t>
      </w:r>
      <w:proofErr w:type="spellEnd"/>
      <w:r w:rsidRPr="00E53EE2">
        <w:rPr>
          <w:rFonts w:cs="Times New Roman"/>
          <w:lang w:val="en-US"/>
        </w:rPr>
        <w:t xml:space="preserve">, o </w:t>
      </w:r>
      <w:proofErr w:type="spellStart"/>
      <w:r w:rsidRPr="00E53EE2">
        <w:rPr>
          <w:rFonts w:cs="Times New Roman"/>
          <w:lang w:val="en-US"/>
        </w:rPr>
        <w:t>più</w:t>
      </w:r>
      <w:proofErr w:type="spellEnd"/>
      <w:r w:rsidRPr="00E53EE2">
        <w:rPr>
          <w:rFonts w:cs="Times New Roman"/>
          <w:lang w:val="en-US"/>
        </w:rPr>
        <w:t xml:space="preserve"> ne </w:t>
      </w:r>
      <w:proofErr w:type="spellStart"/>
      <w:r w:rsidRPr="00E53EE2">
        <w:rPr>
          <w:rFonts w:cs="Times New Roman"/>
          <w:lang w:val="en-US"/>
        </w:rPr>
        <w:t>sieno</w:t>
      </w:r>
      <w:proofErr w:type="spellEnd"/>
      <w:r w:rsidRPr="00E53EE2">
        <w:rPr>
          <w:rFonts w:cs="Times New Roman"/>
          <w:lang w:val="en-US"/>
        </w:rPr>
        <w:t xml:space="preserve"> </w:t>
      </w:r>
      <w:proofErr w:type="spellStart"/>
      <w:r w:rsidRPr="00E53EE2">
        <w:rPr>
          <w:rFonts w:cs="Times New Roman"/>
          <w:lang w:val="en-US"/>
        </w:rPr>
        <w:t>sacrestani</w:t>
      </w:r>
      <w:proofErr w:type="spellEnd"/>
      <w:r w:rsidRPr="00E53EE2">
        <w:rPr>
          <w:rFonts w:cs="Times New Roman"/>
          <w:lang w:val="en-US"/>
        </w:rPr>
        <w:t xml:space="preserve">; </w:t>
      </w:r>
      <w:proofErr w:type="spellStart"/>
      <w:r w:rsidRPr="00E53EE2">
        <w:rPr>
          <w:rFonts w:cs="Times New Roman"/>
          <w:lang w:val="en-US"/>
        </w:rPr>
        <w:t>mostrando</w:t>
      </w:r>
      <w:proofErr w:type="spellEnd"/>
      <w:r w:rsidRPr="00E53EE2">
        <w:rPr>
          <w:rFonts w:cs="Times New Roman"/>
          <w:lang w:val="en-US"/>
        </w:rPr>
        <w:t xml:space="preserve"> </w:t>
      </w:r>
      <w:proofErr w:type="spellStart"/>
      <w:r w:rsidRPr="00E53EE2">
        <w:rPr>
          <w:rFonts w:cs="Times New Roman"/>
          <w:lang w:val="en-US"/>
        </w:rPr>
        <w:t>loro</w:t>
      </w:r>
      <w:proofErr w:type="spellEnd"/>
      <w:r w:rsidRPr="00E53EE2">
        <w:rPr>
          <w:rFonts w:cs="Times New Roman"/>
          <w:lang w:val="en-US"/>
        </w:rPr>
        <w:t xml:space="preserve"> come </w:t>
      </w:r>
      <w:proofErr w:type="spellStart"/>
      <w:r w:rsidRPr="00E53EE2">
        <w:rPr>
          <w:rFonts w:cs="Times New Roman"/>
          <w:lang w:val="en-US"/>
        </w:rPr>
        <w:t>ogni</w:t>
      </w:r>
      <w:proofErr w:type="spellEnd"/>
      <w:r w:rsidRPr="00E53EE2">
        <w:rPr>
          <w:rFonts w:cs="Times New Roman"/>
          <w:lang w:val="en-US"/>
        </w:rPr>
        <w:t xml:space="preserve"> </w:t>
      </w:r>
      <w:proofErr w:type="spellStart"/>
      <w:r w:rsidRPr="00E53EE2">
        <w:rPr>
          <w:rFonts w:cs="Times New Roman"/>
          <w:lang w:val="en-US"/>
        </w:rPr>
        <w:t>festa</w:t>
      </w:r>
      <w:proofErr w:type="spellEnd"/>
      <w:r w:rsidRPr="00E53EE2">
        <w:rPr>
          <w:rFonts w:cs="Times New Roman"/>
          <w:lang w:val="en-US"/>
        </w:rPr>
        <w:t xml:space="preserve"> </w:t>
      </w:r>
      <w:proofErr w:type="spellStart"/>
      <w:r w:rsidRPr="00E53EE2">
        <w:rPr>
          <w:rFonts w:cs="Times New Roman"/>
          <w:lang w:val="en-US"/>
        </w:rPr>
        <w:t>debbano</w:t>
      </w:r>
      <w:proofErr w:type="spellEnd"/>
      <w:r w:rsidRPr="00E53EE2">
        <w:rPr>
          <w:rFonts w:cs="Times New Roman"/>
          <w:lang w:val="en-US"/>
        </w:rPr>
        <w:t xml:space="preserve"> </w:t>
      </w:r>
      <w:proofErr w:type="spellStart"/>
      <w:r w:rsidRPr="00E53EE2">
        <w:rPr>
          <w:rFonts w:cs="Times New Roman"/>
          <w:lang w:val="en-US"/>
        </w:rPr>
        <w:t>variatamente</w:t>
      </w:r>
      <w:proofErr w:type="spellEnd"/>
      <w:r w:rsidRPr="00E53EE2">
        <w:rPr>
          <w:rFonts w:cs="Times New Roman"/>
          <w:lang w:val="en-US"/>
        </w:rPr>
        <w:t xml:space="preserve"> </w:t>
      </w:r>
      <w:proofErr w:type="spellStart"/>
      <w:r w:rsidRPr="00E53EE2">
        <w:rPr>
          <w:rFonts w:cs="Times New Roman"/>
          <w:lang w:val="en-US"/>
        </w:rPr>
        <w:t>adornare</w:t>
      </w:r>
      <w:proofErr w:type="spellEnd"/>
      <w:r w:rsidRPr="00E53EE2">
        <w:rPr>
          <w:rFonts w:cs="Times New Roman"/>
          <w:lang w:val="en-US"/>
        </w:rPr>
        <w:t xml:space="preserve"> </w:t>
      </w:r>
      <w:proofErr w:type="spellStart"/>
      <w:r w:rsidRPr="00E53EE2">
        <w:rPr>
          <w:rFonts w:cs="Times New Roman"/>
          <w:lang w:val="en-US"/>
        </w:rPr>
        <w:t>quella</w:t>
      </w:r>
      <w:proofErr w:type="spellEnd"/>
      <w:r w:rsidRPr="00E53EE2">
        <w:rPr>
          <w:rFonts w:cs="Times New Roman"/>
          <w:lang w:val="en-US"/>
        </w:rPr>
        <w:t xml:space="preserve"> </w:t>
      </w:r>
      <w:proofErr w:type="spellStart"/>
      <w:r w:rsidRPr="00E53EE2">
        <w:rPr>
          <w:rFonts w:cs="Times New Roman"/>
          <w:lang w:val="en-US"/>
        </w:rPr>
        <w:t>cappelluzza</w:t>
      </w:r>
      <w:proofErr w:type="spellEnd"/>
      <w:r w:rsidRPr="00E53EE2">
        <w:rPr>
          <w:rFonts w:cs="Times New Roman"/>
          <w:lang w:val="en-US"/>
        </w:rPr>
        <w:t xml:space="preserve">. Alcuna </w:t>
      </w:r>
      <w:proofErr w:type="spellStart"/>
      <w:r w:rsidRPr="00E53EE2">
        <w:rPr>
          <w:rFonts w:cs="Times New Roman"/>
          <w:lang w:val="en-US"/>
        </w:rPr>
        <w:t>volta</w:t>
      </w:r>
      <w:proofErr w:type="spellEnd"/>
      <w:r w:rsidRPr="00E53EE2">
        <w:rPr>
          <w:rFonts w:cs="Times New Roman"/>
          <w:lang w:val="en-US"/>
        </w:rPr>
        <w:t xml:space="preserve"> </w:t>
      </w:r>
      <w:proofErr w:type="spellStart"/>
      <w:r w:rsidRPr="00E53EE2">
        <w:rPr>
          <w:rFonts w:cs="Times New Roman"/>
          <w:lang w:val="en-US"/>
        </w:rPr>
        <w:t>saranno</w:t>
      </w:r>
      <w:proofErr w:type="spellEnd"/>
      <w:r w:rsidRPr="00E53EE2">
        <w:rPr>
          <w:rFonts w:cs="Times New Roman"/>
          <w:lang w:val="en-US"/>
        </w:rPr>
        <w:t xml:space="preserve"> </w:t>
      </w:r>
      <w:proofErr w:type="spellStart"/>
      <w:r w:rsidRPr="00E53EE2">
        <w:rPr>
          <w:rFonts w:cs="Times New Roman"/>
          <w:lang w:val="en-US"/>
        </w:rPr>
        <w:t>occupati</w:t>
      </w:r>
      <w:proofErr w:type="spellEnd"/>
      <w:r w:rsidRPr="00E53EE2">
        <w:rPr>
          <w:rFonts w:cs="Times New Roman"/>
          <w:lang w:val="en-US"/>
        </w:rPr>
        <w:t xml:space="preserve"> in fare </w:t>
      </w:r>
      <w:proofErr w:type="spellStart"/>
      <w:r w:rsidRPr="00E53EE2">
        <w:rPr>
          <w:rFonts w:cs="Times New Roman"/>
          <w:lang w:val="en-US"/>
        </w:rPr>
        <w:t>grillande</w:t>
      </w:r>
      <w:proofErr w:type="spellEnd"/>
      <w:r w:rsidRPr="00E53EE2">
        <w:rPr>
          <w:rFonts w:cs="Times New Roman"/>
          <w:lang w:val="en-US"/>
        </w:rPr>
        <w:t xml:space="preserve"> di </w:t>
      </w:r>
      <w:proofErr w:type="spellStart"/>
      <w:r w:rsidRPr="00E53EE2">
        <w:rPr>
          <w:rFonts w:cs="Times New Roman"/>
          <w:lang w:val="en-US"/>
        </w:rPr>
        <w:t>fiori</w:t>
      </w:r>
      <w:proofErr w:type="spellEnd"/>
      <w:r w:rsidRPr="00E53EE2">
        <w:rPr>
          <w:rFonts w:cs="Times New Roman"/>
          <w:lang w:val="en-US"/>
        </w:rPr>
        <w:t xml:space="preserve"> o </w:t>
      </w:r>
      <w:proofErr w:type="spellStart"/>
      <w:r w:rsidRPr="00E53EE2">
        <w:rPr>
          <w:rFonts w:cs="Times New Roman"/>
          <w:lang w:val="en-US"/>
        </w:rPr>
        <w:t>d’erbe</w:t>
      </w:r>
      <w:proofErr w:type="spellEnd"/>
      <w:r w:rsidRPr="00E53EE2">
        <w:rPr>
          <w:rFonts w:cs="Times New Roman"/>
          <w:lang w:val="en-US"/>
        </w:rPr>
        <w:t xml:space="preserve">, e </w:t>
      </w:r>
      <w:proofErr w:type="spellStart"/>
      <w:r w:rsidRPr="00E53EE2">
        <w:rPr>
          <w:rFonts w:cs="Times New Roman"/>
          <w:lang w:val="en-US"/>
        </w:rPr>
        <w:t>incoronare</w:t>
      </w:r>
      <w:proofErr w:type="spellEnd"/>
      <w:r w:rsidRPr="00E53EE2">
        <w:rPr>
          <w:rFonts w:cs="Times New Roman"/>
          <w:lang w:val="en-US"/>
        </w:rPr>
        <w:t xml:space="preserve"> </w:t>
      </w:r>
      <w:proofErr w:type="spellStart"/>
      <w:r w:rsidRPr="00E53EE2">
        <w:rPr>
          <w:rFonts w:cs="Times New Roman"/>
          <w:lang w:val="en-US"/>
        </w:rPr>
        <w:t>Iesu</w:t>
      </w:r>
      <w:proofErr w:type="spellEnd"/>
      <w:r w:rsidRPr="00E53EE2">
        <w:rPr>
          <w:rFonts w:cs="Times New Roman"/>
          <w:lang w:val="en-US"/>
        </w:rPr>
        <w:t xml:space="preserve">, </w:t>
      </w:r>
      <w:proofErr w:type="spellStart"/>
      <w:r w:rsidRPr="00E53EE2">
        <w:rPr>
          <w:rFonts w:cs="Times New Roman"/>
          <w:lang w:val="en-US"/>
        </w:rPr>
        <w:t>adorare</w:t>
      </w:r>
      <w:proofErr w:type="spellEnd"/>
      <w:r w:rsidRPr="00E53EE2">
        <w:rPr>
          <w:rFonts w:cs="Times New Roman"/>
          <w:lang w:val="en-US"/>
        </w:rPr>
        <w:t xml:space="preserve"> la </w:t>
      </w:r>
      <w:proofErr w:type="spellStart"/>
      <w:r w:rsidRPr="00E53EE2">
        <w:rPr>
          <w:rFonts w:cs="Times New Roman"/>
          <w:lang w:val="en-US"/>
        </w:rPr>
        <w:t>Vergine</w:t>
      </w:r>
      <w:proofErr w:type="spellEnd"/>
      <w:r w:rsidRPr="00E53EE2">
        <w:rPr>
          <w:rFonts w:cs="Times New Roman"/>
          <w:lang w:val="en-US"/>
        </w:rPr>
        <w:t xml:space="preserve"> Maria </w:t>
      </w:r>
      <w:proofErr w:type="spellStart"/>
      <w:r w:rsidRPr="00E53EE2">
        <w:rPr>
          <w:rFonts w:cs="Times New Roman"/>
          <w:lang w:val="en-US"/>
        </w:rPr>
        <w:t>dipinta</w:t>
      </w:r>
      <w:proofErr w:type="spellEnd"/>
      <w:r w:rsidRPr="00E53EE2">
        <w:rPr>
          <w:rFonts w:cs="Times New Roman"/>
          <w:lang w:val="en-US"/>
        </w:rPr>
        <w:t xml:space="preserve">, fare </w:t>
      </w:r>
      <w:proofErr w:type="spellStart"/>
      <w:r w:rsidRPr="00E53EE2">
        <w:rPr>
          <w:rFonts w:cs="Times New Roman"/>
          <w:lang w:val="en-US"/>
        </w:rPr>
        <w:t>candeluzze</w:t>
      </w:r>
      <w:proofErr w:type="spellEnd"/>
      <w:r w:rsidRPr="00E53EE2">
        <w:rPr>
          <w:rFonts w:cs="Times New Roman"/>
          <w:lang w:val="en-US"/>
        </w:rPr>
        <w:t xml:space="preserve"> … </w:t>
      </w:r>
      <w:proofErr w:type="spellStart"/>
      <w:r w:rsidRPr="00E53EE2">
        <w:rPr>
          <w:rFonts w:cs="Times New Roman"/>
          <w:lang w:val="en-US"/>
        </w:rPr>
        <w:t>cantinvi</w:t>
      </w:r>
      <w:proofErr w:type="spellEnd"/>
      <w:r w:rsidRPr="00E53EE2">
        <w:rPr>
          <w:rFonts w:cs="Times New Roman"/>
          <w:lang w:val="en-US"/>
        </w:rPr>
        <w:t xml:space="preserve"> come </w:t>
      </w:r>
      <w:proofErr w:type="spellStart"/>
      <w:r w:rsidRPr="00E53EE2">
        <w:rPr>
          <w:rFonts w:cs="Times New Roman"/>
          <w:lang w:val="en-US"/>
        </w:rPr>
        <w:t>sanno</w:t>
      </w:r>
      <w:proofErr w:type="spellEnd"/>
      <w:r w:rsidRPr="00E53EE2">
        <w:rPr>
          <w:rFonts w:cs="Times New Roman"/>
          <w:lang w:val="en-US"/>
        </w:rPr>
        <w:t xml:space="preserve">, </w:t>
      </w:r>
      <w:proofErr w:type="spellStart"/>
      <w:r w:rsidRPr="00E53EE2">
        <w:rPr>
          <w:rFonts w:cs="Times New Roman"/>
          <w:lang w:val="en-US"/>
        </w:rPr>
        <w:t>parinsi</w:t>
      </w:r>
      <w:proofErr w:type="spellEnd"/>
      <w:r w:rsidRPr="00E53EE2">
        <w:rPr>
          <w:rFonts w:cs="Times New Roman"/>
          <w:lang w:val="en-US"/>
        </w:rPr>
        <w:t xml:space="preserve"> a </w:t>
      </w:r>
      <w:proofErr w:type="spellStart"/>
      <w:r w:rsidRPr="00E53EE2">
        <w:rPr>
          <w:rFonts w:cs="Times New Roman"/>
          <w:lang w:val="en-US"/>
        </w:rPr>
        <w:t>dir</w:t>
      </w:r>
      <w:proofErr w:type="spellEnd"/>
      <w:r w:rsidRPr="00E53EE2">
        <w:rPr>
          <w:rFonts w:cs="Times New Roman"/>
          <w:lang w:val="en-US"/>
        </w:rPr>
        <w:t xml:space="preserve"> </w:t>
      </w:r>
      <w:proofErr w:type="spellStart"/>
      <w:r w:rsidRPr="00E53EE2">
        <w:rPr>
          <w:rFonts w:cs="Times New Roman"/>
          <w:lang w:val="en-US"/>
        </w:rPr>
        <w:t>messa</w:t>
      </w:r>
      <w:proofErr w:type="spellEnd"/>
      <w:r w:rsidRPr="00E53EE2">
        <w:rPr>
          <w:rFonts w:cs="Times New Roman"/>
          <w:lang w:val="en-US"/>
        </w:rPr>
        <w:t xml:space="preserve">.” Giovanni </w:t>
      </w:r>
      <w:proofErr w:type="spellStart"/>
      <w:r w:rsidRPr="00E53EE2">
        <w:rPr>
          <w:rFonts w:cs="Times New Roman"/>
          <w:lang w:val="en-US"/>
        </w:rPr>
        <w:t>Dominici</w:t>
      </w:r>
      <w:proofErr w:type="spellEnd"/>
      <w:r w:rsidRPr="00E53EE2">
        <w:rPr>
          <w:rFonts w:cs="Times New Roman"/>
          <w:lang w:val="en-US"/>
        </w:rPr>
        <w:t xml:space="preserve">, </w:t>
      </w:r>
      <w:proofErr w:type="spellStart"/>
      <w:r w:rsidRPr="00E53EE2">
        <w:rPr>
          <w:rFonts w:cs="Times New Roman"/>
          <w:i/>
          <w:iCs/>
          <w:lang w:val="en-US"/>
        </w:rPr>
        <w:t>Regola</w:t>
      </w:r>
      <w:proofErr w:type="spellEnd"/>
      <w:r w:rsidRPr="00E53EE2">
        <w:rPr>
          <w:rFonts w:cs="Times New Roman"/>
          <w:i/>
          <w:iCs/>
          <w:lang w:val="en-US"/>
        </w:rPr>
        <w:t xml:space="preserve"> Del </w:t>
      </w:r>
      <w:proofErr w:type="spellStart"/>
      <w:r w:rsidRPr="00E53EE2">
        <w:rPr>
          <w:rFonts w:cs="Times New Roman"/>
          <w:i/>
          <w:iCs/>
          <w:lang w:val="en-US"/>
        </w:rPr>
        <w:t>Governo</w:t>
      </w:r>
      <w:proofErr w:type="spellEnd"/>
      <w:r w:rsidRPr="00E53EE2">
        <w:rPr>
          <w:rFonts w:cs="Times New Roman"/>
          <w:i/>
          <w:iCs/>
          <w:lang w:val="en-US"/>
        </w:rPr>
        <w:t xml:space="preserve"> Di </w:t>
      </w:r>
      <w:proofErr w:type="spellStart"/>
      <w:r w:rsidRPr="00E53EE2">
        <w:rPr>
          <w:rFonts w:cs="Times New Roman"/>
          <w:i/>
          <w:iCs/>
          <w:lang w:val="en-US"/>
        </w:rPr>
        <w:t>Cura</w:t>
      </w:r>
      <w:proofErr w:type="spellEnd"/>
      <w:r w:rsidRPr="00E53EE2">
        <w:rPr>
          <w:rFonts w:cs="Times New Roman"/>
          <w:i/>
          <w:iCs/>
          <w:lang w:val="en-US"/>
        </w:rPr>
        <w:t xml:space="preserve"> </w:t>
      </w:r>
      <w:proofErr w:type="spellStart"/>
      <w:r w:rsidRPr="00E53EE2">
        <w:rPr>
          <w:rFonts w:cs="Times New Roman"/>
          <w:i/>
          <w:iCs/>
          <w:lang w:val="en-US"/>
        </w:rPr>
        <w:t>Familiare</w:t>
      </w:r>
      <w:proofErr w:type="spellEnd"/>
      <w:r w:rsidRPr="00E53EE2">
        <w:rPr>
          <w:rFonts w:cs="Times New Roman"/>
          <w:lang w:val="en-US"/>
        </w:rPr>
        <w:t xml:space="preserve">, ed. Donato Salvi (Florence: </w:t>
      </w:r>
      <w:proofErr w:type="spellStart"/>
      <w:r w:rsidRPr="00E53EE2">
        <w:rPr>
          <w:rFonts w:cs="Times New Roman"/>
          <w:lang w:val="en-US"/>
        </w:rPr>
        <w:t>Angiolo</w:t>
      </w:r>
      <w:proofErr w:type="spellEnd"/>
      <w:r w:rsidRPr="00E53EE2">
        <w:rPr>
          <w:rFonts w:cs="Times New Roman"/>
          <w:lang w:val="en-US"/>
        </w:rPr>
        <w:t xml:space="preserve"> </w:t>
      </w:r>
      <w:proofErr w:type="spellStart"/>
      <w:r w:rsidRPr="00E53EE2">
        <w:rPr>
          <w:rFonts w:cs="Times New Roman"/>
          <w:lang w:val="en-US"/>
        </w:rPr>
        <w:t>Garinei</w:t>
      </w:r>
      <w:proofErr w:type="spellEnd"/>
      <w:r w:rsidRPr="00E53EE2">
        <w:rPr>
          <w:rFonts w:cs="Times New Roman"/>
          <w:lang w:val="en-US"/>
        </w:rPr>
        <w:t xml:space="preserve"> </w:t>
      </w:r>
      <w:proofErr w:type="spellStart"/>
      <w:r w:rsidRPr="00E53EE2">
        <w:rPr>
          <w:rFonts w:cs="Times New Roman"/>
          <w:lang w:val="en-US"/>
        </w:rPr>
        <w:t>Libraio</w:t>
      </w:r>
      <w:proofErr w:type="spellEnd"/>
      <w:r w:rsidRPr="00E53EE2">
        <w:rPr>
          <w:rFonts w:cs="Times New Roman"/>
          <w:lang w:val="en-US"/>
        </w:rPr>
        <w:t xml:space="preserve">, 1860), 146; </w:t>
      </w:r>
      <w:proofErr w:type="spellStart"/>
      <w:r w:rsidRPr="00E53EE2">
        <w:rPr>
          <w:rFonts w:cs="Times New Roman"/>
          <w:lang w:val="en-US"/>
        </w:rPr>
        <w:t>Musacchio</w:t>
      </w:r>
      <w:proofErr w:type="spellEnd"/>
      <w:r w:rsidRPr="00E53EE2">
        <w:rPr>
          <w:rFonts w:cs="Times New Roman"/>
          <w:lang w:val="en-US"/>
        </w:rPr>
        <w:t xml:space="preserve">, “The Madonna and Child,” 155; Cooper, “Devotion,” 202; a slightly different translation can be found in Maya Corry, “Delight in Painted Companions: Shaping the Soul from Birth in Early Modern Italy,” in </w:t>
      </w:r>
      <w:r w:rsidRPr="00E53EE2">
        <w:rPr>
          <w:rFonts w:cs="Times New Roman"/>
          <w:i/>
          <w:iCs/>
          <w:lang w:val="en-US"/>
        </w:rPr>
        <w:t>Domestic Devotions in Early Modern Italy</w:t>
      </w:r>
      <w:r w:rsidRPr="00E53EE2">
        <w:rPr>
          <w:rFonts w:cs="Times New Roman"/>
          <w:lang w:val="en-US"/>
        </w:rPr>
        <w:t xml:space="preserve">, ed. Maya Corry, Marco </w:t>
      </w:r>
      <w:proofErr w:type="spellStart"/>
      <w:r w:rsidRPr="00E53EE2">
        <w:rPr>
          <w:rFonts w:cs="Times New Roman"/>
          <w:lang w:val="en-US"/>
        </w:rPr>
        <w:t>Faini</w:t>
      </w:r>
      <w:proofErr w:type="spellEnd"/>
      <w:r w:rsidRPr="00E53EE2">
        <w:rPr>
          <w:rFonts w:cs="Times New Roman"/>
          <w:lang w:val="en-US"/>
        </w:rPr>
        <w:t xml:space="preserve">, and Alessia </w:t>
      </w:r>
      <w:proofErr w:type="spellStart"/>
      <w:r w:rsidRPr="00E53EE2">
        <w:rPr>
          <w:rFonts w:cs="Times New Roman"/>
          <w:lang w:val="en-US"/>
        </w:rPr>
        <w:t>Meneghin</w:t>
      </w:r>
      <w:proofErr w:type="spellEnd"/>
      <w:r w:rsidRPr="00E53EE2">
        <w:rPr>
          <w:rFonts w:cs="Times New Roman"/>
          <w:lang w:val="en-US"/>
        </w:rPr>
        <w:t xml:space="preserve"> (Leiden and Boston: Brill, 2018), 319.</w:t>
      </w:r>
    </w:p>
  </w:footnote>
  <w:footnote w:id="718">
    <w:p w14:paraId="43921091" w14:textId="77777777" w:rsidR="00182EED" w:rsidRDefault="00182EED" w:rsidP="00310CB2">
      <w:pPr>
        <w:pStyle w:val="FootnoteText"/>
      </w:pPr>
      <w:r w:rsidRPr="00D72450">
        <w:rPr>
          <w:rStyle w:val="FootnoteReference"/>
        </w:rPr>
        <w:footnoteRef/>
      </w:r>
      <w:r>
        <w:t xml:space="preserve"> </w:t>
      </w:r>
      <w:proofErr w:type="spellStart"/>
      <w:r w:rsidRPr="00E53EE2">
        <w:rPr>
          <w:rFonts w:cs="Times New Roman"/>
          <w:lang w:val="en-US"/>
        </w:rPr>
        <w:t>Klapisch</w:t>
      </w:r>
      <w:proofErr w:type="spellEnd"/>
      <w:r w:rsidRPr="00E53EE2">
        <w:rPr>
          <w:rFonts w:cs="Times New Roman"/>
          <w:lang w:val="en-US"/>
        </w:rPr>
        <w:t xml:space="preserve">-Zuber, </w:t>
      </w:r>
      <w:r w:rsidRPr="00E53EE2">
        <w:rPr>
          <w:rFonts w:cs="Times New Roman"/>
          <w:i/>
          <w:iCs/>
          <w:lang w:val="en-US"/>
        </w:rPr>
        <w:t>Women, Family, and Ritual</w:t>
      </w:r>
      <w:r w:rsidRPr="00E53EE2">
        <w:rPr>
          <w:rFonts w:cs="Times New Roman"/>
          <w:lang w:val="en-US"/>
        </w:rPr>
        <w:t>, 322.</w:t>
      </w:r>
    </w:p>
  </w:footnote>
  <w:footnote w:id="719">
    <w:p w14:paraId="5592603E" w14:textId="77777777" w:rsidR="00182EED" w:rsidRDefault="00182EED" w:rsidP="00310CB2">
      <w:pPr>
        <w:pStyle w:val="FootnoteText"/>
      </w:pPr>
      <w:r w:rsidRPr="00D72450">
        <w:rPr>
          <w:rStyle w:val="FootnoteReference"/>
        </w:rPr>
        <w:footnoteRef/>
      </w:r>
      <w:r>
        <w:t xml:space="preserve"> </w:t>
      </w:r>
      <w:r w:rsidRPr="00E53EE2">
        <w:rPr>
          <w:rFonts w:cs="Times New Roman"/>
          <w:lang w:val="en-US"/>
        </w:rPr>
        <w:t>“</w:t>
      </w:r>
      <w:proofErr w:type="spellStart"/>
      <w:r w:rsidRPr="00E53EE2">
        <w:rPr>
          <w:rFonts w:cs="Times New Roman"/>
          <w:lang w:val="en-US"/>
        </w:rPr>
        <w:t>Fateve</w:t>
      </w:r>
      <w:proofErr w:type="spellEnd"/>
      <w:r w:rsidRPr="00E53EE2">
        <w:rPr>
          <w:rFonts w:cs="Times New Roman"/>
          <w:lang w:val="en-US"/>
        </w:rPr>
        <w:t xml:space="preserve"> </w:t>
      </w:r>
      <w:proofErr w:type="spellStart"/>
      <w:r w:rsidRPr="00E53EE2">
        <w:rPr>
          <w:rFonts w:cs="Times New Roman"/>
          <w:lang w:val="en-US"/>
        </w:rPr>
        <w:t>uno</w:t>
      </w:r>
      <w:proofErr w:type="spellEnd"/>
      <w:r w:rsidRPr="00E53EE2">
        <w:rPr>
          <w:rFonts w:cs="Times New Roman"/>
          <w:lang w:val="en-US"/>
        </w:rPr>
        <w:t xml:space="preserve"> </w:t>
      </w:r>
      <w:proofErr w:type="spellStart"/>
      <w:r w:rsidRPr="00E53EE2">
        <w:rPr>
          <w:rFonts w:cs="Times New Roman"/>
          <w:lang w:val="en-US"/>
        </w:rPr>
        <w:t>altarolo</w:t>
      </w:r>
      <w:proofErr w:type="spellEnd"/>
      <w:r w:rsidRPr="00E53EE2">
        <w:rPr>
          <w:rFonts w:cs="Times New Roman"/>
          <w:lang w:val="en-US"/>
        </w:rPr>
        <w:t xml:space="preserve"> </w:t>
      </w:r>
      <w:proofErr w:type="spellStart"/>
      <w:r w:rsidRPr="00E53EE2">
        <w:rPr>
          <w:rFonts w:cs="Times New Roman"/>
          <w:lang w:val="en-US"/>
        </w:rPr>
        <w:t>elquale</w:t>
      </w:r>
      <w:proofErr w:type="spellEnd"/>
      <w:r w:rsidRPr="00E53EE2">
        <w:rPr>
          <w:rFonts w:cs="Times New Roman"/>
          <w:lang w:val="en-US"/>
        </w:rPr>
        <w:t xml:space="preserve"> </w:t>
      </w:r>
      <w:proofErr w:type="spellStart"/>
      <w:r w:rsidRPr="00E53EE2">
        <w:rPr>
          <w:rFonts w:cs="Times New Roman"/>
          <w:lang w:val="en-US"/>
        </w:rPr>
        <w:t>delectateve</w:t>
      </w:r>
      <w:proofErr w:type="spellEnd"/>
      <w:r w:rsidRPr="00E53EE2">
        <w:rPr>
          <w:rFonts w:cs="Times New Roman"/>
          <w:lang w:val="en-US"/>
        </w:rPr>
        <w:t xml:space="preserve"> </w:t>
      </w:r>
      <w:proofErr w:type="spellStart"/>
      <w:r w:rsidRPr="00E53EE2">
        <w:rPr>
          <w:rFonts w:cs="Times New Roman"/>
          <w:lang w:val="en-US"/>
        </w:rPr>
        <w:t>adornar</w:t>
      </w:r>
      <w:proofErr w:type="spellEnd"/>
      <w:r w:rsidRPr="00E53EE2">
        <w:rPr>
          <w:rFonts w:cs="Times New Roman"/>
          <w:lang w:val="en-US"/>
        </w:rPr>
        <w:t xml:space="preserve"> de belle imagine &amp; devote: cu[m] belli </w:t>
      </w:r>
      <w:proofErr w:type="spellStart"/>
      <w:r w:rsidRPr="00E53EE2">
        <w:rPr>
          <w:rFonts w:cs="Times New Roman"/>
          <w:lang w:val="en-US"/>
        </w:rPr>
        <w:t>ornamenti</w:t>
      </w:r>
      <w:proofErr w:type="spellEnd"/>
      <w:r w:rsidRPr="00E53EE2">
        <w:rPr>
          <w:rFonts w:cs="Times New Roman"/>
          <w:lang w:val="en-US"/>
        </w:rPr>
        <w:t xml:space="preserve"> o de </w:t>
      </w:r>
      <w:proofErr w:type="spellStart"/>
      <w:r w:rsidRPr="00E53EE2">
        <w:rPr>
          <w:rFonts w:cs="Times New Roman"/>
          <w:lang w:val="en-US"/>
        </w:rPr>
        <w:t>recami</w:t>
      </w:r>
      <w:proofErr w:type="spellEnd"/>
      <w:r w:rsidRPr="00E53EE2">
        <w:rPr>
          <w:rFonts w:cs="Times New Roman"/>
          <w:lang w:val="en-US"/>
        </w:rPr>
        <w:t xml:space="preserve"> over de </w:t>
      </w:r>
      <w:proofErr w:type="spellStart"/>
      <w:r w:rsidRPr="00E53EE2">
        <w:rPr>
          <w:rFonts w:cs="Times New Roman"/>
          <w:lang w:val="en-US"/>
        </w:rPr>
        <w:t>staii</w:t>
      </w:r>
      <w:proofErr w:type="spellEnd"/>
      <w:r w:rsidRPr="00E53EE2">
        <w:rPr>
          <w:rFonts w:cs="Times New Roman"/>
          <w:lang w:val="en-US"/>
        </w:rPr>
        <w:t xml:space="preserve"> de </w:t>
      </w:r>
      <w:proofErr w:type="spellStart"/>
      <w:r w:rsidRPr="00E53EE2">
        <w:rPr>
          <w:rFonts w:cs="Times New Roman"/>
          <w:lang w:val="en-US"/>
        </w:rPr>
        <w:t>vostra</w:t>
      </w:r>
      <w:proofErr w:type="spellEnd"/>
      <w:r w:rsidRPr="00E53EE2">
        <w:rPr>
          <w:rFonts w:cs="Times New Roman"/>
          <w:lang w:val="en-US"/>
        </w:rPr>
        <w:t xml:space="preserve"> man.” Nicolas Jenson, </w:t>
      </w:r>
      <w:r w:rsidRPr="00E53EE2">
        <w:rPr>
          <w:rFonts w:cs="Times New Roman"/>
          <w:i/>
          <w:iCs/>
          <w:lang w:val="en-US"/>
        </w:rPr>
        <w:t xml:space="preserve">Decor </w:t>
      </w:r>
      <w:proofErr w:type="spellStart"/>
      <w:r w:rsidRPr="00E53EE2">
        <w:rPr>
          <w:rFonts w:cs="Times New Roman"/>
          <w:i/>
          <w:iCs/>
          <w:lang w:val="en-US"/>
        </w:rPr>
        <w:t>Puellarum</w:t>
      </w:r>
      <w:proofErr w:type="spellEnd"/>
      <w:r w:rsidRPr="00E53EE2">
        <w:rPr>
          <w:rFonts w:cs="Times New Roman"/>
          <w:lang w:val="en-US"/>
        </w:rPr>
        <w:t xml:space="preserve"> (</w:t>
      </w:r>
      <w:proofErr w:type="spellStart"/>
      <w:r w:rsidRPr="00E53EE2">
        <w:rPr>
          <w:rFonts w:cs="Times New Roman"/>
          <w:lang w:val="en-US"/>
        </w:rPr>
        <w:t>ms</w:t>
      </w:r>
      <w:proofErr w:type="spellEnd"/>
      <w:r w:rsidRPr="00E53EE2">
        <w:rPr>
          <w:rFonts w:cs="Times New Roman"/>
          <w:lang w:val="en-US"/>
        </w:rPr>
        <w:t xml:space="preserve"> in </w:t>
      </w:r>
      <w:proofErr w:type="spellStart"/>
      <w:r w:rsidRPr="00E53EE2">
        <w:rPr>
          <w:rFonts w:cs="Times New Roman"/>
          <w:lang w:val="en-US"/>
        </w:rPr>
        <w:t>Biblioteca</w:t>
      </w:r>
      <w:proofErr w:type="spellEnd"/>
      <w:r w:rsidRPr="00E53EE2">
        <w:rPr>
          <w:rFonts w:cs="Times New Roman"/>
          <w:lang w:val="en-US"/>
        </w:rPr>
        <w:t xml:space="preserve"> Nazionale Centrale di Firenze, 1471), 44r, https://archive.org/details/ita-bnc-in2-00002284-001; English translation from </w:t>
      </w:r>
      <w:proofErr w:type="spellStart"/>
      <w:r w:rsidRPr="00E53EE2">
        <w:rPr>
          <w:rFonts w:cs="Times New Roman"/>
          <w:lang w:val="en-US"/>
        </w:rPr>
        <w:t>Brundin</w:t>
      </w:r>
      <w:proofErr w:type="spellEnd"/>
      <w:r w:rsidRPr="00E53EE2">
        <w:rPr>
          <w:rFonts w:cs="Times New Roman"/>
          <w:lang w:val="en-US"/>
        </w:rPr>
        <w:t xml:space="preserve">, Howard, and </w:t>
      </w:r>
      <w:proofErr w:type="spellStart"/>
      <w:r w:rsidRPr="00E53EE2">
        <w:rPr>
          <w:rFonts w:cs="Times New Roman"/>
          <w:lang w:val="en-US"/>
        </w:rPr>
        <w:t>Laven</w:t>
      </w:r>
      <w:proofErr w:type="spellEnd"/>
      <w:r w:rsidRPr="00E53EE2">
        <w:rPr>
          <w:rFonts w:cs="Times New Roman"/>
          <w:lang w:val="en-US"/>
        </w:rPr>
        <w:t xml:space="preserve">, </w:t>
      </w:r>
      <w:r w:rsidRPr="00E53EE2">
        <w:rPr>
          <w:rFonts w:cs="Times New Roman"/>
          <w:i/>
          <w:iCs/>
          <w:lang w:val="en-US"/>
        </w:rPr>
        <w:t>The Sacred Home in Renaissance Italy</w:t>
      </w:r>
      <w:r w:rsidRPr="00E53EE2">
        <w:rPr>
          <w:rFonts w:cs="Times New Roman"/>
          <w:lang w:val="en-US"/>
        </w:rPr>
        <w:t>, 86; see also Corry, “Delight in Painted Companions,” 319.</w:t>
      </w:r>
    </w:p>
  </w:footnote>
  <w:footnote w:id="720">
    <w:p w14:paraId="6B8314FF" w14:textId="77777777" w:rsidR="00182EED" w:rsidRDefault="00182EED" w:rsidP="00310CB2">
      <w:pPr>
        <w:pStyle w:val="FootnoteText"/>
      </w:pPr>
      <w:r w:rsidRPr="00D72450">
        <w:rPr>
          <w:rStyle w:val="FootnoteReference"/>
        </w:rPr>
        <w:footnoteRef/>
      </w:r>
      <w:r>
        <w:t xml:space="preserve"> </w:t>
      </w:r>
      <w:r w:rsidRPr="00E53EE2">
        <w:rPr>
          <w:rFonts w:cs="Times New Roman"/>
          <w:lang w:val="en-US"/>
        </w:rPr>
        <w:t xml:space="preserve">Marilyn Aronberg Lavin, “Piero’s Meditation on the Nativity,” in </w:t>
      </w:r>
      <w:r w:rsidRPr="00E53EE2">
        <w:rPr>
          <w:rFonts w:cs="Times New Roman"/>
          <w:i/>
          <w:iCs/>
          <w:lang w:val="en-US"/>
        </w:rPr>
        <w:t>Piero Della Francesca and His Legacy</w:t>
      </w:r>
      <w:r w:rsidRPr="00E53EE2">
        <w:rPr>
          <w:rFonts w:cs="Times New Roman"/>
          <w:lang w:val="en-US"/>
        </w:rPr>
        <w:t xml:space="preserve">, ed. Marilyn Aronberg Lavin (Washington, D.C.; London; Hanover, N.H.: National Gallery of </w:t>
      </w:r>
      <w:r w:rsidRPr="00E53EE2">
        <w:rPr>
          <w:rFonts w:cs="Times New Roman"/>
          <w:lang w:val="en-US"/>
        </w:rPr>
        <w:t>Art ; Distributed by the University Press of New England, 1995), 127.</w:t>
      </w:r>
    </w:p>
  </w:footnote>
  <w:footnote w:id="721">
    <w:p w14:paraId="1EC958C0" w14:textId="77777777" w:rsidR="00182EED" w:rsidRDefault="00182EED" w:rsidP="00310CB2">
      <w:pPr>
        <w:pStyle w:val="FootnoteText"/>
      </w:pPr>
      <w:r w:rsidRPr="00D72450">
        <w:rPr>
          <w:rStyle w:val="FootnoteReference"/>
        </w:rPr>
        <w:footnoteRef/>
      </w:r>
      <w:r>
        <w:t xml:space="preserve"> </w:t>
      </w:r>
      <w:r w:rsidRPr="00E53EE2">
        <w:rPr>
          <w:rFonts w:cs="Times New Roman"/>
          <w:lang w:val="en-US"/>
        </w:rPr>
        <w:t xml:space="preserve">John Drury, </w:t>
      </w:r>
      <w:r w:rsidRPr="00E53EE2">
        <w:rPr>
          <w:rFonts w:cs="Times New Roman"/>
          <w:i/>
          <w:iCs/>
          <w:lang w:val="en-US"/>
        </w:rPr>
        <w:t>Painting the Word: Christian Pictures and Their Meanings</w:t>
      </w:r>
      <w:r w:rsidRPr="00E53EE2">
        <w:rPr>
          <w:rFonts w:cs="Times New Roman"/>
          <w:lang w:val="en-US"/>
        </w:rPr>
        <w:t xml:space="preserve"> (London and New Haven: Yale University Press, 2000), 78; James R Banker, </w:t>
      </w:r>
      <w:r w:rsidRPr="00E53EE2">
        <w:rPr>
          <w:rFonts w:cs="Times New Roman"/>
          <w:i/>
          <w:iCs/>
          <w:lang w:val="en-US"/>
        </w:rPr>
        <w:t>Piero Della Francesca: Artist and Man</w:t>
      </w:r>
      <w:r w:rsidRPr="00E53EE2">
        <w:rPr>
          <w:rFonts w:cs="Times New Roman"/>
          <w:lang w:val="en-US"/>
        </w:rPr>
        <w:t xml:space="preserve"> (Oxford: Oxford University Press, 2014), 205.</w:t>
      </w:r>
    </w:p>
  </w:footnote>
  <w:footnote w:id="722">
    <w:p w14:paraId="2D5E769F" w14:textId="77777777" w:rsidR="00182EED" w:rsidRDefault="00182EED" w:rsidP="00310CB2">
      <w:pPr>
        <w:pStyle w:val="FootnoteText"/>
      </w:pPr>
      <w:r w:rsidRPr="00D72450">
        <w:rPr>
          <w:rStyle w:val="FootnoteReference"/>
        </w:rPr>
        <w:footnoteRef/>
      </w:r>
      <w:r>
        <w:t xml:space="preserve"> </w:t>
      </w:r>
      <w:proofErr w:type="spellStart"/>
      <w:r w:rsidRPr="00E53EE2">
        <w:rPr>
          <w:rFonts w:cs="Times New Roman"/>
          <w:lang w:val="en-US"/>
        </w:rPr>
        <w:t>Lionello</w:t>
      </w:r>
      <w:proofErr w:type="spellEnd"/>
      <w:r w:rsidRPr="00E53EE2">
        <w:rPr>
          <w:rFonts w:cs="Times New Roman"/>
          <w:lang w:val="en-US"/>
        </w:rPr>
        <w:t xml:space="preserve"> Venturi, </w:t>
      </w:r>
      <w:r w:rsidRPr="00E53EE2">
        <w:rPr>
          <w:rFonts w:cs="Times New Roman"/>
          <w:i/>
          <w:iCs/>
          <w:lang w:val="en-US"/>
        </w:rPr>
        <w:t>Piero Della Francesca: Biographical and Critical Studies</w:t>
      </w:r>
      <w:r w:rsidRPr="00E53EE2">
        <w:rPr>
          <w:rFonts w:cs="Times New Roman"/>
          <w:lang w:val="en-US"/>
        </w:rPr>
        <w:t xml:space="preserve">, trans. James Emmons (Lausanne: </w:t>
      </w:r>
      <w:proofErr w:type="spellStart"/>
      <w:r w:rsidRPr="00E53EE2">
        <w:rPr>
          <w:rFonts w:cs="Times New Roman"/>
          <w:lang w:val="en-US"/>
        </w:rPr>
        <w:t>Skira</w:t>
      </w:r>
      <w:proofErr w:type="spellEnd"/>
      <w:r w:rsidRPr="00E53EE2">
        <w:rPr>
          <w:rFonts w:cs="Times New Roman"/>
          <w:lang w:val="en-US"/>
        </w:rPr>
        <w:t>, 1955), 107; Lavin, “Piero’s Meditation on the Nativity,” 128.</w:t>
      </w:r>
    </w:p>
  </w:footnote>
  <w:footnote w:id="723">
    <w:p w14:paraId="1BF9866F" w14:textId="77777777" w:rsidR="00182EED" w:rsidRPr="00EA64B2" w:rsidRDefault="00182EED" w:rsidP="00310CB2">
      <w:pPr>
        <w:pStyle w:val="FootnoteText"/>
      </w:pPr>
      <w:r w:rsidRPr="00D72450">
        <w:rPr>
          <w:rStyle w:val="FootnoteReference"/>
        </w:rPr>
        <w:footnoteRef/>
      </w:r>
      <w:r w:rsidRPr="00EA64B2">
        <w:t xml:space="preserve"> Aronberg Lavin, “Piero’s Meditation on the Nativity”, 131.</w:t>
      </w:r>
    </w:p>
  </w:footnote>
  <w:footnote w:id="724">
    <w:p w14:paraId="4EA70D8A" w14:textId="77777777" w:rsidR="00182EED" w:rsidRDefault="00182EED" w:rsidP="00310CB2">
      <w:pPr>
        <w:pStyle w:val="FootnoteText"/>
      </w:pPr>
      <w:r w:rsidRPr="00D72450">
        <w:rPr>
          <w:rStyle w:val="FootnoteReference"/>
        </w:rPr>
        <w:footnoteRef/>
      </w:r>
      <w:r>
        <w:t xml:space="preserve"> </w:t>
      </w:r>
      <w:r w:rsidRPr="00E53EE2">
        <w:rPr>
          <w:rFonts w:cs="Times New Roman"/>
          <w:lang w:val="en-US"/>
        </w:rPr>
        <w:t xml:space="preserve">Venturi, </w:t>
      </w:r>
      <w:r w:rsidRPr="00E53EE2">
        <w:rPr>
          <w:rFonts w:cs="Times New Roman"/>
          <w:i/>
          <w:iCs/>
          <w:lang w:val="en-US"/>
        </w:rPr>
        <w:t>Piero Della Francesca</w:t>
      </w:r>
      <w:r w:rsidRPr="00E53EE2">
        <w:rPr>
          <w:rFonts w:cs="Times New Roman"/>
          <w:lang w:val="en-US"/>
        </w:rPr>
        <w:t>, 104; Lavin, “Piero’s Meditation on the Nativity,” 131.</w:t>
      </w:r>
    </w:p>
  </w:footnote>
  <w:footnote w:id="725">
    <w:p w14:paraId="79BF5054" w14:textId="77777777" w:rsidR="00182EED" w:rsidRDefault="00182EED" w:rsidP="00310CB2">
      <w:pPr>
        <w:pStyle w:val="FootnoteText"/>
      </w:pPr>
      <w:r w:rsidRPr="00D72450">
        <w:rPr>
          <w:rStyle w:val="FootnoteReference"/>
        </w:rPr>
        <w:footnoteRef/>
      </w:r>
      <w:r>
        <w:t xml:space="preserve"> </w:t>
      </w:r>
      <w:r w:rsidRPr="00E53EE2">
        <w:rPr>
          <w:rFonts w:cs="Times New Roman"/>
          <w:lang w:val="en-US"/>
        </w:rPr>
        <w:t xml:space="preserve">Lavin, “Piero’s Meditation on the Nativity,” 127; Banker, </w:t>
      </w:r>
      <w:r w:rsidRPr="00E53EE2">
        <w:rPr>
          <w:rFonts w:cs="Times New Roman"/>
          <w:i/>
          <w:iCs/>
          <w:lang w:val="en-US"/>
        </w:rPr>
        <w:t>Piero Della Francesca</w:t>
      </w:r>
      <w:r w:rsidRPr="00E53EE2">
        <w:rPr>
          <w:rFonts w:cs="Times New Roman"/>
          <w:lang w:val="en-US"/>
        </w:rPr>
        <w:t>, 206.</w:t>
      </w:r>
    </w:p>
  </w:footnote>
  <w:footnote w:id="726">
    <w:p w14:paraId="3B79A79E" w14:textId="77777777" w:rsidR="00182EED" w:rsidRDefault="00182EED" w:rsidP="00310CB2">
      <w:pPr>
        <w:pStyle w:val="FootnoteText"/>
      </w:pPr>
      <w:r w:rsidRPr="00D72450">
        <w:rPr>
          <w:rStyle w:val="FootnoteReference"/>
        </w:rPr>
        <w:footnoteRef/>
      </w:r>
      <w:r>
        <w:t xml:space="preserve"> </w:t>
      </w:r>
      <w:r w:rsidRPr="00E53EE2">
        <w:rPr>
          <w:rFonts w:cs="Times New Roman"/>
          <w:lang w:val="en-US"/>
        </w:rPr>
        <w:t>Lavin, “Piero’s Meditation on the Nativity,” 131.</w:t>
      </w:r>
    </w:p>
  </w:footnote>
  <w:footnote w:id="727">
    <w:p w14:paraId="4520310A" w14:textId="77777777" w:rsidR="00182EED" w:rsidRDefault="00182EED" w:rsidP="00310CB2">
      <w:pPr>
        <w:pStyle w:val="FootnoteText"/>
      </w:pPr>
      <w:r w:rsidRPr="00D72450">
        <w:rPr>
          <w:rStyle w:val="FootnoteReference"/>
        </w:rPr>
        <w:footnoteRef/>
      </w:r>
      <w:r>
        <w:t xml:space="preserve"> </w:t>
      </w:r>
      <w:r w:rsidRPr="00E53EE2">
        <w:rPr>
          <w:rFonts w:cs="Times New Roman"/>
          <w:lang w:val="en-US"/>
        </w:rPr>
        <w:t xml:space="preserve">Ellen </w:t>
      </w:r>
      <w:proofErr w:type="spellStart"/>
      <w:r w:rsidRPr="00E53EE2">
        <w:rPr>
          <w:rFonts w:cs="Times New Roman"/>
          <w:lang w:val="en-US"/>
        </w:rPr>
        <w:t>Callmann</w:t>
      </w:r>
      <w:proofErr w:type="spellEnd"/>
      <w:r w:rsidRPr="00E53EE2">
        <w:rPr>
          <w:rFonts w:cs="Times New Roman"/>
          <w:lang w:val="en-US"/>
        </w:rPr>
        <w:t xml:space="preserve">, “Apollonio Di Giovanni and Painting for the Early Renaissance Room,” </w:t>
      </w:r>
      <w:proofErr w:type="spellStart"/>
      <w:r w:rsidRPr="00E53EE2">
        <w:rPr>
          <w:rFonts w:cs="Times New Roman"/>
          <w:i/>
          <w:iCs/>
          <w:lang w:val="en-US"/>
        </w:rPr>
        <w:t>Antichità</w:t>
      </w:r>
      <w:proofErr w:type="spellEnd"/>
      <w:r w:rsidRPr="00E53EE2">
        <w:rPr>
          <w:rFonts w:cs="Times New Roman"/>
          <w:i/>
          <w:iCs/>
          <w:lang w:val="en-US"/>
        </w:rPr>
        <w:t xml:space="preserve"> Viva</w:t>
      </w:r>
      <w:r w:rsidRPr="00E53EE2">
        <w:rPr>
          <w:rFonts w:cs="Times New Roman"/>
          <w:lang w:val="en-US"/>
        </w:rPr>
        <w:t xml:space="preserve"> XXVII, no. 3–4 (1988): 5.</w:t>
      </w:r>
    </w:p>
  </w:footnote>
  <w:footnote w:id="728">
    <w:p w14:paraId="7F0621E6" w14:textId="77777777" w:rsidR="00182EED" w:rsidRDefault="00182EED" w:rsidP="00310CB2">
      <w:pPr>
        <w:pStyle w:val="FootnoteText"/>
      </w:pPr>
      <w:r w:rsidRPr="00D72450">
        <w:rPr>
          <w:rStyle w:val="FootnoteReference"/>
        </w:rPr>
        <w:footnoteRef/>
      </w:r>
      <w:r>
        <w:t xml:space="preserve"> </w:t>
      </w:r>
      <w:r>
        <w:rPr>
          <w:noProof/>
        </w:rPr>
        <w:t>Ibid., 6.</w:t>
      </w:r>
    </w:p>
  </w:footnote>
  <w:footnote w:id="729">
    <w:p w14:paraId="294F6985" w14:textId="77777777" w:rsidR="00182EED" w:rsidRDefault="00182EED" w:rsidP="00310CB2">
      <w:pPr>
        <w:pStyle w:val="FootnoteText"/>
      </w:pPr>
      <w:r w:rsidRPr="00D72450">
        <w:rPr>
          <w:rStyle w:val="FootnoteReference"/>
        </w:rPr>
        <w:footnoteRef/>
      </w:r>
      <w:r>
        <w:t xml:space="preserve"> </w:t>
      </w:r>
      <w:r>
        <w:rPr>
          <w:noProof/>
        </w:rPr>
        <w:t>Ibid., 11.</w:t>
      </w:r>
    </w:p>
  </w:footnote>
  <w:footnote w:id="730">
    <w:p w14:paraId="668FDB9F" w14:textId="77777777" w:rsidR="00182EED" w:rsidRDefault="00182EED" w:rsidP="00310CB2">
      <w:pPr>
        <w:pStyle w:val="FootnoteText"/>
      </w:pPr>
      <w:r w:rsidRPr="00D72450">
        <w:rPr>
          <w:rStyle w:val="FootnoteReference"/>
        </w:rPr>
        <w:footnoteRef/>
      </w:r>
      <w:r>
        <w:t xml:space="preserve"> </w:t>
      </w:r>
      <w:r w:rsidRPr="00C6221C">
        <w:rPr>
          <w:rFonts w:cs="Times New Roman"/>
          <w:lang w:val="en-US"/>
        </w:rPr>
        <w:t xml:space="preserve">Ibid.; </w:t>
      </w:r>
      <w:proofErr w:type="spellStart"/>
      <w:r w:rsidRPr="00C6221C">
        <w:rPr>
          <w:rFonts w:cs="Times New Roman"/>
          <w:lang w:val="en-US"/>
        </w:rPr>
        <w:t>Callmann</w:t>
      </w:r>
      <w:proofErr w:type="spellEnd"/>
      <w:r w:rsidRPr="00C6221C">
        <w:rPr>
          <w:rFonts w:cs="Times New Roman"/>
          <w:lang w:val="en-US"/>
        </w:rPr>
        <w:t xml:space="preserve"> had previously doubted that the </w:t>
      </w:r>
      <w:proofErr w:type="spellStart"/>
      <w:r w:rsidRPr="00C6221C">
        <w:rPr>
          <w:rFonts w:cs="Times New Roman"/>
          <w:lang w:val="en-US"/>
        </w:rPr>
        <w:t>Toscanelli</w:t>
      </w:r>
      <w:proofErr w:type="spellEnd"/>
      <w:r w:rsidRPr="00C6221C">
        <w:rPr>
          <w:rFonts w:cs="Times New Roman"/>
          <w:lang w:val="en-US"/>
        </w:rPr>
        <w:t xml:space="preserve"> painting was in </w:t>
      </w:r>
      <w:proofErr w:type="spellStart"/>
      <w:r w:rsidRPr="00C6221C">
        <w:rPr>
          <w:rFonts w:cs="Times New Roman"/>
          <w:lang w:val="en-US"/>
        </w:rPr>
        <w:t>Apollonio’s</w:t>
      </w:r>
      <w:proofErr w:type="spellEnd"/>
      <w:r w:rsidRPr="00C6221C">
        <w:rPr>
          <w:rFonts w:cs="Times New Roman"/>
          <w:lang w:val="en-US"/>
        </w:rPr>
        <w:t xml:space="preserve"> style, see Ellen </w:t>
      </w:r>
      <w:proofErr w:type="spellStart"/>
      <w:r w:rsidRPr="00C6221C">
        <w:rPr>
          <w:rFonts w:cs="Times New Roman"/>
          <w:lang w:val="en-US"/>
        </w:rPr>
        <w:t>Callmann</w:t>
      </w:r>
      <w:proofErr w:type="spellEnd"/>
      <w:r w:rsidRPr="00C6221C">
        <w:rPr>
          <w:rFonts w:cs="Times New Roman"/>
          <w:lang w:val="en-US"/>
        </w:rPr>
        <w:t xml:space="preserve">, </w:t>
      </w:r>
      <w:r w:rsidRPr="00C6221C">
        <w:rPr>
          <w:rFonts w:cs="Times New Roman"/>
          <w:i/>
          <w:iCs/>
          <w:lang w:val="en-US"/>
        </w:rPr>
        <w:t>Apollonio Di Giovanni</w:t>
      </w:r>
      <w:r w:rsidRPr="00C6221C">
        <w:rPr>
          <w:rFonts w:cs="Times New Roman"/>
          <w:lang w:val="en-US"/>
        </w:rPr>
        <w:t xml:space="preserve"> (Oxford: Clarendon Press, 1974), 37.</w:t>
      </w:r>
    </w:p>
  </w:footnote>
  <w:footnote w:id="731">
    <w:p w14:paraId="37E94777" w14:textId="77777777" w:rsidR="00182EED" w:rsidRDefault="00182EED" w:rsidP="00310CB2">
      <w:pPr>
        <w:pStyle w:val="FootnoteText"/>
      </w:pPr>
      <w:r w:rsidRPr="00D72450">
        <w:rPr>
          <w:rStyle w:val="FootnoteReference"/>
        </w:rPr>
        <w:footnoteRef/>
      </w:r>
      <w:r>
        <w:t xml:space="preserve"> </w:t>
      </w:r>
      <w:proofErr w:type="spellStart"/>
      <w:r w:rsidRPr="00C6221C">
        <w:rPr>
          <w:rFonts w:cs="Times New Roman"/>
          <w:lang w:val="en-US"/>
        </w:rPr>
        <w:t>Callmann</w:t>
      </w:r>
      <w:proofErr w:type="spellEnd"/>
      <w:r w:rsidRPr="00C6221C">
        <w:rPr>
          <w:rFonts w:cs="Times New Roman"/>
          <w:lang w:val="en-US"/>
        </w:rPr>
        <w:t>, “Apollonio Di Giovanni and Painting for the Early Renaissance Room,” 12.</w:t>
      </w:r>
    </w:p>
  </w:footnote>
  <w:footnote w:id="732">
    <w:p w14:paraId="0B677EDE" w14:textId="77777777" w:rsidR="00182EED" w:rsidRDefault="00182EED" w:rsidP="00310CB2">
      <w:pPr>
        <w:pStyle w:val="FootnoteText"/>
      </w:pPr>
      <w:r w:rsidRPr="00D72450">
        <w:rPr>
          <w:rStyle w:val="FootnoteReference"/>
        </w:rPr>
        <w:footnoteRef/>
      </w:r>
      <w:r>
        <w:t xml:space="preserve"> </w:t>
      </w:r>
      <w:r>
        <w:rPr>
          <w:noProof/>
        </w:rPr>
        <w:t>Ibid.</w:t>
      </w:r>
    </w:p>
  </w:footnote>
  <w:footnote w:id="733">
    <w:p w14:paraId="1C7ACDF0" w14:textId="77777777" w:rsidR="00182EED" w:rsidRDefault="00182EED" w:rsidP="00310CB2">
      <w:pPr>
        <w:pStyle w:val="FootnoteText"/>
      </w:pPr>
      <w:r w:rsidRPr="00D72450">
        <w:rPr>
          <w:rStyle w:val="FootnoteReference"/>
        </w:rPr>
        <w:footnoteRef/>
      </w:r>
      <w:r>
        <w:t xml:space="preserve"> </w:t>
      </w:r>
      <w:r>
        <w:rPr>
          <w:noProof/>
        </w:rPr>
        <w:t>Ibid., 15, n.58.</w:t>
      </w:r>
    </w:p>
  </w:footnote>
  <w:footnote w:id="734">
    <w:p w14:paraId="2E3B2803" w14:textId="77777777" w:rsidR="00182EED" w:rsidRDefault="00182EED" w:rsidP="00310CB2">
      <w:pPr>
        <w:pStyle w:val="FootnoteText"/>
      </w:pPr>
      <w:r w:rsidRPr="00D72450">
        <w:rPr>
          <w:rStyle w:val="FootnoteReference"/>
        </w:rPr>
        <w:footnoteRef/>
      </w:r>
      <w:r>
        <w:t xml:space="preserve"> </w:t>
      </w:r>
      <w:r>
        <w:rPr>
          <w:noProof/>
        </w:rPr>
        <w:t>Ibid., 12, 15 n.58.</w:t>
      </w:r>
    </w:p>
  </w:footnote>
  <w:footnote w:id="735">
    <w:p w14:paraId="2E7ABAEE" w14:textId="77777777" w:rsidR="00182EED" w:rsidRDefault="00182EED" w:rsidP="00310CB2">
      <w:pPr>
        <w:pStyle w:val="FootnoteText"/>
      </w:pPr>
      <w:r w:rsidRPr="00D72450">
        <w:rPr>
          <w:rStyle w:val="FootnoteReference"/>
        </w:rPr>
        <w:footnoteRef/>
      </w:r>
      <w:r>
        <w:t xml:space="preserve"> </w:t>
      </w:r>
      <w:r w:rsidRPr="00C6221C">
        <w:rPr>
          <w:rFonts w:cs="Times New Roman"/>
          <w:lang w:val="en-US"/>
        </w:rPr>
        <w:t xml:space="preserve">On this topic see Chapter 1.5 and 2.5. On instruments played by amateur musicians, see Victor Coelho and Keith Polk, </w:t>
      </w:r>
      <w:r w:rsidRPr="00C6221C">
        <w:rPr>
          <w:rFonts w:cs="Times New Roman"/>
          <w:i/>
          <w:iCs/>
          <w:lang w:val="en-US"/>
        </w:rPr>
        <w:t>Instrumentalists and Renaissance Culture, 1420-1600: Players of Function and Fantasy</w:t>
      </w:r>
      <w:r w:rsidRPr="00C6221C">
        <w:rPr>
          <w:rFonts w:cs="Times New Roman"/>
          <w:lang w:val="en-US"/>
        </w:rPr>
        <w:t xml:space="preserve"> (Cambridge: Cambridge university press, 2016), 56–159; see also Timothy J. McGee and Sylvia E. </w:t>
      </w:r>
      <w:proofErr w:type="spellStart"/>
      <w:r w:rsidRPr="00C6221C">
        <w:rPr>
          <w:rFonts w:cs="Times New Roman"/>
          <w:lang w:val="en-US"/>
        </w:rPr>
        <w:t>Mittler</w:t>
      </w:r>
      <w:proofErr w:type="spellEnd"/>
      <w:r w:rsidRPr="00C6221C">
        <w:rPr>
          <w:rFonts w:cs="Times New Roman"/>
          <w:lang w:val="en-US"/>
        </w:rPr>
        <w:t xml:space="preserve">, “Information on Instruments in Florentine Carnival Songs,” </w:t>
      </w:r>
      <w:r w:rsidRPr="00C6221C">
        <w:rPr>
          <w:rFonts w:cs="Times New Roman"/>
          <w:i/>
          <w:iCs/>
          <w:lang w:val="en-US"/>
        </w:rPr>
        <w:t>Early Music</w:t>
      </w:r>
      <w:r w:rsidRPr="00C6221C">
        <w:rPr>
          <w:rFonts w:cs="Times New Roman"/>
          <w:lang w:val="en-US"/>
        </w:rPr>
        <w:t xml:space="preserve"> 10, no. 4 (1982): 452–61, esp. 452–54.</w:t>
      </w:r>
    </w:p>
  </w:footnote>
  <w:footnote w:id="736">
    <w:p w14:paraId="35620D03" w14:textId="77777777" w:rsidR="00182EED" w:rsidRDefault="00182EED" w:rsidP="00310CB2">
      <w:pPr>
        <w:pStyle w:val="FootnoteText"/>
      </w:pPr>
      <w:r w:rsidRPr="00D72450">
        <w:rPr>
          <w:rStyle w:val="FootnoteReference"/>
        </w:rPr>
        <w:footnoteRef/>
      </w:r>
      <w:r>
        <w:t xml:space="preserve"> </w:t>
      </w:r>
      <w:r w:rsidRPr="00C63D51">
        <w:rPr>
          <w:rFonts w:cs="Times New Roman"/>
          <w:lang w:val="en-US"/>
        </w:rPr>
        <w:t xml:space="preserve">On the domestic use of </w:t>
      </w:r>
      <w:r w:rsidRPr="00C63D51">
        <w:rPr>
          <w:rFonts w:cs="Times New Roman"/>
          <w:i/>
          <w:iCs/>
          <w:lang w:val="en-US"/>
        </w:rPr>
        <w:t>terracotta</w:t>
      </w:r>
      <w:r w:rsidRPr="00C63D51">
        <w:rPr>
          <w:rFonts w:cs="Times New Roman"/>
          <w:lang w:val="en-US"/>
        </w:rPr>
        <w:t xml:space="preserve"> figures see Giancarlo </w:t>
      </w:r>
      <w:proofErr w:type="spellStart"/>
      <w:r w:rsidRPr="00C63D51">
        <w:rPr>
          <w:rFonts w:cs="Times New Roman"/>
          <w:lang w:val="en-US"/>
        </w:rPr>
        <w:t>Gentilini</w:t>
      </w:r>
      <w:proofErr w:type="spellEnd"/>
      <w:r w:rsidRPr="00C63D51">
        <w:rPr>
          <w:rFonts w:cs="Times New Roman"/>
          <w:lang w:val="en-US"/>
        </w:rPr>
        <w:t xml:space="preserve">, ed., </w:t>
      </w:r>
      <w:r w:rsidRPr="00C63D51">
        <w:rPr>
          <w:rFonts w:cs="Times New Roman"/>
          <w:i/>
          <w:iCs/>
          <w:lang w:val="en-US"/>
        </w:rPr>
        <w:t xml:space="preserve">I Della Robbia: La </w:t>
      </w:r>
      <w:proofErr w:type="spellStart"/>
      <w:r w:rsidRPr="00C63D51">
        <w:rPr>
          <w:rFonts w:cs="Times New Roman"/>
          <w:i/>
          <w:iCs/>
          <w:lang w:val="en-US"/>
        </w:rPr>
        <w:t>Scultura</w:t>
      </w:r>
      <w:proofErr w:type="spellEnd"/>
      <w:r w:rsidRPr="00C63D51">
        <w:rPr>
          <w:rFonts w:cs="Times New Roman"/>
          <w:i/>
          <w:iCs/>
          <w:lang w:val="en-US"/>
        </w:rPr>
        <w:t xml:space="preserve"> </w:t>
      </w:r>
      <w:proofErr w:type="spellStart"/>
      <w:r w:rsidRPr="00C63D51">
        <w:rPr>
          <w:rFonts w:cs="Times New Roman"/>
          <w:i/>
          <w:iCs/>
          <w:lang w:val="en-US"/>
        </w:rPr>
        <w:t>Invetriata</w:t>
      </w:r>
      <w:proofErr w:type="spellEnd"/>
      <w:r w:rsidRPr="00C63D51">
        <w:rPr>
          <w:rFonts w:cs="Times New Roman"/>
          <w:i/>
          <w:iCs/>
          <w:lang w:val="en-US"/>
        </w:rPr>
        <w:t xml:space="preserve"> </w:t>
      </w:r>
      <w:proofErr w:type="spellStart"/>
      <w:r w:rsidRPr="00C63D51">
        <w:rPr>
          <w:rFonts w:cs="Times New Roman"/>
          <w:i/>
          <w:iCs/>
          <w:lang w:val="en-US"/>
        </w:rPr>
        <w:t>nel</w:t>
      </w:r>
      <w:proofErr w:type="spellEnd"/>
      <w:r w:rsidRPr="00C63D51">
        <w:rPr>
          <w:rFonts w:cs="Times New Roman"/>
          <w:i/>
          <w:iCs/>
          <w:lang w:val="en-US"/>
        </w:rPr>
        <w:t xml:space="preserve"> </w:t>
      </w:r>
      <w:proofErr w:type="spellStart"/>
      <w:r w:rsidRPr="00C63D51">
        <w:rPr>
          <w:rFonts w:cs="Times New Roman"/>
          <w:i/>
          <w:iCs/>
          <w:lang w:val="en-US"/>
        </w:rPr>
        <w:t>Rinascimento</w:t>
      </w:r>
      <w:proofErr w:type="spellEnd"/>
      <w:r w:rsidRPr="00C63D51">
        <w:rPr>
          <w:rFonts w:cs="Times New Roman"/>
          <w:lang w:val="en-US"/>
        </w:rPr>
        <w:t xml:space="preserve"> (Florence: Cantini, 1992), 32–35; see also Cooper, “Devotion,” 194; </w:t>
      </w:r>
      <w:proofErr w:type="spellStart"/>
      <w:r w:rsidRPr="00C63D51">
        <w:rPr>
          <w:rFonts w:cs="Times New Roman"/>
          <w:lang w:val="en-US"/>
        </w:rPr>
        <w:t>Cambareri</w:t>
      </w:r>
      <w:proofErr w:type="spellEnd"/>
      <w:r w:rsidRPr="00C63D51">
        <w:rPr>
          <w:rFonts w:cs="Times New Roman"/>
          <w:lang w:val="en-US"/>
        </w:rPr>
        <w:t xml:space="preserve">, </w:t>
      </w:r>
      <w:r w:rsidRPr="00C63D51">
        <w:rPr>
          <w:rFonts w:cs="Times New Roman"/>
          <w:i/>
          <w:iCs/>
          <w:lang w:val="en-US"/>
        </w:rPr>
        <w:t>Della Robbia</w:t>
      </w:r>
      <w:r w:rsidRPr="00C63D51">
        <w:rPr>
          <w:rFonts w:cs="Times New Roman"/>
          <w:lang w:val="en-US"/>
        </w:rPr>
        <w:t>, 89–103.</w:t>
      </w:r>
    </w:p>
  </w:footnote>
  <w:footnote w:id="737">
    <w:p w14:paraId="0D99E9AF" w14:textId="77777777" w:rsidR="00182EED" w:rsidRDefault="00182EED" w:rsidP="00310CB2">
      <w:pPr>
        <w:pStyle w:val="FootnoteText"/>
      </w:pPr>
      <w:r w:rsidRPr="00D72450">
        <w:rPr>
          <w:rStyle w:val="FootnoteReference"/>
        </w:rPr>
        <w:footnoteRef/>
      </w:r>
      <w:r>
        <w:t xml:space="preserve"> </w:t>
      </w:r>
      <w:r w:rsidRPr="00E55B7A">
        <w:rPr>
          <w:rFonts w:cs="Times New Roman"/>
          <w:lang w:val="en-US"/>
        </w:rPr>
        <w:t xml:space="preserve">Stapleford, </w:t>
      </w:r>
      <w:r w:rsidRPr="00E55B7A">
        <w:rPr>
          <w:rFonts w:cs="Times New Roman"/>
          <w:i/>
          <w:iCs/>
          <w:lang w:val="en-US"/>
        </w:rPr>
        <w:t>Lorenzo de’ Medici at Home</w:t>
      </w:r>
      <w:r w:rsidRPr="00E55B7A">
        <w:rPr>
          <w:rFonts w:cs="Times New Roman"/>
          <w:lang w:val="en-US"/>
        </w:rPr>
        <w:t xml:space="preserve">, 119, 134; Attilio Schiaparelli, </w:t>
      </w:r>
      <w:r w:rsidRPr="00E55B7A">
        <w:rPr>
          <w:rFonts w:cs="Times New Roman"/>
          <w:i/>
          <w:iCs/>
          <w:lang w:val="en-US"/>
        </w:rPr>
        <w:t xml:space="preserve">La casa </w:t>
      </w:r>
      <w:proofErr w:type="spellStart"/>
      <w:r w:rsidRPr="00E55B7A">
        <w:rPr>
          <w:rFonts w:cs="Times New Roman"/>
          <w:i/>
          <w:iCs/>
          <w:lang w:val="en-US"/>
        </w:rPr>
        <w:t>fiorentina</w:t>
      </w:r>
      <w:proofErr w:type="spellEnd"/>
      <w:r w:rsidRPr="00E55B7A">
        <w:rPr>
          <w:rFonts w:cs="Times New Roman"/>
          <w:i/>
          <w:iCs/>
          <w:lang w:val="en-US"/>
        </w:rPr>
        <w:t xml:space="preserve"> e </w:t>
      </w:r>
      <w:proofErr w:type="spellStart"/>
      <w:r w:rsidRPr="00E55B7A">
        <w:rPr>
          <w:rFonts w:cs="Times New Roman"/>
          <w:i/>
          <w:iCs/>
          <w:lang w:val="en-US"/>
        </w:rPr>
        <w:t>i</w:t>
      </w:r>
      <w:proofErr w:type="spellEnd"/>
      <w:r w:rsidRPr="00E55B7A">
        <w:rPr>
          <w:rFonts w:cs="Times New Roman"/>
          <w:i/>
          <w:iCs/>
          <w:lang w:val="en-US"/>
        </w:rPr>
        <w:t xml:space="preserve"> </w:t>
      </w:r>
      <w:proofErr w:type="spellStart"/>
      <w:r w:rsidRPr="00E55B7A">
        <w:rPr>
          <w:rFonts w:cs="Times New Roman"/>
          <w:i/>
          <w:iCs/>
          <w:lang w:val="en-US"/>
        </w:rPr>
        <w:t>suoi</w:t>
      </w:r>
      <w:proofErr w:type="spellEnd"/>
      <w:r w:rsidRPr="00E55B7A">
        <w:rPr>
          <w:rFonts w:cs="Times New Roman"/>
          <w:i/>
          <w:iCs/>
          <w:lang w:val="en-US"/>
        </w:rPr>
        <w:t xml:space="preserve"> </w:t>
      </w:r>
      <w:proofErr w:type="spellStart"/>
      <w:r w:rsidRPr="00E55B7A">
        <w:rPr>
          <w:rFonts w:cs="Times New Roman"/>
          <w:i/>
          <w:iCs/>
          <w:lang w:val="en-US"/>
        </w:rPr>
        <w:t>arredi</w:t>
      </w:r>
      <w:proofErr w:type="spellEnd"/>
      <w:r w:rsidRPr="00E55B7A">
        <w:rPr>
          <w:rFonts w:cs="Times New Roman"/>
          <w:i/>
          <w:iCs/>
          <w:lang w:val="en-US"/>
        </w:rPr>
        <w:t xml:space="preserve"> </w:t>
      </w:r>
      <w:proofErr w:type="spellStart"/>
      <w:r w:rsidRPr="00E55B7A">
        <w:rPr>
          <w:rFonts w:cs="Times New Roman"/>
          <w:i/>
          <w:iCs/>
          <w:lang w:val="en-US"/>
        </w:rPr>
        <w:t>nei</w:t>
      </w:r>
      <w:proofErr w:type="spellEnd"/>
      <w:r w:rsidRPr="00E55B7A">
        <w:rPr>
          <w:rFonts w:cs="Times New Roman"/>
          <w:i/>
          <w:iCs/>
          <w:lang w:val="en-US"/>
        </w:rPr>
        <w:t xml:space="preserve"> </w:t>
      </w:r>
      <w:proofErr w:type="spellStart"/>
      <w:r w:rsidRPr="00E55B7A">
        <w:rPr>
          <w:rFonts w:cs="Times New Roman"/>
          <w:i/>
          <w:iCs/>
          <w:lang w:val="en-US"/>
        </w:rPr>
        <w:t>secoli</w:t>
      </w:r>
      <w:proofErr w:type="spellEnd"/>
      <w:r w:rsidRPr="00E55B7A">
        <w:rPr>
          <w:rFonts w:cs="Times New Roman"/>
          <w:i/>
          <w:iCs/>
          <w:lang w:val="en-US"/>
        </w:rPr>
        <w:t xml:space="preserve"> XIV e XV</w:t>
      </w:r>
      <w:r w:rsidRPr="00E55B7A">
        <w:rPr>
          <w:rFonts w:cs="Times New Roman"/>
          <w:lang w:val="en-US"/>
        </w:rPr>
        <w:t xml:space="preserve">, vol. 1 (Florence: G.C. </w:t>
      </w:r>
      <w:proofErr w:type="spellStart"/>
      <w:r w:rsidRPr="00E55B7A">
        <w:rPr>
          <w:rFonts w:cs="Times New Roman"/>
          <w:lang w:val="en-US"/>
        </w:rPr>
        <w:t>Sansoni</w:t>
      </w:r>
      <w:proofErr w:type="spellEnd"/>
      <w:r w:rsidRPr="00E55B7A">
        <w:rPr>
          <w:rFonts w:cs="Times New Roman"/>
          <w:lang w:val="en-US"/>
        </w:rPr>
        <w:t>, 1908), 182.</w:t>
      </w:r>
    </w:p>
  </w:footnote>
  <w:footnote w:id="738">
    <w:p w14:paraId="64A69DE3" w14:textId="77777777" w:rsidR="00182EED" w:rsidRDefault="00182EED" w:rsidP="00310CB2">
      <w:pPr>
        <w:pStyle w:val="FootnoteText"/>
      </w:pPr>
      <w:r w:rsidRPr="00D72450">
        <w:rPr>
          <w:rStyle w:val="FootnoteReference"/>
        </w:rPr>
        <w:footnoteRef/>
      </w:r>
      <w:r>
        <w:t xml:space="preserve"> </w:t>
      </w:r>
      <w:r w:rsidRPr="00E55B7A">
        <w:rPr>
          <w:rFonts w:cs="Times New Roman"/>
          <w:lang w:val="en-US"/>
        </w:rPr>
        <w:t xml:space="preserve">Stapleford, </w:t>
      </w:r>
      <w:r w:rsidRPr="00E55B7A">
        <w:rPr>
          <w:rFonts w:cs="Times New Roman"/>
          <w:i/>
          <w:iCs/>
          <w:lang w:val="en-US"/>
        </w:rPr>
        <w:t>Lorenzo de’ Medici at Home</w:t>
      </w:r>
      <w:r w:rsidRPr="00E55B7A">
        <w:rPr>
          <w:rFonts w:cs="Times New Roman"/>
          <w:lang w:val="en-US"/>
        </w:rPr>
        <w:t xml:space="preserve">, 21; Catherine </w:t>
      </w:r>
      <w:proofErr w:type="spellStart"/>
      <w:r w:rsidRPr="00E55B7A">
        <w:rPr>
          <w:rFonts w:cs="Times New Roman"/>
          <w:lang w:val="en-US"/>
        </w:rPr>
        <w:t>Kupiec</w:t>
      </w:r>
      <w:proofErr w:type="spellEnd"/>
      <w:r w:rsidRPr="00E55B7A">
        <w:rPr>
          <w:rFonts w:cs="Times New Roman"/>
          <w:lang w:val="en-US"/>
        </w:rPr>
        <w:t xml:space="preserve">, “The Materiality of Luca Della </w:t>
      </w:r>
      <w:proofErr w:type="spellStart"/>
      <w:r w:rsidRPr="00E55B7A">
        <w:rPr>
          <w:rFonts w:cs="Times New Roman"/>
          <w:lang w:val="en-US"/>
        </w:rPr>
        <w:t>Robbia’s</w:t>
      </w:r>
      <w:proofErr w:type="spellEnd"/>
      <w:r w:rsidRPr="00E55B7A">
        <w:rPr>
          <w:rFonts w:cs="Times New Roman"/>
          <w:lang w:val="en-US"/>
        </w:rPr>
        <w:t xml:space="preserve"> Glazed Terracotta Sculptures” (Graduate School-New Brunswick Rutgers, 2016), 120; Peter Thornton, </w:t>
      </w:r>
      <w:r w:rsidRPr="00E55B7A">
        <w:rPr>
          <w:rFonts w:cs="Times New Roman"/>
          <w:i/>
          <w:iCs/>
          <w:lang w:val="en-US"/>
        </w:rPr>
        <w:t>The Italian Renaissance interior: 1400-1600</w:t>
      </w:r>
      <w:r w:rsidRPr="00E55B7A">
        <w:rPr>
          <w:rFonts w:cs="Times New Roman"/>
          <w:lang w:val="en-US"/>
        </w:rPr>
        <w:t xml:space="preserve"> (London: Weidenfeld and Nicolson, 1991), 268.</w:t>
      </w:r>
    </w:p>
  </w:footnote>
  <w:footnote w:id="739">
    <w:p w14:paraId="6703F9F5" w14:textId="77777777" w:rsidR="00182EED" w:rsidRDefault="00182EED" w:rsidP="00310CB2">
      <w:pPr>
        <w:pStyle w:val="FootnoteText"/>
      </w:pPr>
      <w:r w:rsidRPr="00D72450">
        <w:rPr>
          <w:rStyle w:val="FootnoteReference"/>
        </w:rPr>
        <w:footnoteRef/>
      </w:r>
      <w:r>
        <w:t xml:space="preserve"> </w:t>
      </w:r>
      <w:r w:rsidRPr="00E55B7A">
        <w:rPr>
          <w:rFonts w:cs="Times New Roman"/>
          <w:lang w:val="en-US"/>
        </w:rPr>
        <w:t xml:space="preserve">John Pope-Hennessy, </w:t>
      </w:r>
      <w:r w:rsidRPr="00E55B7A">
        <w:rPr>
          <w:rFonts w:cs="Times New Roman"/>
          <w:i/>
          <w:iCs/>
          <w:lang w:val="en-US"/>
        </w:rPr>
        <w:t>Luca Della Robbia</w:t>
      </w:r>
      <w:r w:rsidRPr="00E55B7A">
        <w:rPr>
          <w:rFonts w:cs="Times New Roman"/>
          <w:lang w:val="en-US"/>
        </w:rPr>
        <w:t xml:space="preserve"> (Oxford: </w:t>
      </w:r>
      <w:proofErr w:type="spellStart"/>
      <w:r w:rsidRPr="00E55B7A">
        <w:rPr>
          <w:rFonts w:cs="Times New Roman"/>
          <w:lang w:val="en-US"/>
        </w:rPr>
        <w:t>Phaidon</w:t>
      </w:r>
      <w:proofErr w:type="spellEnd"/>
      <w:r w:rsidRPr="00E55B7A">
        <w:rPr>
          <w:rFonts w:cs="Times New Roman"/>
          <w:lang w:val="en-US"/>
        </w:rPr>
        <w:t xml:space="preserve">, 1980), 254; see also </w:t>
      </w:r>
      <w:proofErr w:type="spellStart"/>
      <w:r w:rsidRPr="00E55B7A">
        <w:rPr>
          <w:rFonts w:cs="Times New Roman"/>
          <w:lang w:val="en-US"/>
        </w:rPr>
        <w:t>Kupiec</w:t>
      </w:r>
      <w:proofErr w:type="spellEnd"/>
      <w:r w:rsidRPr="00E55B7A">
        <w:rPr>
          <w:rFonts w:cs="Times New Roman"/>
          <w:lang w:val="en-US"/>
        </w:rPr>
        <w:t xml:space="preserve">, “The Materiality of Luca Della </w:t>
      </w:r>
      <w:proofErr w:type="spellStart"/>
      <w:r w:rsidRPr="00E55B7A">
        <w:rPr>
          <w:rFonts w:cs="Times New Roman"/>
          <w:lang w:val="en-US"/>
        </w:rPr>
        <w:t>Robbia’s</w:t>
      </w:r>
      <w:proofErr w:type="spellEnd"/>
      <w:r w:rsidRPr="00E55B7A">
        <w:rPr>
          <w:rFonts w:cs="Times New Roman"/>
          <w:lang w:val="en-US"/>
        </w:rPr>
        <w:t xml:space="preserve"> Glazed Terracotta Sculptures,” 120.</w:t>
      </w:r>
    </w:p>
  </w:footnote>
  <w:footnote w:id="740">
    <w:p w14:paraId="1E992CCF" w14:textId="77777777" w:rsidR="00182EED" w:rsidRDefault="00182EED" w:rsidP="00310CB2">
      <w:pPr>
        <w:pStyle w:val="FootnoteText"/>
      </w:pPr>
      <w:r w:rsidRPr="00D72450">
        <w:rPr>
          <w:rStyle w:val="FootnoteReference"/>
        </w:rPr>
        <w:footnoteRef/>
      </w:r>
      <w:r>
        <w:t xml:space="preserve"> </w:t>
      </w:r>
      <w:proofErr w:type="spellStart"/>
      <w:r w:rsidRPr="00E55B7A">
        <w:rPr>
          <w:rFonts w:cs="Times New Roman"/>
          <w:lang w:val="en-US"/>
        </w:rPr>
        <w:t>Gentilini</w:t>
      </w:r>
      <w:proofErr w:type="spellEnd"/>
      <w:r w:rsidRPr="00E55B7A">
        <w:rPr>
          <w:rFonts w:cs="Times New Roman"/>
          <w:lang w:val="en-US"/>
        </w:rPr>
        <w:t xml:space="preserve">, </w:t>
      </w:r>
      <w:r w:rsidRPr="00E55B7A">
        <w:rPr>
          <w:rFonts w:cs="Times New Roman"/>
          <w:i/>
          <w:iCs/>
          <w:lang w:val="en-US"/>
        </w:rPr>
        <w:t>I Della Robbia</w:t>
      </w:r>
      <w:r w:rsidRPr="00E55B7A">
        <w:rPr>
          <w:rFonts w:cs="Times New Roman"/>
          <w:lang w:val="en-US"/>
        </w:rPr>
        <w:t xml:space="preserve">, 1:170; </w:t>
      </w:r>
      <w:proofErr w:type="spellStart"/>
      <w:r w:rsidRPr="00E55B7A">
        <w:rPr>
          <w:rFonts w:cs="Times New Roman"/>
          <w:lang w:val="en-US"/>
        </w:rPr>
        <w:t>Kupiec</w:t>
      </w:r>
      <w:proofErr w:type="spellEnd"/>
      <w:r w:rsidRPr="00E55B7A">
        <w:rPr>
          <w:rFonts w:cs="Times New Roman"/>
          <w:lang w:val="en-US"/>
        </w:rPr>
        <w:t xml:space="preserve">, “The Materiality of Luca Della </w:t>
      </w:r>
      <w:proofErr w:type="spellStart"/>
      <w:r w:rsidRPr="00E55B7A">
        <w:rPr>
          <w:rFonts w:cs="Times New Roman"/>
          <w:lang w:val="en-US"/>
        </w:rPr>
        <w:t>Robbia’s</w:t>
      </w:r>
      <w:proofErr w:type="spellEnd"/>
      <w:r w:rsidRPr="00E55B7A">
        <w:rPr>
          <w:rFonts w:cs="Times New Roman"/>
          <w:lang w:val="en-US"/>
        </w:rPr>
        <w:t xml:space="preserve"> Glazed Terracotta Sculptures,” 121.</w:t>
      </w:r>
    </w:p>
  </w:footnote>
  <w:footnote w:id="741">
    <w:p w14:paraId="7558BDE3" w14:textId="77777777" w:rsidR="00182EED" w:rsidRDefault="00182EED" w:rsidP="00310CB2">
      <w:pPr>
        <w:pStyle w:val="FootnoteText"/>
      </w:pPr>
      <w:r w:rsidRPr="00D72450">
        <w:rPr>
          <w:rStyle w:val="FootnoteReference"/>
        </w:rPr>
        <w:footnoteRef/>
      </w:r>
      <w:r>
        <w:t xml:space="preserve"> </w:t>
      </w:r>
      <w:r w:rsidRPr="00CD0A87">
        <w:rPr>
          <w:rFonts w:cs="Times New Roman"/>
          <w:lang w:val="en-US"/>
        </w:rPr>
        <w:t xml:space="preserve">Schiaparelli, </w:t>
      </w:r>
      <w:r w:rsidRPr="00CD0A87">
        <w:rPr>
          <w:rFonts w:cs="Times New Roman"/>
          <w:i/>
          <w:iCs/>
          <w:lang w:val="en-US"/>
        </w:rPr>
        <w:t xml:space="preserve">La casa </w:t>
      </w:r>
      <w:proofErr w:type="spellStart"/>
      <w:r w:rsidRPr="00CD0A87">
        <w:rPr>
          <w:rFonts w:cs="Times New Roman"/>
          <w:i/>
          <w:iCs/>
          <w:lang w:val="en-US"/>
        </w:rPr>
        <w:t>fiorentina</w:t>
      </w:r>
      <w:proofErr w:type="spellEnd"/>
      <w:r w:rsidRPr="00CD0A87">
        <w:rPr>
          <w:rFonts w:cs="Times New Roman"/>
          <w:i/>
          <w:iCs/>
          <w:lang w:val="en-US"/>
        </w:rPr>
        <w:t xml:space="preserve"> e </w:t>
      </w:r>
      <w:proofErr w:type="spellStart"/>
      <w:r w:rsidRPr="00CD0A87">
        <w:rPr>
          <w:rFonts w:cs="Times New Roman"/>
          <w:i/>
          <w:iCs/>
          <w:lang w:val="en-US"/>
        </w:rPr>
        <w:t>i</w:t>
      </w:r>
      <w:proofErr w:type="spellEnd"/>
      <w:r w:rsidRPr="00CD0A87">
        <w:rPr>
          <w:rFonts w:cs="Times New Roman"/>
          <w:i/>
          <w:iCs/>
          <w:lang w:val="en-US"/>
        </w:rPr>
        <w:t xml:space="preserve"> </w:t>
      </w:r>
      <w:proofErr w:type="spellStart"/>
      <w:r w:rsidRPr="00CD0A87">
        <w:rPr>
          <w:rFonts w:cs="Times New Roman"/>
          <w:i/>
          <w:iCs/>
          <w:lang w:val="en-US"/>
        </w:rPr>
        <w:t>suoi</w:t>
      </w:r>
      <w:proofErr w:type="spellEnd"/>
      <w:r w:rsidRPr="00CD0A87">
        <w:rPr>
          <w:rFonts w:cs="Times New Roman"/>
          <w:i/>
          <w:iCs/>
          <w:lang w:val="en-US"/>
        </w:rPr>
        <w:t xml:space="preserve"> </w:t>
      </w:r>
      <w:proofErr w:type="spellStart"/>
      <w:r w:rsidRPr="00CD0A87">
        <w:rPr>
          <w:rFonts w:cs="Times New Roman"/>
          <w:i/>
          <w:iCs/>
          <w:lang w:val="en-US"/>
        </w:rPr>
        <w:t>arredi</w:t>
      </w:r>
      <w:proofErr w:type="spellEnd"/>
      <w:r w:rsidRPr="00CD0A87">
        <w:rPr>
          <w:rFonts w:cs="Times New Roman"/>
          <w:i/>
          <w:iCs/>
          <w:lang w:val="en-US"/>
        </w:rPr>
        <w:t xml:space="preserve"> </w:t>
      </w:r>
      <w:proofErr w:type="spellStart"/>
      <w:r w:rsidRPr="00CD0A87">
        <w:rPr>
          <w:rFonts w:cs="Times New Roman"/>
          <w:i/>
          <w:iCs/>
          <w:lang w:val="en-US"/>
        </w:rPr>
        <w:t>nei</w:t>
      </w:r>
      <w:proofErr w:type="spellEnd"/>
      <w:r w:rsidRPr="00CD0A87">
        <w:rPr>
          <w:rFonts w:cs="Times New Roman"/>
          <w:i/>
          <w:iCs/>
          <w:lang w:val="en-US"/>
        </w:rPr>
        <w:t xml:space="preserve"> </w:t>
      </w:r>
      <w:proofErr w:type="spellStart"/>
      <w:r w:rsidRPr="00CD0A87">
        <w:rPr>
          <w:rFonts w:cs="Times New Roman"/>
          <w:i/>
          <w:iCs/>
          <w:lang w:val="en-US"/>
        </w:rPr>
        <w:t>secoli</w:t>
      </w:r>
      <w:proofErr w:type="spellEnd"/>
      <w:r w:rsidRPr="00CD0A87">
        <w:rPr>
          <w:rFonts w:cs="Times New Roman"/>
          <w:i/>
          <w:iCs/>
          <w:lang w:val="en-US"/>
        </w:rPr>
        <w:t xml:space="preserve"> XIV e XV</w:t>
      </w:r>
      <w:r w:rsidRPr="00CD0A87">
        <w:rPr>
          <w:rFonts w:cs="Times New Roman"/>
          <w:lang w:val="en-US"/>
        </w:rPr>
        <w:t xml:space="preserve">, 1:186; Thornton, </w:t>
      </w:r>
      <w:r w:rsidRPr="00CD0A87">
        <w:rPr>
          <w:rFonts w:cs="Times New Roman"/>
          <w:i/>
          <w:iCs/>
          <w:lang w:val="en-US"/>
        </w:rPr>
        <w:t>The Italian Renaissance interior</w:t>
      </w:r>
      <w:r w:rsidRPr="00CD0A87">
        <w:rPr>
          <w:rFonts w:cs="Times New Roman"/>
          <w:lang w:val="en-US"/>
        </w:rPr>
        <w:t xml:space="preserve">, 268; </w:t>
      </w:r>
      <w:proofErr w:type="spellStart"/>
      <w:r w:rsidRPr="00CD0A87">
        <w:rPr>
          <w:rFonts w:cs="Times New Roman"/>
          <w:lang w:val="en-US"/>
        </w:rPr>
        <w:t>Kupiec</w:t>
      </w:r>
      <w:proofErr w:type="spellEnd"/>
      <w:r w:rsidRPr="00CD0A87">
        <w:rPr>
          <w:rFonts w:cs="Times New Roman"/>
          <w:lang w:val="en-US"/>
        </w:rPr>
        <w:t xml:space="preserve">, “The Materiality of Luca Della </w:t>
      </w:r>
      <w:proofErr w:type="spellStart"/>
      <w:r w:rsidRPr="00CD0A87">
        <w:rPr>
          <w:rFonts w:cs="Times New Roman"/>
          <w:lang w:val="en-US"/>
        </w:rPr>
        <w:t>Robbia’s</w:t>
      </w:r>
      <w:proofErr w:type="spellEnd"/>
      <w:r w:rsidRPr="00CD0A87">
        <w:rPr>
          <w:rFonts w:cs="Times New Roman"/>
          <w:lang w:val="en-US"/>
        </w:rPr>
        <w:t xml:space="preserve"> Glazed Terracotta Sculptures,” 120–21.</w:t>
      </w:r>
    </w:p>
  </w:footnote>
  <w:footnote w:id="742">
    <w:p w14:paraId="6879B29C" w14:textId="77777777" w:rsidR="00182EED" w:rsidRDefault="00182EED" w:rsidP="00310CB2">
      <w:pPr>
        <w:pStyle w:val="FootnoteText"/>
      </w:pPr>
      <w:r w:rsidRPr="00D72450">
        <w:rPr>
          <w:rStyle w:val="FootnoteReference"/>
        </w:rPr>
        <w:footnoteRef/>
      </w:r>
      <w:r>
        <w:t xml:space="preserve"> </w:t>
      </w:r>
      <w:r w:rsidRPr="00CD0A87">
        <w:rPr>
          <w:rFonts w:cs="Times New Roman"/>
          <w:lang w:val="en-US"/>
        </w:rPr>
        <w:t xml:space="preserve">Thornton, </w:t>
      </w:r>
      <w:r w:rsidRPr="00CD0A87">
        <w:rPr>
          <w:rFonts w:cs="Times New Roman"/>
          <w:i/>
          <w:iCs/>
          <w:lang w:val="en-US"/>
        </w:rPr>
        <w:t>The Italian Renaissance interior</w:t>
      </w:r>
      <w:r w:rsidRPr="00CD0A87">
        <w:rPr>
          <w:rFonts w:cs="Times New Roman"/>
          <w:lang w:val="en-US"/>
        </w:rPr>
        <w:t xml:space="preserve">, 268; </w:t>
      </w:r>
      <w:proofErr w:type="spellStart"/>
      <w:r w:rsidRPr="00CD0A87">
        <w:rPr>
          <w:rFonts w:cs="Times New Roman"/>
          <w:lang w:val="en-US"/>
        </w:rPr>
        <w:t>Kupiec</w:t>
      </w:r>
      <w:proofErr w:type="spellEnd"/>
      <w:r w:rsidRPr="00CD0A87">
        <w:rPr>
          <w:rFonts w:cs="Times New Roman"/>
          <w:lang w:val="en-US"/>
        </w:rPr>
        <w:t xml:space="preserve">, “The Materiality of Luca Della </w:t>
      </w:r>
      <w:proofErr w:type="spellStart"/>
      <w:r w:rsidRPr="00CD0A87">
        <w:rPr>
          <w:rFonts w:cs="Times New Roman"/>
          <w:lang w:val="en-US"/>
        </w:rPr>
        <w:t>Robbia’s</w:t>
      </w:r>
      <w:proofErr w:type="spellEnd"/>
      <w:r w:rsidRPr="00CD0A87">
        <w:rPr>
          <w:rFonts w:cs="Times New Roman"/>
          <w:lang w:val="en-US"/>
        </w:rPr>
        <w:t xml:space="preserve"> Glazed Terracotta Sculptures,” 120–21.</w:t>
      </w:r>
    </w:p>
  </w:footnote>
  <w:footnote w:id="743">
    <w:p w14:paraId="1FC60256" w14:textId="77777777" w:rsidR="00182EED" w:rsidRDefault="00182EED" w:rsidP="00310CB2">
      <w:pPr>
        <w:pStyle w:val="FootnoteText"/>
      </w:pPr>
      <w:r w:rsidRPr="00D72450">
        <w:rPr>
          <w:rStyle w:val="FootnoteReference"/>
        </w:rPr>
        <w:footnoteRef/>
      </w:r>
      <w:r>
        <w:t xml:space="preserve"> </w:t>
      </w:r>
      <w:proofErr w:type="spellStart"/>
      <w:r w:rsidRPr="00326A69">
        <w:rPr>
          <w:rFonts w:cs="Times New Roman"/>
          <w:lang w:val="en-US"/>
        </w:rPr>
        <w:t>Kupiec</w:t>
      </w:r>
      <w:proofErr w:type="spellEnd"/>
      <w:r w:rsidRPr="00326A69">
        <w:rPr>
          <w:rFonts w:cs="Times New Roman"/>
          <w:lang w:val="en-US"/>
        </w:rPr>
        <w:t xml:space="preserve">, “The Materiality of Luca Della </w:t>
      </w:r>
      <w:proofErr w:type="spellStart"/>
      <w:r w:rsidRPr="00326A69">
        <w:rPr>
          <w:rFonts w:cs="Times New Roman"/>
          <w:lang w:val="en-US"/>
        </w:rPr>
        <w:t>Robbia’s</w:t>
      </w:r>
      <w:proofErr w:type="spellEnd"/>
      <w:r w:rsidRPr="00326A69">
        <w:rPr>
          <w:rFonts w:cs="Times New Roman"/>
          <w:lang w:val="en-US"/>
        </w:rPr>
        <w:t xml:space="preserve"> Glazed Terracotta Sculptures,” 121; Francis W Kent, “Art Historical Gleanings from the Florentine Archives,” </w:t>
      </w:r>
      <w:r w:rsidRPr="00326A69">
        <w:rPr>
          <w:rFonts w:cs="Times New Roman"/>
          <w:i/>
          <w:iCs/>
          <w:lang w:val="en-US"/>
        </w:rPr>
        <w:t>Australian Journal of Art</w:t>
      </w:r>
      <w:r w:rsidRPr="00326A69">
        <w:rPr>
          <w:rFonts w:cs="Times New Roman"/>
          <w:lang w:val="en-US"/>
        </w:rPr>
        <w:t>, 1980, 47.</w:t>
      </w:r>
    </w:p>
  </w:footnote>
  <w:footnote w:id="744">
    <w:p w14:paraId="0A5453CB" w14:textId="77777777" w:rsidR="00182EED" w:rsidRDefault="00182EED" w:rsidP="00310CB2">
      <w:pPr>
        <w:pStyle w:val="FootnoteText"/>
      </w:pPr>
      <w:r w:rsidRPr="00D72450">
        <w:rPr>
          <w:rStyle w:val="FootnoteReference"/>
        </w:rPr>
        <w:footnoteRef/>
      </w:r>
      <w:r>
        <w:t xml:space="preserve"> </w:t>
      </w:r>
      <w:proofErr w:type="spellStart"/>
      <w:r w:rsidRPr="00326A69">
        <w:rPr>
          <w:rFonts w:cs="Times New Roman"/>
          <w:lang w:val="en-US"/>
        </w:rPr>
        <w:t>Cambareri</w:t>
      </w:r>
      <w:proofErr w:type="spellEnd"/>
      <w:r w:rsidRPr="00326A69">
        <w:rPr>
          <w:rFonts w:cs="Times New Roman"/>
          <w:lang w:val="en-US"/>
        </w:rPr>
        <w:t xml:space="preserve">, </w:t>
      </w:r>
      <w:r w:rsidRPr="00326A69">
        <w:rPr>
          <w:rFonts w:cs="Times New Roman"/>
          <w:i/>
          <w:iCs/>
          <w:lang w:val="en-US"/>
        </w:rPr>
        <w:t>Della Robbia</w:t>
      </w:r>
      <w:r w:rsidRPr="00326A69">
        <w:rPr>
          <w:rFonts w:cs="Times New Roman"/>
          <w:lang w:val="en-US"/>
        </w:rPr>
        <w:t>, 89–103.</w:t>
      </w:r>
    </w:p>
  </w:footnote>
  <w:footnote w:id="745">
    <w:p w14:paraId="601F4F36" w14:textId="77777777" w:rsidR="00182EED" w:rsidRDefault="00182EED" w:rsidP="00310CB2">
      <w:pPr>
        <w:pStyle w:val="FootnoteText"/>
      </w:pPr>
      <w:r w:rsidRPr="00D72450">
        <w:rPr>
          <w:rStyle w:val="FootnoteReference"/>
        </w:rPr>
        <w:footnoteRef/>
      </w:r>
      <w:r w:rsidRPr="009D63D5">
        <w:t xml:space="preserve"> </w:t>
      </w:r>
      <w:proofErr w:type="spellStart"/>
      <w:r w:rsidRPr="009D63D5">
        <w:t>Cf</w:t>
      </w:r>
      <w:proofErr w:type="spellEnd"/>
      <w:r w:rsidRPr="009D63D5">
        <w:t xml:space="preserve"> figs 1.8 and 1.9</w:t>
      </w:r>
    </w:p>
  </w:footnote>
  <w:footnote w:id="746">
    <w:p w14:paraId="2C2EBADC" w14:textId="77777777" w:rsidR="00182EED" w:rsidRDefault="00182EED" w:rsidP="00310CB2">
      <w:pPr>
        <w:pStyle w:val="FootnoteText"/>
      </w:pPr>
      <w:r w:rsidRPr="00D72450">
        <w:rPr>
          <w:rStyle w:val="FootnoteReference"/>
        </w:rPr>
        <w:footnoteRef/>
      </w:r>
      <w:r>
        <w:t xml:space="preserve"> </w:t>
      </w:r>
      <w:r w:rsidRPr="00326A69">
        <w:rPr>
          <w:rFonts w:cs="Times New Roman"/>
          <w:lang w:val="en-US"/>
        </w:rPr>
        <w:t xml:space="preserve">“Nativity </w:t>
      </w:r>
      <w:r w:rsidRPr="00326A69">
        <w:rPr>
          <w:rFonts w:cs="Times New Roman"/>
          <w:lang w:val="en-US"/>
        </w:rPr>
        <w:t xml:space="preserve">With Gloria In Excelsis,” in </w:t>
      </w:r>
      <w:r w:rsidRPr="00326A69">
        <w:rPr>
          <w:rFonts w:cs="Times New Roman"/>
          <w:i/>
          <w:iCs/>
          <w:lang w:val="en-US"/>
        </w:rPr>
        <w:t>Museum of Fine Art, Boston, Online Catalogue</w:t>
      </w:r>
      <w:r w:rsidRPr="00326A69">
        <w:rPr>
          <w:rFonts w:cs="Times New Roman"/>
          <w:lang w:val="en-US"/>
        </w:rPr>
        <w:t>, accessed February 12, 2019, https://www.mfa.org/collections/object/nativity-with-gloria-in-excelsis-58902.</w:t>
      </w:r>
    </w:p>
  </w:footnote>
  <w:footnote w:id="747">
    <w:p w14:paraId="17C36783" w14:textId="77777777" w:rsidR="00182EED" w:rsidRDefault="00182EED" w:rsidP="00310CB2">
      <w:pPr>
        <w:pStyle w:val="FootnoteText"/>
      </w:pPr>
      <w:r w:rsidRPr="00D72450">
        <w:rPr>
          <w:rStyle w:val="FootnoteReference"/>
        </w:rPr>
        <w:footnoteRef/>
      </w:r>
      <w:r>
        <w:t xml:space="preserve"> </w:t>
      </w:r>
      <w:r w:rsidRPr="00326A69">
        <w:rPr>
          <w:rFonts w:cs="Times New Roman"/>
          <w:lang w:val="en-US"/>
        </w:rPr>
        <w:t xml:space="preserve">Peta </w:t>
      </w:r>
      <w:proofErr w:type="spellStart"/>
      <w:r w:rsidRPr="00326A69">
        <w:rPr>
          <w:rFonts w:cs="Times New Roman"/>
          <w:lang w:val="en-US"/>
        </w:rPr>
        <w:t>Motture</w:t>
      </w:r>
      <w:proofErr w:type="spellEnd"/>
      <w:r w:rsidRPr="00326A69">
        <w:rPr>
          <w:rFonts w:cs="Times New Roman"/>
          <w:lang w:val="en-US"/>
        </w:rPr>
        <w:t xml:space="preserve"> and Luke Syson, “Art in the Casa,” in </w:t>
      </w:r>
      <w:r w:rsidRPr="00326A69">
        <w:rPr>
          <w:rFonts w:cs="Times New Roman"/>
          <w:i/>
          <w:iCs/>
          <w:lang w:val="en-US"/>
        </w:rPr>
        <w:t>At Home in Renaissance Italy</w:t>
      </w:r>
      <w:r w:rsidRPr="00326A69">
        <w:rPr>
          <w:rFonts w:cs="Times New Roman"/>
          <w:lang w:val="en-US"/>
        </w:rPr>
        <w:t xml:space="preserve">, ed. Marta </w:t>
      </w:r>
      <w:proofErr w:type="spellStart"/>
      <w:r w:rsidRPr="00326A69">
        <w:rPr>
          <w:rFonts w:cs="Times New Roman"/>
          <w:lang w:val="en-US"/>
        </w:rPr>
        <w:t>Ajmar-Wollheim</w:t>
      </w:r>
      <w:proofErr w:type="spellEnd"/>
      <w:r w:rsidRPr="00326A69">
        <w:rPr>
          <w:rFonts w:cs="Times New Roman"/>
          <w:lang w:val="en-US"/>
        </w:rPr>
        <w:t xml:space="preserve"> and Flora Dennis (London: V&amp;A Publications, 2006), 321. See also Chapter 3.1.2.</w:t>
      </w:r>
    </w:p>
  </w:footnote>
  <w:footnote w:id="748">
    <w:p w14:paraId="3E66BB0C" w14:textId="77777777" w:rsidR="00182EED" w:rsidRDefault="00182EED" w:rsidP="00310CB2">
      <w:pPr>
        <w:pStyle w:val="FootnoteText"/>
      </w:pPr>
      <w:r w:rsidRPr="00D72450">
        <w:rPr>
          <w:rStyle w:val="FootnoteReference"/>
        </w:rPr>
        <w:footnoteRef/>
      </w:r>
      <w:r>
        <w:t xml:space="preserve"> </w:t>
      </w:r>
      <w:r w:rsidRPr="00326A69">
        <w:rPr>
          <w:rFonts w:cs="Times New Roman"/>
          <w:lang w:val="en-US"/>
        </w:rPr>
        <w:t xml:space="preserve">Rita </w:t>
      </w:r>
      <w:proofErr w:type="spellStart"/>
      <w:r w:rsidRPr="00326A69">
        <w:rPr>
          <w:rFonts w:cs="Times New Roman"/>
          <w:lang w:val="en-US"/>
        </w:rPr>
        <w:t>Comanducci</w:t>
      </w:r>
      <w:proofErr w:type="spellEnd"/>
      <w:r w:rsidRPr="00326A69">
        <w:rPr>
          <w:rFonts w:cs="Times New Roman"/>
          <w:lang w:val="en-US"/>
        </w:rPr>
        <w:t>, “</w:t>
      </w:r>
      <w:proofErr w:type="spellStart"/>
      <w:r w:rsidRPr="00326A69">
        <w:rPr>
          <w:rFonts w:cs="Times New Roman"/>
          <w:lang w:val="en-US"/>
        </w:rPr>
        <w:t>Produzione</w:t>
      </w:r>
      <w:proofErr w:type="spellEnd"/>
      <w:r w:rsidRPr="00326A69">
        <w:rPr>
          <w:rFonts w:cs="Times New Roman"/>
          <w:lang w:val="en-US"/>
        </w:rPr>
        <w:t xml:space="preserve"> </w:t>
      </w:r>
      <w:proofErr w:type="spellStart"/>
      <w:r w:rsidRPr="00326A69">
        <w:rPr>
          <w:rFonts w:cs="Times New Roman"/>
          <w:lang w:val="en-US"/>
        </w:rPr>
        <w:t>serial</w:t>
      </w:r>
      <w:r>
        <w:rPr>
          <w:rFonts w:cs="Times New Roman"/>
          <w:lang w:val="en-US"/>
        </w:rPr>
        <w:t>e</w:t>
      </w:r>
      <w:proofErr w:type="spellEnd"/>
      <w:r w:rsidRPr="00326A69">
        <w:rPr>
          <w:rFonts w:cs="Times New Roman"/>
          <w:lang w:val="en-US"/>
        </w:rPr>
        <w:t xml:space="preserve"> e </w:t>
      </w:r>
      <w:proofErr w:type="spellStart"/>
      <w:r w:rsidRPr="00326A69">
        <w:rPr>
          <w:rFonts w:cs="Times New Roman"/>
          <w:lang w:val="en-US"/>
        </w:rPr>
        <w:t>mercato</w:t>
      </w:r>
      <w:proofErr w:type="spellEnd"/>
      <w:r w:rsidRPr="00326A69">
        <w:rPr>
          <w:rFonts w:cs="Times New Roman"/>
          <w:lang w:val="en-US"/>
        </w:rPr>
        <w:t xml:space="preserve"> </w:t>
      </w:r>
      <w:proofErr w:type="spellStart"/>
      <w:r w:rsidRPr="00326A69">
        <w:rPr>
          <w:rFonts w:cs="Times New Roman"/>
          <w:lang w:val="en-US"/>
        </w:rPr>
        <w:t>d’arte</w:t>
      </w:r>
      <w:proofErr w:type="spellEnd"/>
      <w:r w:rsidRPr="00326A69">
        <w:rPr>
          <w:rFonts w:cs="Times New Roman"/>
          <w:lang w:val="en-US"/>
        </w:rPr>
        <w:t xml:space="preserve"> a Firenze </w:t>
      </w:r>
      <w:proofErr w:type="spellStart"/>
      <w:r w:rsidRPr="00326A69">
        <w:rPr>
          <w:rFonts w:cs="Times New Roman"/>
          <w:lang w:val="en-US"/>
        </w:rPr>
        <w:t>tra</w:t>
      </w:r>
      <w:proofErr w:type="spellEnd"/>
      <w:r w:rsidRPr="00326A69">
        <w:rPr>
          <w:rFonts w:cs="Times New Roman"/>
          <w:lang w:val="en-US"/>
        </w:rPr>
        <w:t xml:space="preserve"> Quattro e Cinquecento,” in </w:t>
      </w:r>
      <w:r w:rsidRPr="00326A69">
        <w:rPr>
          <w:rFonts w:cs="Times New Roman"/>
          <w:i/>
          <w:iCs/>
          <w:lang w:val="en-US"/>
        </w:rPr>
        <w:t xml:space="preserve">The art market in Italy 15th - 17th centuries: Il </w:t>
      </w:r>
      <w:proofErr w:type="spellStart"/>
      <w:r w:rsidRPr="00326A69">
        <w:rPr>
          <w:rFonts w:cs="Times New Roman"/>
          <w:i/>
          <w:iCs/>
          <w:lang w:val="en-US"/>
        </w:rPr>
        <w:t>mercato</w:t>
      </w:r>
      <w:proofErr w:type="spellEnd"/>
      <w:r w:rsidRPr="00326A69">
        <w:rPr>
          <w:rFonts w:cs="Times New Roman"/>
          <w:i/>
          <w:iCs/>
          <w:lang w:val="en-US"/>
        </w:rPr>
        <w:t xml:space="preserve"> </w:t>
      </w:r>
      <w:proofErr w:type="spellStart"/>
      <w:r w:rsidRPr="00326A69">
        <w:rPr>
          <w:rFonts w:cs="Times New Roman"/>
          <w:i/>
          <w:iCs/>
          <w:lang w:val="en-US"/>
        </w:rPr>
        <w:t>dell’Arte</w:t>
      </w:r>
      <w:proofErr w:type="spellEnd"/>
      <w:r w:rsidRPr="00326A69">
        <w:rPr>
          <w:rFonts w:cs="Times New Roman"/>
          <w:i/>
          <w:iCs/>
          <w:lang w:val="en-US"/>
        </w:rPr>
        <w:t xml:space="preserve"> in Italia </w:t>
      </w:r>
      <w:proofErr w:type="spellStart"/>
      <w:r w:rsidRPr="00326A69">
        <w:rPr>
          <w:rFonts w:cs="Times New Roman"/>
          <w:i/>
          <w:iCs/>
          <w:lang w:val="en-US"/>
        </w:rPr>
        <w:t>secc</w:t>
      </w:r>
      <w:proofErr w:type="spellEnd"/>
      <w:r w:rsidRPr="00326A69">
        <w:rPr>
          <w:rFonts w:cs="Times New Roman"/>
          <w:i/>
          <w:iCs/>
          <w:lang w:val="en-US"/>
        </w:rPr>
        <w:t>. XV-XVII</w:t>
      </w:r>
      <w:r w:rsidRPr="00326A69">
        <w:rPr>
          <w:rFonts w:cs="Times New Roman"/>
          <w:lang w:val="en-US"/>
        </w:rPr>
        <w:t xml:space="preserve">, ed. Marcello </w:t>
      </w:r>
      <w:proofErr w:type="spellStart"/>
      <w:r w:rsidRPr="00326A69">
        <w:rPr>
          <w:rFonts w:cs="Times New Roman"/>
          <w:lang w:val="en-US"/>
        </w:rPr>
        <w:t>Fantoni</w:t>
      </w:r>
      <w:proofErr w:type="spellEnd"/>
      <w:r w:rsidRPr="00326A69">
        <w:rPr>
          <w:rFonts w:cs="Times New Roman"/>
          <w:lang w:val="en-US"/>
        </w:rPr>
        <w:t>, Louisa C Matthew, and Sara F Matthews-</w:t>
      </w:r>
      <w:proofErr w:type="spellStart"/>
      <w:r w:rsidRPr="00326A69">
        <w:rPr>
          <w:rFonts w:cs="Times New Roman"/>
          <w:lang w:val="en-US"/>
        </w:rPr>
        <w:t>Grieco</w:t>
      </w:r>
      <w:proofErr w:type="spellEnd"/>
      <w:r w:rsidRPr="00326A69">
        <w:rPr>
          <w:rFonts w:cs="Times New Roman"/>
          <w:lang w:val="en-US"/>
        </w:rPr>
        <w:t xml:space="preserve"> (Modena: Franco Cosimo Panini, 2003), 106; see also </w:t>
      </w:r>
      <w:proofErr w:type="spellStart"/>
      <w:r w:rsidRPr="00326A69">
        <w:rPr>
          <w:rFonts w:cs="Times New Roman"/>
          <w:lang w:val="en-US"/>
        </w:rPr>
        <w:t>Brundin</w:t>
      </w:r>
      <w:proofErr w:type="spellEnd"/>
      <w:r w:rsidRPr="00326A69">
        <w:rPr>
          <w:rFonts w:cs="Times New Roman"/>
          <w:lang w:val="en-US"/>
        </w:rPr>
        <w:t xml:space="preserve">, Howard, and </w:t>
      </w:r>
      <w:proofErr w:type="spellStart"/>
      <w:r w:rsidRPr="00326A69">
        <w:rPr>
          <w:rFonts w:cs="Times New Roman"/>
          <w:lang w:val="en-US"/>
        </w:rPr>
        <w:t>Laven</w:t>
      </w:r>
      <w:proofErr w:type="spellEnd"/>
      <w:r w:rsidRPr="00326A69">
        <w:rPr>
          <w:rFonts w:cs="Times New Roman"/>
          <w:lang w:val="en-US"/>
        </w:rPr>
        <w:t xml:space="preserve">, </w:t>
      </w:r>
      <w:r w:rsidRPr="00326A69">
        <w:rPr>
          <w:rFonts w:cs="Times New Roman"/>
          <w:i/>
          <w:iCs/>
          <w:lang w:val="en-US"/>
        </w:rPr>
        <w:t>The Sacred Home in Renaissance Italy</w:t>
      </w:r>
      <w:r w:rsidRPr="00326A69">
        <w:rPr>
          <w:rFonts w:cs="Times New Roman"/>
          <w:lang w:val="en-US"/>
        </w:rPr>
        <w:t>, 182.</w:t>
      </w:r>
    </w:p>
  </w:footnote>
  <w:footnote w:id="749">
    <w:p w14:paraId="06228684" w14:textId="77777777" w:rsidR="00182EED" w:rsidRDefault="00182EED" w:rsidP="00310CB2">
      <w:pPr>
        <w:pStyle w:val="FootnoteText"/>
      </w:pPr>
      <w:r w:rsidRPr="00D72450">
        <w:rPr>
          <w:rStyle w:val="FootnoteReference"/>
        </w:rPr>
        <w:footnoteRef/>
      </w:r>
      <w:r>
        <w:t xml:space="preserve"> </w:t>
      </w:r>
      <w:proofErr w:type="spellStart"/>
      <w:r w:rsidRPr="00326A69">
        <w:rPr>
          <w:rFonts w:cs="Times New Roman"/>
          <w:lang w:val="en-US"/>
        </w:rPr>
        <w:t>Comanducci</w:t>
      </w:r>
      <w:proofErr w:type="spellEnd"/>
      <w:r w:rsidRPr="00326A69">
        <w:rPr>
          <w:rFonts w:cs="Times New Roman"/>
          <w:lang w:val="en-US"/>
        </w:rPr>
        <w:t>, “</w:t>
      </w:r>
      <w:proofErr w:type="spellStart"/>
      <w:r w:rsidRPr="00326A69">
        <w:rPr>
          <w:rFonts w:cs="Times New Roman"/>
          <w:lang w:val="en-US"/>
        </w:rPr>
        <w:t>Produzione</w:t>
      </w:r>
      <w:proofErr w:type="spellEnd"/>
      <w:r w:rsidRPr="00326A69">
        <w:rPr>
          <w:rFonts w:cs="Times New Roman"/>
          <w:lang w:val="en-US"/>
        </w:rPr>
        <w:t xml:space="preserve"> </w:t>
      </w:r>
      <w:proofErr w:type="spellStart"/>
      <w:r w:rsidRPr="00326A69">
        <w:rPr>
          <w:rFonts w:cs="Times New Roman"/>
          <w:lang w:val="en-US"/>
        </w:rPr>
        <w:t>serial</w:t>
      </w:r>
      <w:r>
        <w:rPr>
          <w:rFonts w:cs="Times New Roman"/>
          <w:lang w:val="en-US"/>
        </w:rPr>
        <w:t>e</w:t>
      </w:r>
      <w:proofErr w:type="spellEnd"/>
      <w:r w:rsidRPr="00326A69">
        <w:rPr>
          <w:rFonts w:cs="Times New Roman"/>
          <w:lang w:val="en-US"/>
        </w:rPr>
        <w:t xml:space="preserve"> e </w:t>
      </w:r>
      <w:proofErr w:type="spellStart"/>
      <w:r w:rsidRPr="00326A69">
        <w:rPr>
          <w:rFonts w:cs="Times New Roman"/>
          <w:lang w:val="en-US"/>
        </w:rPr>
        <w:t>mercato</w:t>
      </w:r>
      <w:proofErr w:type="spellEnd"/>
      <w:r w:rsidRPr="00326A69">
        <w:rPr>
          <w:rFonts w:cs="Times New Roman"/>
          <w:lang w:val="en-US"/>
        </w:rPr>
        <w:t xml:space="preserve"> </w:t>
      </w:r>
      <w:proofErr w:type="spellStart"/>
      <w:r w:rsidRPr="00326A69">
        <w:rPr>
          <w:rFonts w:cs="Times New Roman"/>
          <w:lang w:val="en-US"/>
        </w:rPr>
        <w:t>d’arte</w:t>
      </w:r>
      <w:proofErr w:type="spellEnd"/>
      <w:r w:rsidRPr="00326A69">
        <w:rPr>
          <w:rFonts w:cs="Times New Roman"/>
          <w:lang w:val="en-US"/>
        </w:rPr>
        <w:t xml:space="preserve"> a Firenze </w:t>
      </w:r>
      <w:proofErr w:type="spellStart"/>
      <w:r w:rsidRPr="00326A69">
        <w:rPr>
          <w:rFonts w:cs="Times New Roman"/>
          <w:lang w:val="en-US"/>
        </w:rPr>
        <w:t>tra</w:t>
      </w:r>
      <w:proofErr w:type="spellEnd"/>
      <w:r w:rsidRPr="00326A69">
        <w:rPr>
          <w:rFonts w:cs="Times New Roman"/>
          <w:lang w:val="en-US"/>
        </w:rPr>
        <w:t xml:space="preserve"> Quattro e Cinquecento,” 108.</w:t>
      </w:r>
    </w:p>
  </w:footnote>
  <w:footnote w:id="750">
    <w:p w14:paraId="758F308B" w14:textId="77777777" w:rsidR="00182EED" w:rsidRDefault="00182EED" w:rsidP="00310CB2">
      <w:pPr>
        <w:pStyle w:val="FootnoteText"/>
      </w:pPr>
      <w:r w:rsidRPr="00D72450">
        <w:rPr>
          <w:rStyle w:val="FootnoteReference"/>
        </w:rPr>
        <w:footnoteRef/>
      </w:r>
      <w:r>
        <w:t xml:space="preserve"> </w:t>
      </w:r>
      <w:r w:rsidRPr="00293834">
        <w:rPr>
          <w:rFonts w:cs="Times New Roman"/>
          <w:lang w:val="en-US"/>
        </w:rPr>
        <w:t xml:space="preserve">W. L. </w:t>
      </w:r>
      <w:proofErr w:type="spellStart"/>
      <w:r w:rsidRPr="00293834">
        <w:rPr>
          <w:rFonts w:cs="Times New Roman"/>
          <w:lang w:val="en-US"/>
        </w:rPr>
        <w:t>Hildburgh</w:t>
      </w:r>
      <w:proofErr w:type="spellEnd"/>
      <w:r w:rsidRPr="00293834">
        <w:rPr>
          <w:rFonts w:cs="Times New Roman"/>
          <w:lang w:val="en-US"/>
        </w:rPr>
        <w:t xml:space="preserve">, “A Marble Relief Attributable to Donatello and Some Associable Stuccos,” </w:t>
      </w:r>
      <w:r w:rsidRPr="00293834">
        <w:rPr>
          <w:rFonts w:cs="Times New Roman"/>
          <w:i/>
          <w:iCs/>
          <w:lang w:val="en-US"/>
        </w:rPr>
        <w:t>The Art Bulletin</w:t>
      </w:r>
      <w:r w:rsidRPr="00293834">
        <w:rPr>
          <w:rFonts w:cs="Times New Roman"/>
          <w:lang w:val="en-US"/>
        </w:rPr>
        <w:t xml:space="preserve"> 30, no. 1 (1948): 12–13; Anna Jolly, </w:t>
      </w:r>
      <w:proofErr w:type="spellStart"/>
      <w:r w:rsidRPr="00293834">
        <w:rPr>
          <w:rFonts w:cs="Times New Roman"/>
          <w:i/>
          <w:iCs/>
          <w:lang w:val="en-US"/>
        </w:rPr>
        <w:t>Madonnas</w:t>
      </w:r>
      <w:proofErr w:type="spellEnd"/>
      <w:r w:rsidRPr="00293834">
        <w:rPr>
          <w:rFonts w:cs="Times New Roman"/>
          <w:i/>
          <w:iCs/>
          <w:lang w:val="en-US"/>
        </w:rPr>
        <w:t xml:space="preserve"> by Donatello and His Circle</w:t>
      </w:r>
      <w:r w:rsidRPr="00293834">
        <w:rPr>
          <w:rFonts w:cs="Times New Roman"/>
          <w:lang w:val="en-US"/>
        </w:rPr>
        <w:t xml:space="preserve"> (Frankfurt am Main: Lang, 1998), n.20.3, 110; </w:t>
      </w:r>
      <w:proofErr w:type="spellStart"/>
      <w:r w:rsidRPr="00293834">
        <w:rPr>
          <w:rFonts w:cs="Times New Roman"/>
          <w:lang w:val="en-US"/>
        </w:rPr>
        <w:t>Gentilini</w:t>
      </w:r>
      <w:proofErr w:type="spellEnd"/>
      <w:r w:rsidRPr="00293834">
        <w:rPr>
          <w:rFonts w:cs="Times New Roman"/>
          <w:lang w:val="en-US"/>
        </w:rPr>
        <w:t xml:space="preserve">, </w:t>
      </w:r>
      <w:r w:rsidRPr="00293834">
        <w:rPr>
          <w:rFonts w:cs="Times New Roman"/>
          <w:i/>
          <w:iCs/>
          <w:lang w:val="en-US"/>
        </w:rPr>
        <w:t>I Della Robbia</w:t>
      </w:r>
      <w:r w:rsidRPr="00293834">
        <w:rPr>
          <w:rFonts w:cs="Times New Roman"/>
          <w:lang w:val="en-US"/>
        </w:rPr>
        <w:t>, 22, 147, n.3.</w:t>
      </w:r>
    </w:p>
  </w:footnote>
  <w:footnote w:id="751">
    <w:p w14:paraId="1146465A" w14:textId="77777777" w:rsidR="00182EED" w:rsidRDefault="00182EED" w:rsidP="00310CB2">
      <w:pPr>
        <w:pStyle w:val="FootnoteText"/>
      </w:pPr>
      <w:r w:rsidRPr="00D72450">
        <w:rPr>
          <w:rStyle w:val="FootnoteReference"/>
        </w:rPr>
        <w:footnoteRef/>
      </w:r>
      <w:r>
        <w:t xml:space="preserve"> </w:t>
      </w:r>
      <w:proofErr w:type="spellStart"/>
      <w:r w:rsidRPr="00293834">
        <w:rPr>
          <w:rFonts w:cs="Times New Roman"/>
          <w:lang w:val="en-US"/>
        </w:rPr>
        <w:t>Hildburgh</w:t>
      </w:r>
      <w:proofErr w:type="spellEnd"/>
      <w:r w:rsidRPr="00293834">
        <w:rPr>
          <w:rFonts w:cs="Times New Roman"/>
          <w:lang w:val="en-US"/>
        </w:rPr>
        <w:t>, “A Marble Relief Attributable to Donatello and Some Associable Stuccos,” 11–19.</w:t>
      </w:r>
    </w:p>
  </w:footnote>
  <w:footnote w:id="752">
    <w:p w14:paraId="500595EE" w14:textId="77777777" w:rsidR="00182EED" w:rsidRDefault="00182EED" w:rsidP="00310CB2">
      <w:pPr>
        <w:pStyle w:val="FootnoteText"/>
      </w:pPr>
      <w:r w:rsidRPr="00D72450">
        <w:rPr>
          <w:rStyle w:val="FootnoteReference"/>
        </w:rPr>
        <w:footnoteRef/>
      </w:r>
      <w:r>
        <w:t xml:space="preserve"> </w:t>
      </w:r>
      <w:r w:rsidRPr="009D63D5">
        <w:rPr>
          <w:rFonts w:cs="Times New Roman"/>
          <w:lang w:val="en-US"/>
        </w:rPr>
        <w:t xml:space="preserve">G. F. Hill, “The Whitcombe Greene Plaquettes,” </w:t>
      </w:r>
      <w:r w:rsidRPr="009D63D5">
        <w:rPr>
          <w:rFonts w:cs="Times New Roman"/>
          <w:i/>
          <w:iCs/>
          <w:lang w:val="en-US"/>
        </w:rPr>
        <w:t>The Burlington Magazine for Connoisseurs</w:t>
      </w:r>
      <w:r w:rsidRPr="009D63D5">
        <w:rPr>
          <w:rFonts w:cs="Times New Roman"/>
          <w:lang w:val="en-US"/>
        </w:rPr>
        <w:t xml:space="preserve"> 30, no. 168 (1917): 104; Douglas Lewis, “The Plaquettes of ‘</w:t>
      </w:r>
      <w:proofErr w:type="spellStart"/>
      <w:r w:rsidRPr="009D63D5">
        <w:rPr>
          <w:rFonts w:cs="Times New Roman"/>
          <w:lang w:val="en-US"/>
        </w:rPr>
        <w:t>Moderno</w:t>
      </w:r>
      <w:proofErr w:type="spellEnd"/>
      <w:r w:rsidRPr="009D63D5">
        <w:rPr>
          <w:rFonts w:cs="Times New Roman"/>
          <w:lang w:val="en-US"/>
        </w:rPr>
        <w:t xml:space="preserve">’ and His Followers,” </w:t>
      </w:r>
      <w:r w:rsidRPr="009D63D5">
        <w:rPr>
          <w:rFonts w:cs="Times New Roman"/>
          <w:i/>
          <w:iCs/>
          <w:lang w:val="en-US"/>
        </w:rPr>
        <w:t>Studies in the History of Art</w:t>
      </w:r>
      <w:r w:rsidRPr="009D63D5">
        <w:rPr>
          <w:rFonts w:cs="Times New Roman"/>
          <w:lang w:val="en-US"/>
        </w:rPr>
        <w:t xml:space="preserve"> 22 (1989): 116; “Object Number A.425-1910,” in </w:t>
      </w:r>
      <w:r w:rsidRPr="009D63D5">
        <w:rPr>
          <w:rFonts w:cs="Times New Roman"/>
          <w:i/>
          <w:iCs/>
          <w:lang w:val="en-US"/>
        </w:rPr>
        <w:t>V&amp;A Online Catalogue</w:t>
      </w:r>
      <w:r w:rsidRPr="009D63D5">
        <w:rPr>
          <w:rFonts w:cs="Times New Roman"/>
          <w:lang w:val="en-US"/>
        </w:rPr>
        <w:t>, accessed March 5, 2019.</w:t>
      </w:r>
    </w:p>
  </w:footnote>
  <w:footnote w:id="753">
    <w:p w14:paraId="01559DE3" w14:textId="77777777" w:rsidR="00182EED" w:rsidRPr="007D74A3" w:rsidRDefault="00182EED">
      <w:pPr>
        <w:pStyle w:val="FootnoteText"/>
      </w:pPr>
      <w:r>
        <w:rPr>
          <w:rStyle w:val="FootnoteReference"/>
        </w:rPr>
        <w:footnoteRef/>
      </w:r>
      <w:r>
        <w:t xml:space="preserve"> David S. </w:t>
      </w:r>
      <w:proofErr w:type="spellStart"/>
      <w:r>
        <w:t>Areflord</w:t>
      </w:r>
      <w:proofErr w:type="spellEnd"/>
      <w:r>
        <w:t xml:space="preserve">, </w:t>
      </w:r>
      <w:r w:rsidRPr="007D74A3">
        <w:rPr>
          <w:i/>
          <w:iCs/>
        </w:rPr>
        <w:t>The Viewer and the Printed Image in Late Medieval Europe</w:t>
      </w:r>
      <w:r>
        <w:t xml:space="preserve"> (</w:t>
      </w:r>
      <w:r w:rsidRPr="007D74A3">
        <w:t>Farnham, England; Burlington, VT: Ashgate, 2010</w:t>
      </w:r>
      <w:r>
        <w:t>), 2-3.</w:t>
      </w:r>
    </w:p>
  </w:footnote>
  <w:footnote w:id="754">
    <w:p w14:paraId="4C96B973" w14:textId="5C146BF2" w:rsidR="00182EED" w:rsidRDefault="00182EED" w:rsidP="00347B3B">
      <w:pPr>
        <w:pStyle w:val="FootnoteText"/>
      </w:pPr>
      <w:r>
        <w:rPr>
          <w:rStyle w:val="FootnoteReference"/>
        </w:rPr>
        <w:footnoteRef/>
      </w:r>
      <w:r>
        <w:t xml:space="preserve"> Roberto </w:t>
      </w:r>
      <w:proofErr w:type="spellStart"/>
      <w:r>
        <w:t>Cobianchi</w:t>
      </w:r>
      <w:proofErr w:type="spellEnd"/>
      <w:r>
        <w:t xml:space="preserve">, “The Use of Woodcuts in Fifteenth-century Italy,” </w:t>
      </w:r>
      <w:r w:rsidRPr="00347B3B">
        <w:rPr>
          <w:i/>
          <w:iCs/>
        </w:rPr>
        <w:t>Print Quarterly</w:t>
      </w:r>
      <w:r>
        <w:t xml:space="preserve">, Vol. 23, No. 1 (March 2006): 50. A </w:t>
      </w:r>
      <w:r w:rsidRPr="00344A71">
        <w:t>hand-coloured woodcut print of the Virgin Nursing the Christ Child</w:t>
      </w:r>
      <w:r>
        <w:t xml:space="preserve">, detached from a door in Bassano prior to the demolition of a house, is now in the British Museum (museum number </w:t>
      </w:r>
      <w:r w:rsidRPr="00344A71">
        <w:t>1895,0122.1187</w:t>
      </w:r>
      <w:r>
        <w:t xml:space="preserve">), while another woodcut, still attached to its wooden support, is part of the V&amp;A collection (museum number </w:t>
      </w:r>
      <w:r w:rsidRPr="00344A71">
        <w:t>321A-1894</w:t>
      </w:r>
      <w:r>
        <w:t>).</w:t>
      </w:r>
    </w:p>
  </w:footnote>
  <w:footnote w:id="755">
    <w:p w14:paraId="4D553C28" w14:textId="1CDD2FB8" w:rsidR="00182EED" w:rsidRDefault="00182EED" w:rsidP="00854AEA">
      <w:pPr>
        <w:pStyle w:val="FootnoteText"/>
      </w:pPr>
      <w:r>
        <w:rPr>
          <w:rStyle w:val="FootnoteReference"/>
        </w:rPr>
        <w:footnoteRef/>
      </w:r>
      <w:r>
        <w:t xml:space="preserve"> </w:t>
      </w:r>
      <w:r w:rsidRPr="000C7B53">
        <w:t>Peter Parshall and Rainer Schoch</w:t>
      </w:r>
      <w:r>
        <w:t>,</w:t>
      </w:r>
      <w:r w:rsidRPr="000C7B53">
        <w:t xml:space="preserve"> </w:t>
      </w:r>
      <w:r>
        <w:t>“</w:t>
      </w:r>
      <w:r w:rsidRPr="000C7B53">
        <w:t>Early Woodcuts and the Reception of</w:t>
      </w:r>
      <w:r>
        <w:t xml:space="preserve"> </w:t>
      </w:r>
      <w:r w:rsidRPr="000C7B53">
        <w:t>the Primitive</w:t>
      </w:r>
      <w:r>
        <w:t xml:space="preserve">”, in Peter Parshall and Rainer Schoch, with David S. </w:t>
      </w:r>
      <w:proofErr w:type="spellStart"/>
      <w:r>
        <w:t>Areford</w:t>
      </w:r>
      <w:proofErr w:type="spellEnd"/>
      <w:r>
        <w:t>, Richard S. Field, and Peter Schmidt,</w:t>
      </w:r>
      <w:r w:rsidRPr="00854AEA">
        <w:rPr>
          <w:i/>
          <w:iCs/>
        </w:rPr>
        <w:t xml:space="preserve"> Origins of European Printmaking: Fifteenth-Century Woodcuts and Their Public</w:t>
      </w:r>
      <w:r>
        <w:t xml:space="preserve"> (</w:t>
      </w:r>
      <w:r w:rsidRPr="00854AEA">
        <w:t xml:space="preserve">Washington: National Gallery of Art; Nuremberg: </w:t>
      </w:r>
      <w:proofErr w:type="spellStart"/>
      <w:r w:rsidRPr="00854AEA">
        <w:t>Germanisches</w:t>
      </w:r>
      <w:proofErr w:type="spellEnd"/>
      <w:r w:rsidRPr="00854AEA">
        <w:t xml:space="preserve"> </w:t>
      </w:r>
      <w:proofErr w:type="spellStart"/>
      <w:r w:rsidRPr="00854AEA">
        <w:t>Nationalmuseum</w:t>
      </w:r>
      <w:proofErr w:type="spellEnd"/>
      <w:r w:rsidRPr="00854AEA">
        <w:t>; New Haven: in association with Yale University Press, 2005</w:t>
      </w:r>
      <w:r>
        <w:t>), 2.</w:t>
      </w:r>
    </w:p>
  </w:footnote>
  <w:footnote w:id="756">
    <w:p w14:paraId="59F1A57E" w14:textId="77777777" w:rsidR="00182EED" w:rsidRDefault="00182EED" w:rsidP="00DE6788">
      <w:pPr>
        <w:pStyle w:val="FootnoteText"/>
      </w:pPr>
      <w:r>
        <w:rPr>
          <w:rStyle w:val="FootnoteReference"/>
        </w:rPr>
        <w:footnoteRef/>
      </w:r>
      <w:r>
        <w:t xml:space="preserve"> Brian Richardson, </w:t>
      </w:r>
      <w:r w:rsidRPr="00183980">
        <w:rPr>
          <w:i/>
          <w:iCs/>
        </w:rPr>
        <w:t>Printing, writers and readers in Renaissance Italy</w:t>
      </w:r>
      <w:r>
        <w:t xml:space="preserve"> (Cambridge: Cambridge University Press, 1999), 118.</w:t>
      </w:r>
    </w:p>
  </w:footnote>
  <w:footnote w:id="757">
    <w:p w14:paraId="2666C03F" w14:textId="77777777" w:rsidR="00182EED" w:rsidRPr="0069382A" w:rsidRDefault="00182EED">
      <w:pPr>
        <w:pStyle w:val="FootnoteText"/>
      </w:pPr>
      <w:r>
        <w:rPr>
          <w:rStyle w:val="FootnoteReference"/>
        </w:rPr>
        <w:footnoteRef/>
      </w:r>
      <w:r>
        <w:t xml:space="preserve"> Mary Kay Duggan, </w:t>
      </w:r>
      <w:r>
        <w:rPr>
          <w:i/>
          <w:iCs/>
        </w:rPr>
        <w:t>Italian Music Incunabula: Printers and Type</w:t>
      </w:r>
      <w:r>
        <w:t xml:space="preserve"> (Berkeley and Los Angeles: University of California Press, 1992), 1, 15. On early printed music books in Italy, see Ibidem, 11-22.</w:t>
      </w:r>
    </w:p>
  </w:footnote>
  <w:footnote w:id="758">
    <w:p w14:paraId="4EE9F2D3" w14:textId="02CD7DA8" w:rsidR="00182EED" w:rsidRDefault="00182EED">
      <w:pPr>
        <w:pStyle w:val="FootnoteText"/>
      </w:pPr>
      <w:r>
        <w:rPr>
          <w:rStyle w:val="FootnoteReference"/>
        </w:rPr>
        <w:footnoteRef/>
      </w:r>
      <w:r>
        <w:t xml:space="preserve"> Iain Fenlon, “Music and Society,” in </w:t>
      </w:r>
      <w:r w:rsidRPr="009C071C">
        <w:rPr>
          <w:i/>
          <w:iCs/>
        </w:rPr>
        <w:t>The Renaissance: From the 1470s to the end of the 16</w:t>
      </w:r>
      <w:r w:rsidRPr="009C071C">
        <w:rPr>
          <w:i/>
          <w:iCs/>
          <w:vertAlign w:val="superscript"/>
        </w:rPr>
        <w:t>th</w:t>
      </w:r>
      <w:r w:rsidRPr="009C071C">
        <w:rPr>
          <w:i/>
          <w:iCs/>
        </w:rPr>
        <w:t xml:space="preserve"> century</w:t>
      </w:r>
      <w:r>
        <w:t>, ed. Iain Fenlon (Basingstoke and London: The Macmillan Press, 1989), 4-5.</w:t>
      </w:r>
    </w:p>
  </w:footnote>
  <w:footnote w:id="759">
    <w:p w14:paraId="00155C80" w14:textId="77777777" w:rsidR="00182EED" w:rsidRDefault="00182EED">
      <w:pPr>
        <w:pStyle w:val="FootnoteText"/>
      </w:pPr>
      <w:r>
        <w:rPr>
          <w:rStyle w:val="FootnoteReference"/>
        </w:rPr>
        <w:footnoteRef/>
      </w:r>
      <w:r>
        <w:t xml:space="preserve"> Ibid., 47-48.</w:t>
      </w:r>
    </w:p>
  </w:footnote>
  <w:footnote w:id="760">
    <w:p w14:paraId="4E8A57CA" w14:textId="77777777" w:rsidR="00182EED" w:rsidRDefault="00182EED" w:rsidP="00310CB2">
      <w:pPr>
        <w:pStyle w:val="FootnoteText"/>
      </w:pPr>
      <w:r w:rsidRPr="00D72450">
        <w:rPr>
          <w:rStyle w:val="FootnoteReference"/>
        </w:rPr>
        <w:footnoteRef/>
      </w:r>
      <w:r>
        <w:t xml:space="preserve"> </w:t>
      </w:r>
      <w:proofErr w:type="spellStart"/>
      <w:r w:rsidRPr="006361F1">
        <w:rPr>
          <w:rFonts w:cs="Times New Roman"/>
          <w:lang w:val="en-US"/>
        </w:rPr>
        <w:t>Motture</w:t>
      </w:r>
      <w:proofErr w:type="spellEnd"/>
      <w:r w:rsidRPr="006361F1">
        <w:rPr>
          <w:rFonts w:cs="Times New Roman"/>
          <w:lang w:val="en-US"/>
        </w:rPr>
        <w:t xml:space="preserve"> and Syson, “Art in the Casa,” 282.</w:t>
      </w:r>
    </w:p>
  </w:footnote>
  <w:footnote w:id="761">
    <w:p w14:paraId="2C56D08E" w14:textId="77777777" w:rsidR="00182EED" w:rsidRDefault="00182EED" w:rsidP="00310CB2">
      <w:pPr>
        <w:pStyle w:val="FootnoteText"/>
      </w:pPr>
      <w:r w:rsidRPr="00D72450">
        <w:rPr>
          <w:rStyle w:val="FootnoteReference"/>
        </w:rPr>
        <w:footnoteRef/>
      </w:r>
      <w:r>
        <w:t xml:space="preserve"> </w:t>
      </w:r>
      <w:r w:rsidRPr="006361F1">
        <w:rPr>
          <w:rFonts w:cs="Times New Roman"/>
          <w:lang w:val="en-US"/>
        </w:rPr>
        <w:t xml:space="preserve">Dale Kent, </w:t>
      </w:r>
      <w:r w:rsidRPr="006361F1">
        <w:rPr>
          <w:rFonts w:cs="Times New Roman"/>
          <w:i/>
          <w:iCs/>
          <w:lang w:val="en-US"/>
        </w:rPr>
        <w:t>Cosimo De’ Medici and the Florentine Renaissance: The Patron’s Oeuvre</w:t>
      </w:r>
      <w:r w:rsidRPr="006361F1">
        <w:rPr>
          <w:rFonts w:cs="Times New Roman"/>
          <w:lang w:val="en-US"/>
        </w:rPr>
        <w:t xml:space="preserve"> (New Haven and London: Yale University Press, 2000), 305, 209.</w:t>
      </w:r>
    </w:p>
  </w:footnote>
  <w:footnote w:id="762">
    <w:p w14:paraId="198B957B" w14:textId="77777777" w:rsidR="00182EED" w:rsidRDefault="00182EED" w:rsidP="00310CB2">
      <w:pPr>
        <w:pStyle w:val="FootnoteText"/>
      </w:pPr>
      <w:r w:rsidRPr="00D72450">
        <w:rPr>
          <w:rStyle w:val="FootnoteReference"/>
        </w:rPr>
        <w:footnoteRef/>
      </w:r>
      <w:r>
        <w:t xml:space="preserve"> </w:t>
      </w:r>
      <w:r>
        <w:rPr>
          <w:noProof/>
        </w:rPr>
        <w:t>Ibid., 305, 309.</w:t>
      </w:r>
    </w:p>
  </w:footnote>
  <w:footnote w:id="763">
    <w:p w14:paraId="1AF24483" w14:textId="77777777" w:rsidR="00182EED" w:rsidRDefault="00182EED" w:rsidP="00310CB2">
      <w:pPr>
        <w:pStyle w:val="FootnoteText"/>
      </w:pPr>
      <w:r w:rsidRPr="00D72450">
        <w:rPr>
          <w:rStyle w:val="FootnoteReference"/>
        </w:rPr>
        <w:footnoteRef/>
      </w:r>
      <w:r>
        <w:t xml:space="preserve"> </w:t>
      </w:r>
      <w:r w:rsidRPr="006361F1">
        <w:rPr>
          <w:rFonts w:cs="Times New Roman"/>
          <w:lang w:val="en-US"/>
        </w:rPr>
        <w:t xml:space="preserve">Cristina </w:t>
      </w:r>
      <w:proofErr w:type="spellStart"/>
      <w:r w:rsidRPr="006361F1">
        <w:rPr>
          <w:rFonts w:cs="Times New Roman"/>
          <w:lang w:val="en-US"/>
        </w:rPr>
        <w:t>Acidini</w:t>
      </w:r>
      <w:proofErr w:type="spellEnd"/>
      <w:r w:rsidRPr="006361F1">
        <w:rPr>
          <w:rFonts w:cs="Times New Roman"/>
          <w:lang w:val="en-US"/>
        </w:rPr>
        <w:t xml:space="preserve"> </w:t>
      </w:r>
      <w:proofErr w:type="spellStart"/>
      <w:r w:rsidRPr="006361F1">
        <w:rPr>
          <w:rFonts w:cs="Times New Roman"/>
          <w:lang w:val="en-US"/>
        </w:rPr>
        <w:t>Luchinat</w:t>
      </w:r>
      <w:proofErr w:type="spellEnd"/>
      <w:r w:rsidRPr="006361F1">
        <w:rPr>
          <w:rFonts w:cs="Times New Roman"/>
          <w:lang w:val="en-US"/>
        </w:rPr>
        <w:t xml:space="preserve">, “The Choirs of Angels,” in </w:t>
      </w:r>
      <w:r w:rsidRPr="006361F1">
        <w:rPr>
          <w:rFonts w:cs="Times New Roman"/>
          <w:i/>
          <w:iCs/>
          <w:lang w:val="en-US"/>
        </w:rPr>
        <w:t xml:space="preserve">The Chapel of the Magi: </w:t>
      </w:r>
      <w:proofErr w:type="spellStart"/>
      <w:r w:rsidRPr="006361F1">
        <w:rPr>
          <w:rFonts w:cs="Times New Roman"/>
          <w:i/>
          <w:iCs/>
          <w:lang w:val="en-US"/>
        </w:rPr>
        <w:t>Benozzo</w:t>
      </w:r>
      <w:proofErr w:type="spellEnd"/>
      <w:r w:rsidRPr="006361F1">
        <w:rPr>
          <w:rFonts w:cs="Times New Roman"/>
          <w:i/>
          <w:iCs/>
          <w:lang w:val="en-US"/>
        </w:rPr>
        <w:t xml:space="preserve"> </w:t>
      </w:r>
      <w:proofErr w:type="spellStart"/>
      <w:r w:rsidRPr="006361F1">
        <w:rPr>
          <w:rFonts w:cs="Times New Roman"/>
          <w:i/>
          <w:iCs/>
          <w:lang w:val="en-US"/>
        </w:rPr>
        <w:t>Gozzoli’s</w:t>
      </w:r>
      <w:proofErr w:type="spellEnd"/>
      <w:r w:rsidRPr="006361F1">
        <w:rPr>
          <w:rFonts w:cs="Times New Roman"/>
          <w:i/>
          <w:iCs/>
          <w:lang w:val="en-US"/>
        </w:rPr>
        <w:t xml:space="preserve"> Frescoes in the Palazzo Medici-</w:t>
      </w:r>
      <w:proofErr w:type="spellStart"/>
      <w:r w:rsidRPr="006361F1">
        <w:rPr>
          <w:rFonts w:cs="Times New Roman"/>
          <w:i/>
          <w:iCs/>
          <w:lang w:val="en-US"/>
        </w:rPr>
        <w:t>Riccardi</w:t>
      </w:r>
      <w:proofErr w:type="spellEnd"/>
      <w:r w:rsidRPr="006361F1">
        <w:rPr>
          <w:rFonts w:cs="Times New Roman"/>
          <w:i/>
          <w:iCs/>
          <w:lang w:val="en-US"/>
        </w:rPr>
        <w:t xml:space="preserve"> Florence</w:t>
      </w:r>
      <w:r w:rsidRPr="006361F1">
        <w:rPr>
          <w:rFonts w:cs="Times New Roman"/>
          <w:lang w:val="en-US"/>
        </w:rPr>
        <w:t xml:space="preserve">, ed. Cristina </w:t>
      </w:r>
      <w:proofErr w:type="spellStart"/>
      <w:r w:rsidRPr="006361F1">
        <w:rPr>
          <w:rFonts w:cs="Times New Roman"/>
          <w:lang w:val="en-US"/>
        </w:rPr>
        <w:t>Acidini</w:t>
      </w:r>
      <w:proofErr w:type="spellEnd"/>
      <w:r w:rsidRPr="006361F1">
        <w:rPr>
          <w:rFonts w:cs="Times New Roman"/>
          <w:lang w:val="en-US"/>
        </w:rPr>
        <w:t xml:space="preserve"> </w:t>
      </w:r>
      <w:proofErr w:type="spellStart"/>
      <w:r w:rsidRPr="006361F1">
        <w:rPr>
          <w:rFonts w:cs="Times New Roman"/>
          <w:lang w:val="en-US"/>
        </w:rPr>
        <w:t>Luchinat</w:t>
      </w:r>
      <w:proofErr w:type="spellEnd"/>
      <w:r w:rsidRPr="006361F1">
        <w:rPr>
          <w:rFonts w:cs="Times New Roman"/>
          <w:lang w:val="en-US"/>
        </w:rPr>
        <w:t>, trans. Eleanor Daunt (London: Thames and Hudson, 1994), 264–67.</w:t>
      </w:r>
    </w:p>
  </w:footnote>
  <w:footnote w:id="764">
    <w:p w14:paraId="5B3B0B3D" w14:textId="77777777" w:rsidR="00182EED" w:rsidRDefault="00182EED" w:rsidP="00310CB2">
      <w:pPr>
        <w:pStyle w:val="FootnoteText"/>
      </w:pPr>
      <w:r w:rsidRPr="00D72450">
        <w:rPr>
          <w:rStyle w:val="FootnoteReference"/>
        </w:rPr>
        <w:footnoteRef/>
      </w:r>
      <w:r>
        <w:t xml:space="preserve"> </w:t>
      </w:r>
      <w:r w:rsidRPr="006361F1">
        <w:rPr>
          <w:rFonts w:cs="Times New Roman"/>
          <w:lang w:val="en-US"/>
        </w:rPr>
        <w:t xml:space="preserve">Kent, </w:t>
      </w:r>
      <w:r w:rsidRPr="006361F1">
        <w:rPr>
          <w:rFonts w:cs="Times New Roman"/>
          <w:i/>
          <w:iCs/>
          <w:lang w:val="en-US"/>
        </w:rPr>
        <w:t>Cosimo De’ Medici and the Florentine Renaissance</w:t>
      </w:r>
      <w:r w:rsidRPr="006361F1">
        <w:rPr>
          <w:rFonts w:cs="Times New Roman"/>
          <w:lang w:val="en-US"/>
        </w:rPr>
        <w:t>, 322.</w:t>
      </w:r>
    </w:p>
  </w:footnote>
  <w:footnote w:id="765">
    <w:p w14:paraId="032AFF1A" w14:textId="77777777" w:rsidR="00182EED" w:rsidRDefault="00182EED" w:rsidP="00310CB2">
      <w:pPr>
        <w:pStyle w:val="FootnoteText"/>
      </w:pPr>
      <w:r w:rsidRPr="00D72450">
        <w:rPr>
          <w:rStyle w:val="FootnoteReference"/>
        </w:rPr>
        <w:footnoteRef/>
      </w:r>
      <w:r>
        <w:t xml:space="preserve"> </w:t>
      </w:r>
      <w:r w:rsidRPr="006361F1">
        <w:rPr>
          <w:rFonts w:cs="Times New Roman"/>
          <w:lang w:val="en-US"/>
        </w:rPr>
        <w:t xml:space="preserve">The identification of this gesture with the use of the </w:t>
      </w:r>
      <w:proofErr w:type="spellStart"/>
      <w:r w:rsidRPr="006361F1">
        <w:rPr>
          <w:rFonts w:cs="Times New Roman"/>
          <w:lang w:val="en-US"/>
        </w:rPr>
        <w:t>Guidonian</w:t>
      </w:r>
      <w:proofErr w:type="spellEnd"/>
      <w:r w:rsidRPr="006361F1">
        <w:rPr>
          <w:rFonts w:cs="Times New Roman"/>
          <w:lang w:val="en-US"/>
        </w:rPr>
        <w:t xml:space="preserve"> hand is discussed in </w:t>
      </w:r>
      <w:proofErr w:type="spellStart"/>
      <w:r w:rsidRPr="006361F1">
        <w:rPr>
          <w:rFonts w:cs="Times New Roman"/>
          <w:lang w:val="en-US"/>
        </w:rPr>
        <w:t>Acidini</w:t>
      </w:r>
      <w:proofErr w:type="spellEnd"/>
      <w:r w:rsidRPr="006361F1">
        <w:rPr>
          <w:rFonts w:cs="Times New Roman"/>
          <w:lang w:val="en-US"/>
        </w:rPr>
        <w:t xml:space="preserve"> </w:t>
      </w:r>
      <w:proofErr w:type="spellStart"/>
      <w:r w:rsidRPr="006361F1">
        <w:rPr>
          <w:rFonts w:cs="Times New Roman"/>
          <w:lang w:val="en-US"/>
        </w:rPr>
        <w:t>Luchinat</w:t>
      </w:r>
      <w:proofErr w:type="spellEnd"/>
      <w:r w:rsidRPr="006361F1">
        <w:rPr>
          <w:rFonts w:cs="Times New Roman"/>
          <w:lang w:val="en-US"/>
        </w:rPr>
        <w:t>, “The Choirs of Angels,” 265.</w:t>
      </w:r>
    </w:p>
  </w:footnote>
  <w:footnote w:id="766">
    <w:p w14:paraId="2389370E" w14:textId="77777777" w:rsidR="00182EED" w:rsidRDefault="00182EED" w:rsidP="00310CB2">
      <w:pPr>
        <w:pStyle w:val="FootnoteText"/>
      </w:pPr>
      <w:r w:rsidRPr="00D72450">
        <w:rPr>
          <w:rStyle w:val="FootnoteReference"/>
        </w:rPr>
        <w:footnoteRef/>
      </w:r>
      <w:r>
        <w:t xml:space="preserve"> </w:t>
      </w:r>
      <w:r w:rsidRPr="006361F1">
        <w:rPr>
          <w:rFonts w:cs="Times New Roman"/>
          <w:lang w:val="en-US"/>
        </w:rPr>
        <w:t xml:space="preserve">Kent, </w:t>
      </w:r>
      <w:r w:rsidRPr="006361F1">
        <w:rPr>
          <w:rFonts w:cs="Times New Roman"/>
          <w:i/>
          <w:iCs/>
          <w:lang w:val="en-US"/>
        </w:rPr>
        <w:t>Cosimo De’ Medici and the Florentine Renaissance</w:t>
      </w:r>
      <w:r w:rsidRPr="006361F1">
        <w:rPr>
          <w:rFonts w:cs="Times New Roman"/>
          <w:lang w:val="en-US"/>
        </w:rPr>
        <w:t>, 322.</w:t>
      </w:r>
    </w:p>
  </w:footnote>
  <w:footnote w:id="767">
    <w:p w14:paraId="6211C6D0" w14:textId="77777777" w:rsidR="00182EED" w:rsidRDefault="00182EED" w:rsidP="00310CB2">
      <w:pPr>
        <w:pStyle w:val="FootnoteText"/>
      </w:pPr>
      <w:r w:rsidRPr="00D72450">
        <w:rPr>
          <w:rStyle w:val="FootnoteReference"/>
        </w:rPr>
        <w:footnoteRef/>
      </w:r>
      <w:r>
        <w:t xml:space="preserve"> </w:t>
      </w:r>
      <w:proofErr w:type="spellStart"/>
      <w:r w:rsidRPr="006361F1">
        <w:rPr>
          <w:rFonts w:cs="Times New Roman"/>
          <w:lang w:val="en-US"/>
        </w:rPr>
        <w:t>Acidini</w:t>
      </w:r>
      <w:proofErr w:type="spellEnd"/>
      <w:r w:rsidRPr="006361F1">
        <w:rPr>
          <w:rFonts w:cs="Times New Roman"/>
          <w:lang w:val="en-US"/>
        </w:rPr>
        <w:t xml:space="preserve"> </w:t>
      </w:r>
      <w:proofErr w:type="spellStart"/>
      <w:r w:rsidRPr="006361F1">
        <w:rPr>
          <w:rFonts w:cs="Times New Roman"/>
          <w:lang w:val="en-US"/>
        </w:rPr>
        <w:t>Luchinat</w:t>
      </w:r>
      <w:proofErr w:type="spellEnd"/>
      <w:r w:rsidRPr="006361F1">
        <w:rPr>
          <w:rFonts w:cs="Times New Roman"/>
          <w:lang w:val="en-US"/>
        </w:rPr>
        <w:t xml:space="preserve">, “The Choirs of Angels,” 265; Kent, </w:t>
      </w:r>
      <w:r w:rsidRPr="006361F1">
        <w:rPr>
          <w:rFonts w:cs="Times New Roman"/>
          <w:i/>
          <w:iCs/>
          <w:lang w:val="en-US"/>
        </w:rPr>
        <w:t>Cosimo De’ Medici and the Florentine Renaissance</w:t>
      </w:r>
      <w:r w:rsidRPr="006361F1">
        <w:rPr>
          <w:rFonts w:cs="Times New Roman"/>
          <w:lang w:val="en-US"/>
        </w:rPr>
        <w:t>, 322.</w:t>
      </w:r>
    </w:p>
  </w:footnote>
  <w:footnote w:id="768">
    <w:p w14:paraId="5F050947" w14:textId="77777777" w:rsidR="00182EED" w:rsidRPr="00EA64B2" w:rsidRDefault="00182EED" w:rsidP="00310CB2">
      <w:pPr>
        <w:pStyle w:val="FootnoteText"/>
      </w:pPr>
      <w:r w:rsidRPr="00D72450">
        <w:rPr>
          <w:rStyle w:val="FootnoteReference"/>
        </w:rPr>
        <w:footnoteRef/>
      </w:r>
      <w:r w:rsidRPr="00EA64B2">
        <w:t xml:space="preserve"> More examples are discussed in Chapters 2.2 and 3.2.2.</w:t>
      </w:r>
    </w:p>
  </w:footnote>
  <w:footnote w:id="769">
    <w:p w14:paraId="5F41E253" w14:textId="77777777" w:rsidR="00182EED" w:rsidRDefault="00182EED" w:rsidP="00310CB2">
      <w:pPr>
        <w:pStyle w:val="FootnoteText"/>
      </w:pPr>
      <w:r w:rsidRPr="00D72450">
        <w:rPr>
          <w:rStyle w:val="FootnoteReference"/>
        </w:rPr>
        <w:footnoteRef/>
      </w:r>
      <w:r>
        <w:t xml:space="preserve"> </w:t>
      </w:r>
      <w:r w:rsidRPr="006361F1">
        <w:rPr>
          <w:rFonts w:cs="Times New Roman"/>
          <w:lang w:val="en-US"/>
        </w:rPr>
        <w:t xml:space="preserve">The words “Ave Maria gratia plena </w:t>
      </w:r>
      <w:proofErr w:type="spellStart"/>
      <w:r w:rsidRPr="006361F1">
        <w:rPr>
          <w:rFonts w:cs="Times New Roman"/>
          <w:lang w:val="en-US"/>
        </w:rPr>
        <w:t>dominu</w:t>
      </w:r>
      <w:proofErr w:type="spellEnd"/>
      <w:r w:rsidRPr="006361F1">
        <w:rPr>
          <w:rFonts w:cs="Times New Roman"/>
          <w:lang w:val="en-US"/>
        </w:rPr>
        <w:t xml:space="preserve">[s]” are inscribed in the Virgin’s halo in both the </w:t>
      </w:r>
      <w:r w:rsidRPr="006361F1">
        <w:rPr>
          <w:rFonts w:cs="Times New Roman"/>
          <w:i/>
          <w:iCs/>
          <w:lang w:val="en-US"/>
        </w:rPr>
        <w:t>Altarpiece of the Purification</w:t>
      </w:r>
      <w:r w:rsidRPr="006361F1">
        <w:rPr>
          <w:rFonts w:cs="Times New Roman"/>
          <w:lang w:val="en-US"/>
        </w:rPr>
        <w:t xml:space="preserve"> kept at the National Gallery, London (inv. 283) and in </w:t>
      </w:r>
      <w:r w:rsidRPr="006361F1">
        <w:rPr>
          <w:rFonts w:cs="Times New Roman"/>
          <w:i/>
          <w:iCs/>
          <w:lang w:val="en-US"/>
        </w:rPr>
        <w:t>The Mystic Marriage of Saint Catherine</w:t>
      </w:r>
      <w:r w:rsidRPr="006361F1">
        <w:rPr>
          <w:rFonts w:cs="Times New Roman"/>
          <w:lang w:val="en-US"/>
        </w:rPr>
        <w:t xml:space="preserve"> in the Pinacoteca </w:t>
      </w:r>
      <w:proofErr w:type="spellStart"/>
      <w:r w:rsidRPr="006361F1">
        <w:rPr>
          <w:rFonts w:cs="Times New Roman"/>
          <w:lang w:val="en-US"/>
        </w:rPr>
        <w:t>Comunale</w:t>
      </w:r>
      <w:proofErr w:type="spellEnd"/>
      <w:r w:rsidRPr="006361F1">
        <w:rPr>
          <w:rFonts w:cs="Times New Roman"/>
          <w:lang w:val="en-US"/>
        </w:rPr>
        <w:t>, Terni. See Diane Cole-</w:t>
      </w:r>
      <w:proofErr w:type="spellStart"/>
      <w:r w:rsidRPr="006361F1">
        <w:rPr>
          <w:rFonts w:cs="Times New Roman"/>
          <w:lang w:val="en-US"/>
        </w:rPr>
        <w:t>Ahl</w:t>
      </w:r>
      <w:proofErr w:type="spellEnd"/>
      <w:r w:rsidRPr="006361F1">
        <w:rPr>
          <w:rFonts w:cs="Times New Roman"/>
          <w:lang w:val="en-US"/>
        </w:rPr>
        <w:t xml:space="preserve">, </w:t>
      </w:r>
      <w:proofErr w:type="spellStart"/>
      <w:r w:rsidRPr="006361F1">
        <w:rPr>
          <w:rFonts w:cs="Times New Roman"/>
          <w:i/>
          <w:iCs/>
          <w:lang w:val="en-US"/>
        </w:rPr>
        <w:t>Benozzo</w:t>
      </w:r>
      <w:proofErr w:type="spellEnd"/>
      <w:r w:rsidRPr="006361F1">
        <w:rPr>
          <w:rFonts w:cs="Times New Roman"/>
          <w:i/>
          <w:iCs/>
          <w:lang w:val="en-US"/>
        </w:rPr>
        <w:t xml:space="preserve"> </w:t>
      </w:r>
      <w:proofErr w:type="spellStart"/>
      <w:r w:rsidRPr="006361F1">
        <w:rPr>
          <w:rFonts w:cs="Times New Roman"/>
          <w:i/>
          <w:iCs/>
          <w:lang w:val="en-US"/>
        </w:rPr>
        <w:t>Gozzoli</w:t>
      </w:r>
      <w:proofErr w:type="spellEnd"/>
      <w:r w:rsidRPr="006361F1">
        <w:rPr>
          <w:rFonts w:cs="Times New Roman"/>
          <w:i/>
          <w:iCs/>
          <w:lang w:val="en-US"/>
        </w:rPr>
        <w:t>: Tradition and Innovation in Renaissance Painting.</w:t>
      </w:r>
      <w:r w:rsidRPr="006361F1">
        <w:rPr>
          <w:rFonts w:cs="Times New Roman"/>
          <w:lang w:val="en-US"/>
        </w:rPr>
        <w:t xml:space="preserve"> (New Haven; London: Yale University Press, 1996), 224,262.</w:t>
      </w:r>
    </w:p>
  </w:footnote>
  <w:footnote w:id="770">
    <w:p w14:paraId="7D947BD1" w14:textId="77777777" w:rsidR="00182EED" w:rsidRDefault="00182EED" w:rsidP="00310CB2">
      <w:pPr>
        <w:pStyle w:val="FootnoteText"/>
      </w:pPr>
      <w:r w:rsidRPr="00D72450">
        <w:rPr>
          <w:rStyle w:val="FootnoteReference"/>
        </w:rPr>
        <w:footnoteRef/>
      </w:r>
      <w:r>
        <w:t xml:space="preserve"> </w:t>
      </w:r>
      <w:r w:rsidRPr="00D72450">
        <w:rPr>
          <w:rFonts w:cs="Times New Roman"/>
          <w:lang w:val="en-US"/>
        </w:rPr>
        <w:t xml:space="preserve">On the portraits frescoed in the chapel see Cristina </w:t>
      </w:r>
      <w:proofErr w:type="spellStart"/>
      <w:r w:rsidRPr="00D72450">
        <w:rPr>
          <w:rFonts w:cs="Times New Roman"/>
          <w:lang w:val="en-US"/>
        </w:rPr>
        <w:t>Acidini</w:t>
      </w:r>
      <w:proofErr w:type="spellEnd"/>
      <w:r w:rsidRPr="00D72450">
        <w:rPr>
          <w:rFonts w:cs="Times New Roman"/>
          <w:lang w:val="en-US"/>
        </w:rPr>
        <w:t xml:space="preserve"> </w:t>
      </w:r>
      <w:proofErr w:type="spellStart"/>
      <w:r w:rsidRPr="00D72450">
        <w:rPr>
          <w:rFonts w:cs="Times New Roman"/>
          <w:lang w:val="en-US"/>
        </w:rPr>
        <w:t>Luchinat</w:t>
      </w:r>
      <w:proofErr w:type="spellEnd"/>
      <w:r w:rsidRPr="00D72450">
        <w:rPr>
          <w:rFonts w:cs="Times New Roman"/>
          <w:lang w:val="en-US"/>
        </w:rPr>
        <w:t xml:space="preserve">, </w:t>
      </w:r>
      <w:r w:rsidRPr="00D72450">
        <w:rPr>
          <w:rFonts w:cs="Times New Roman"/>
          <w:i/>
          <w:iCs/>
          <w:lang w:val="en-US"/>
        </w:rPr>
        <w:t xml:space="preserve">The Chapel of the Magi: </w:t>
      </w:r>
      <w:proofErr w:type="spellStart"/>
      <w:r w:rsidRPr="00D72450">
        <w:rPr>
          <w:rFonts w:cs="Times New Roman"/>
          <w:i/>
          <w:iCs/>
          <w:lang w:val="en-US"/>
        </w:rPr>
        <w:t>Benozzo</w:t>
      </w:r>
      <w:proofErr w:type="spellEnd"/>
      <w:r w:rsidRPr="00D72450">
        <w:rPr>
          <w:rFonts w:cs="Times New Roman"/>
          <w:i/>
          <w:iCs/>
          <w:lang w:val="en-US"/>
        </w:rPr>
        <w:t xml:space="preserve"> </w:t>
      </w:r>
      <w:proofErr w:type="spellStart"/>
      <w:r w:rsidRPr="00D72450">
        <w:rPr>
          <w:rFonts w:cs="Times New Roman"/>
          <w:i/>
          <w:iCs/>
          <w:lang w:val="en-US"/>
        </w:rPr>
        <w:t>Gozzoli’s</w:t>
      </w:r>
      <w:proofErr w:type="spellEnd"/>
      <w:r w:rsidRPr="00D72450">
        <w:rPr>
          <w:rFonts w:cs="Times New Roman"/>
          <w:i/>
          <w:iCs/>
          <w:lang w:val="en-US"/>
        </w:rPr>
        <w:t xml:space="preserve"> Frescoes in the Palazzo Medici-</w:t>
      </w:r>
      <w:proofErr w:type="spellStart"/>
      <w:r w:rsidRPr="00D72450">
        <w:rPr>
          <w:rFonts w:cs="Times New Roman"/>
          <w:i/>
          <w:iCs/>
          <w:lang w:val="en-US"/>
        </w:rPr>
        <w:t>Riccardi</w:t>
      </w:r>
      <w:proofErr w:type="spellEnd"/>
      <w:r w:rsidRPr="00D72450">
        <w:rPr>
          <w:rFonts w:cs="Times New Roman"/>
          <w:i/>
          <w:iCs/>
          <w:lang w:val="en-US"/>
        </w:rPr>
        <w:t xml:space="preserve"> Florence</w:t>
      </w:r>
      <w:r w:rsidRPr="00D72450">
        <w:rPr>
          <w:rFonts w:cs="Times New Roman"/>
          <w:lang w:val="en-US"/>
        </w:rPr>
        <w:t xml:space="preserve">, ed. Cristina </w:t>
      </w:r>
      <w:proofErr w:type="spellStart"/>
      <w:r w:rsidRPr="00D72450">
        <w:rPr>
          <w:rFonts w:cs="Times New Roman"/>
          <w:lang w:val="en-US"/>
        </w:rPr>
        <w:t>Acidini</w:t>
      </w:r>
      <w:proofErr w:type="spellEnd"/>
      <w:r w:rsidRPr="00D72450">
        <w:rPr>
          <w:rFonts w:cs="Times New Roman"/>
          <w:lang w:val="en-US"/>
        </w:rPr>
        <w:t xml:space="preserve"> </w:t>
      </w:r>
      <w:proofErr w:type="spellStart"/>
      <w:r w:rsidRPr="00D72450">
        <w:rPr>
          <w:rFonts w:cs="Times New Roman"/>
          <w:lang w:val="en-US"/>
        </w:rPr>
        <w:t>Luchinat</w:t>
      </w:r>
      <w:proofErr w:type="spellEnd"/>
      <w:r w:rsidRPr="00D72450">
        <w:rPr>
          <w:rFonts w:cs="Times New Roman"/>
          <w:lang w:val="en-US"/>
        </w:rPr>
        <w:t xml:space="preserve">, trans. Eleanor Daunt (London: Thames and Hudson, 1994), 363–70; see also Kent, </w:t>
      </w:r>
      <w:r w:rsidRPr="00D72450">
        <w:rPr>
          <w:rFonts w:cs="Times New Roman"/>
          <w:i/>
          <w:iCs/>
          <w:lang w:val="en-US"/>
        </w:rPr>
        <w:t>Cosimo De’ Medici and the Florentine Renaissance</w:t>
      </w:r>
      <w:r w:rsidRPr="00D72450">
        <w:rPr>
          <w:rFonts w:cs="Times New Roman"/>
          <w:lang w:val="en-US"/>
        </w:rPr>
        <w:t>, 305, 315–16.</w:t>
      </w:r>
    </w:p>
  </w:footnote>
  <w:footnote w:id="771">
    <w:p w14:paraId="445EEFD2" w14:textId="77777777" w:rsidR="00182EED" w:rsidRDefault="00182EED" w:rsidP="00310CB2">
      <w:pPr>
        <w:pStyle w:val="FootnoteText"/>
      </w:pPr>
      <w:r w:rsidRPr="00D72450">
        <w:rPr>
          <w:rStyle w:val="FootnoteReference"/>
        </w:rPr>
        <w:footnoteRef/>
      </w:r>
      <w:r>
        <w:t xml:space="preserve"> </w:t>
      </w:r>
      <w:proofErr w:type="spellStart"/>
      <w:r w:rsidRPr="006361F1">
        <w:rPr>
          <w:rFonts w:cs="Times New Roman"/>
          <w:lang w:val="en-US"/>
        </w:rPr>
        <w:t>Rab</w:t>
      </w:r>
      <w:proofErr w:type="spellEnd"/>
      <w:r w:rsidRPr="006361F1">
        <w:rPr>
          <w:rFonts w:cs="Times New Roman"/>
          <w:lang w:val="en-US"/>
        </w:rPr>
        <w:t xml:space="preserve"> Hatfield, “The </w:t>
      </w:r>
      <w:proofErr w:type="spellStart"/>
      <w:r w:rsidRPr="006361F1">
        <w:rPr>
          <w:rFonts w:cs="Times New Roman"/>
          <w:lang w:val="en-US"/>
        </w:rPr>
        <w:t>Compagnia</w:t>
      </w:r>
      <w:proofErr w:type="spellEnd"/>
      <w:r w:rsidRPr="006361F1">
        <w:rPr>
          <w:rFonts w:cs="Times New Roman"/>
          <w:lang w:val="en-US"/>
        </w:rPr>
        <w:t xml:space="preserve"> de’ Magi,” </w:t>
      </w:r>
      <w:r w:rsidRPr="006361F1">
        <w:rPr>
          <w:rFonts w:cs="Times New Roman"/>
          <w:i/>
          <w:iCs/>
          <w:lang w:val="en-US"/>
        </w:rPr>
        <w:t xml:space="preserve">Journal of the Warburg and </w:t>
      </w:r>
      <w:proofErr w:type="spellStart"/>
      <w:r w:rsidRPr="006361F1">
        <w:rPr>
          <w:rFonts w:cs="Times New Roman"/>
          <w:i/>
          <w:iCs/>
          <w:lang w:val="en-US"/>
        </w:rPr>
        <w:t>Courtauld</w:t>
      </w:r>
      <w:proofErr w:type="spellEnd"/>
      <w:r w:rsidRPr="006361F1">
        <w:rPr>
          <w:rFonts w:cs="Times New Roman"/>
          <w:i/>
          <w:iCs/>
          <w:lang w:val="en-US"/>
        </w:rPr>
        <w:t xml:space="preserve"> Institutes</w:t>
      </w:r>
      <w:r w:rsidRPr="006361F1">
        <w:rPr>
          <w:rFonts w:cs="Times New Roman"/>
          <w:lang w:val="en-US"/>
        </w:rPr>
        <w:t xml:space="preserve"> 33 (1970): 136.</w:t>
      </w:r>
    </w:p>
  </w:footnote>
  <w:footnote w:id="772">
    <w:p w14:paraId="09231E8A" w14:textId="77777777" w:rsidR="00182EED" w:rsidRDefault="00182EED" w:rsidP="00310CB2">
      <w:pPr>
        <w:pStyle w:val="FootnoteText"/>
      </w:pPr>
      <w:r w:rsidRPr="00D72450">
        <w:rPr>
          <w:rStyle w:val="FootnoteReference"/>
        </w:rPr>
        <w:footnoteRef/>
      </w:r>
      <w:r>
        <w:t xml:space="preserve"> </w:t>
      </w:r>
      <w:proofErr w:type="spellStart"/>
      <w:r w:rsidRPr="00FF3567">
        <w:rPr>
          <w:rFonts w:cs="Times New Roman"/>
          <w:lang w:val="en-US"/>
        </w:rPr>
        <w:t>Acidini</w:t>
      </w:r>
      <w:proofErr w:type="spellEnd"/>
      <w:r w:rsidRPr="00FF3567">
        <w:rPr>
          <w:rFonts w:cs="Times New Roman"/>
          <w:lang w:val="en-US"/>
        </w:rPr>
        <w:t xml:space="preserve"> </w:t>
      </w:r>
      <w:proofErr w:type="spellStart"/>
      <w:r w:rsidRPr="00FF3567">
        <w:rPr>
          <w:rFonts w:cs="Times New Roman"/>
          <w:lang w:val="en-US"/>
        </w:rPr>
        <w:t>Luchinat</w:t>
      </w:r>
      <w:proofErr w:type="spellEnd"/>
      <w:r w:rsidRPr="00FF3567">
        <w:rPr>
          <w:rFonts w:cs="Times New Roman"/>
          <w:lang w:val="en-US"/>
        </w:rPr>
        <w:t xml:space="preserve">, “The Choirs of Angels,” 264–65; see also Kent, </w:t>
      </w:r>
      <w:r w:rsidRPr="00FF3567">
        <w:rPr>
          <w:rFonts w:cs="Times New Roman"/>
          <w:i/>
          <w:iCs/>
          <w:lang w:val="en-US"/>
        </w:rPr>
        <w:t>Cosimo De’ Medici and the Florentine Renaissance</w:t>
      </w:r>
      <w:r w:rsidRPr="00FF3567">
        <w:rPr>
          <w:rFonts w:cs="Times New Roman"/>
          <w:lang w:val="en-US"/>
        </w:rPr>
        <w:t xml:space="preserve">, 313, 322; Cristina </w:t>
      </w:r>
      <w:proofErr w:type="spellStart"/>
      <w:r w:rsidRPr="00FF3567">
        <w:rPr>
          <w:rFonts w:cs="Times New Roman"/>
          <w:lang w:val="en-US"/>
        </w:rPr>
        <w:t>Acidini</w:t>
      </w:r>
      <w:proofErr w:type="spellEnd"/>
      <w:r w:rsidRPr="00FF3567">
        <w:rPr>
          <w:rFonts w:cs="Times New Roman"/>
          <w:lang w:val="en-US"/>
        </w:rPr>
        <w:t xml:space="preserve"> </w:t>
      </w:r>
      <w:proofErr w:type="spellStart"/>
      <w:r w:rsidRPr="00FF3567">
        <w:rPr>
          <w:rFonts w:cs="Times New Roman"/>
          <w:lang w:val="en-US"/>
        </w:rPr>
        <w:t>Luchnat</w:t>
      </w:r>
      <w:proofErr w:type="spellEnd"/>
      <w:r w:rsidRPr="00FF3567">
        <w:rPr>
          <w:rFonts w:cs="Times New Roman"/>
          <w:lang w:val="en-US"/>
        </w:rPr>
        <w:t xml:space="preserve"> has </w:t>
      </w:r>
      <w:proofErr w:type="spellStart"/>
      <w:r w:rsidRPr="00FF3567">
        <w:rPr>
          <w:rFonts w:cs="Times New Roman"/>
          <w:lang w:val="en-US"/>
        </w:rPr>
        <w:t>recognised</w:t>
      </w:r>
      <w:proofErr w:type="spellEnd"/>
      <w:r w:rsidRPr="00FF3567">
        <w:rPr>
          <w:rFonts w:cs="Times New Roman"/>
          <w:lang w:val="en-US"/>
        </w:rPr>
        <w:t xml:space="preserve"> that the angels making garlands of flowers in the gardens depicted in </w:t>
      </w:r>
      <w:proofErr w:type="spellStart"/>
      <w:r w:rsidRPr="00FF3567">
        <w:rPr>
          <w:rFonts w:cs="Times New Roman"/>
          <w:lang w:val="en-US"/>
        </w:rPr>
        <w:t>Benozzo’s</w:t>
      </w:r>
      <w:proofErr w:type="spellEnd"/>
      <w:r w:rsidRPr="00FF3567">
        <w:rPr>
          <w:rFonts w:cs="Times New Roman"/>
          <w:lang w:val="en-US"/>
        </w:rPr>
        <w:t xml:space="preserve"> fresco were also inspired by real Florentine children preparing for public events, see </w:t>
      </w:r>
      <w:proofErr w:type="spellStart"/>
      <w:r w:rsidRPr="00FF3567">
        <w:rPr>
          <w:rFonts w:cs="Times New Roman"/>
          <w:lang w:val="en-US"/>
        </w:rPr>
        <w:t>Acidini</w:t>
      </w:r>
      <w:proofErr w:type="spellEnd"/>
      <w:r w:rsidRPr="00FF3567">
        <w:rPr>
          <w:rFonts w:cs="Times New Roman"/>
          <w:lang w:val="en-US"/>
        </w:rPr>
        <w:t xml:space="preserve"> </w:t>
      </w:r>
      <w:proofErr w:type="spellStart"/>
      <w:r w:rsidRPr="00FF3567">
        <w:rPr>
          <w:rFonts w:cs="Times New Roman"/>
          <w:lang w:val="en-US"/>
        </w:rPr>
        <w:t>Luchinat</w:t>
      </w:r>
      <w:proofErr w:type="spellEnd"/>
      <w:r w:rsidRPr="00FF3567">
        <w:rPr>
          <w:rFonts w:cs="Times New Roman"/>
          <w:lang w:val="en-US"/>
        </w:rPr>
        <w:t>, “The Choirs of Angels,” 267.</w:t>
      </w:r>
    </w:p>
  </w:footnote>
  <w:footnote w:id="773">
    <w:p w14:paraId="2357400B" w14:textId="77777777" w:rsidR="00182EED" w:rsidRDefault="00182EED" w:rsidP="00310CB2">
      <w:pPr>
        <w:pStyle w:val="FootnoteText"/>
      </w:pPr>
      <w:r w:rsidRPr="00D72450">
        <w:rPr>
          <w:rStyle w:val="FootnoteReference"/>
        </w:rPr>
        <w:footnoteRef/>
      </w:r>
      <w:r>
        <w:t xml:space="preserve"> </w:t>
      </w:r>
      <w:r w:rsidRPr="006361F1">
        <w:rPr>
          <w:rFonts w:cs="Times New Roman"/>
          <w:lang w:val="en-US"/>
        </w:rPr>
        <w:t xml:space="preserve">Richard C Trexler, </w:t>
      </w:r>
      <w:r w:rsidRPr="006361F1">
        <w:rPr>
          <w:rFonts w:cs="Times New Roman"/>
          <w:i/>
          <w:iCs/>
          <w:lang w:val="en-US"/>
        </w:rPr>
        <w:t>The Journey of the Magi: Meanings in History of a Christian Story: Meanings in History of a Christian Story</w:t>
      </w:r>
      <w:r w:rsidRPr="006361F1">
        <w:rPr>
          <w:rFonts w:cs="Times New Roman"/>
          <w:lang w:val="en-US"/>
        </w:rPr>
        <w:t xml:space="preserve"> (Princeton, New Jersey: Princeton University Press, 1997), 89, 92; Hatfield, “The </w:t>
      </w:r>
      <w:proofErr w:type="spellStart"/>
      <w:r w:rsidRPr="006361F1">
        <w:rPr>
          <w:rFonts w:cs="Times New Roman"/>
          <w:lang w:val="en-US"/>
        </w:rPr>
        <w:t>Compagnia</w:t>
      </w:r>
      <w:proofErr w:type="spellEnd"/>
      <w:r w:rsidRPr="006361F1">
        <w:rPr>
          <w:rFonts w:cs="Times New Roman"/>
          <w:lang w:val="en-US"/>
        </w:rPr>
        <w:t xml:space="preserve"> de’ Magi,” 108, 114.</w:t>
      </w:r>
    </w:p>
  </w:footnote>
  <w:footnote w:id="774">
    <w:p w14:paraId="6540AA67" w14:textId="77777777" w:rsidR="00182EED" w:rsidRPr="003B3E2A" w:rsidRDefault="00182EED" w:rsidP="00310CB2">
      <w:pPr>
        <w:pStyle w:val="FootnoteText"/>
      </w:pPr>
      <w:r w:rsidRPr="00D72450">
        <w:rPr>
          <w:rStyle w:val="FootnoteReference"/>
        </w:rPr>
        <w:footnoteRef/>
      </w:r>
      <w:r w:rsidRPr="00EA64B2">
        <w:t xml:space="preserve"> Hatfield, “The </w:t>
      </w:r>
      <w:proofErr w:type="spellStart"/>
      <w:r w:rsidRPr="00EA64B2">
        <w:t>Compagnia</w:t>
      </w:r>
      <w:proofErr w:type="spellEnd"/>
      <w:r w:rsidRPr="00EA64B2">
        <w:t xml:space="preserve"> de' Magi”, 108 n.8. The text of the </w:t>
      </w:r>
      <w:r w:rsidRPr="00EA64B2">
        <w:rPr>
          <w:i/>
        </w:rPr>
        <w:t xml:space="preserve">Rappresentazione </w:t>
      </w:r>
      <w:proofErr w:type="spellStart"/>
      <w:r w:rsidRPr="00EA64B2">
        <w:rPr>
          <w:i/>
        </w:rPr>
        <w:t>della</w:t>
      </w:r>
      <w:proofErr w:type="spellEnd"/>
      <w:r w:rsidRPr="00EA64B2">
        <w:rPr>
          <w:i/>
        </w:rPr>
        <w:t xml:space="preserve"> Natività</w:t>
      </w:r>
      <w:r w:rsidRPr="00EA64B2">
        <w:t xml:space="preserve"> can be found in</w:t>
      </w:r>
      <w:r w:rsidRPr="00EA64B2">
        <w:rPr>
          <w:i/>
        </w:rPr>
        <w:t xml:space="preserve"> </w:t>
      </w:r>
      <w:r w:rsidRPr="00EA64B2">
        <w:t xml:space="preserve">Alessandro </w:t>
      </w:r>
      <w:proofErr w:type="spellStart"/>
      <w:r w:rsidRPr="003B3E2A">
        <w:t>D’Ancona</w:t>
      </w:r>
      <w:proofErr w:type="spellEnd"/>
      <w:r w:rsidRPr="003B3E2A">
        <w:t xml:space="preserve">, </w:t>
      </w:r>
      <w:proofErr w:type="spellStart"/>
      <w:r w:rsidRPr="003B3E2A">
        <w:t>Sacre</w:t>
      </w:r>
      <w:proofErr w:type="spellEnd"/>
      <w:r w:rsidRPr="003B3E2A">
        <w:t xml:space="preserve"> </w:t>
      </w:r>
      <w:proofErr w:type="spellStart"/>
      <w:r w:rsidRPr="003B3E2A">
        <w:t>Rappresentazioni</w:t>
      </w:r>
      <w:proofErr w:type="spellEnd"/>
      <w:r w:rsidRPr="003B3E2A">
        <w:t xml:space="preserve"> </w:t>
      </w:r>
      <w:proofErr w:type="spellStart"/>
      <w:r w:rsidRPr="003B3E2A">
        <w:t>dei</w:t>
      </w:r>
      <w:proofErr w:type="spellEnd"/>
      <w:r w:rsidRPr="003B3E2A">
        <w:t xml:space="preserve"> </w:t>
      </w:r>
      <w:proofErr w:type="spellStart"/>
      <w:r w:rsidRPr="003B3E2A">
        <w:t>secoli</w:t>
      </w:r>
      <w:proofErr w:type="spellEnd"/>
      <w:r w:rsidRPr="003B3E2A">
        <w:t xml:space="preserve"> XIV, XV e XVI (Florence: Le Monnier, 1872), vol.1:191-210.</w:t>
      </w:r>
    </w:p>
  </w:footnote>
  <w:footnote w:id="775">
    <w:p w14:paraId="7CD62B66" w14:textId="77777777" w:rsidR="00182EED" w:rsidRPr="00C41389" w:rsidRDefault="00182EED" w:rsidP="00310CB2">
      <w:pPr>
        <w:pStyle w:val="FootnoteText"/>
      </w:pPr>
      <w:r w:rsidRPr="00D72450">
        <w:rPr>
          <w:rStyle w:val="FootnoteReference"/>
        </w:rPr>
        <w:footnoteRef/>
      </w:r>
      <w:r>
        <w:t xml:space="preserve"> </w:t>
      </w:r>
      <w:r w:rsidRPr="00FF3567">
        <w:rPr>
          <w:rFonts w:cs="Times New Roman"/>
          <w:lang w:val="en-US"/>
        </w:rPr>
        <w:t xml:space="preserve">The full </w:t>
      </w:r>
      <w:r>
        <w:rPr>
          <w:rFonts w:cs="Times New Roman"/>
          <w:lang w:val="en-US"/>
        </w:rPr>
        <w:t>title</w:t>
      </w:r>
      <w:r w:rsidRPr="00FF3567">
        <w:rPr>
          <w:rFonts w:cs="Times New Roman"/>
          <w:lang w:val="en-US"/>
        </w:rPr>
        <w:t xml:space="preserve"> of the 1459 poem is </w:t>
      </w:r>
      <w:proofErr w:type="spellStart"/>
      <w:r w:rsidRPr="00C41389">
        <w:rPr>
          <w:rFonts w:cs="Times New Roman"/>
          <w:i/>
          <w:iCs/>
          <w:lang w:val="en-US"/>
        </w:rPr>
        <w:t>Terze</w:t>
      </w:r>
      <w:proofErr w:type="spellEnd"/>
      <w:r w:rsidRPr="00C41389">
        <w:rPr>
          <w:rFonts w:cs="Times New Roman"/>
          <w:i/>
          <w:iCs/>
          <w:lang w:val="en-US"/>
        </w:rPr>
        <w:t xml:space="preserve"> rime in lode di Cosimo de’ Medici e de’ </w:t>
      </w:r>
      <w:proofErr w:type="spellStart"/>
      <w:r w:rsidRPr="00C41389">
        <w:rPr>
          <w:rFonts w:cs="Times New Roman"/>
          <w:i/>
          <w:iCs/>
          <w:lang w:val="en-US"/>
        </w:rPr>
        <w:t>figli</w:t>
      </w:r>
      <w:proofErr w:type="spellEnd"/>
      <w:r w:rsidRPr="00C41389">
        <w:rPr>
          <w:rFonts w:cs="Times New Roman"/>
          <w:i/>
          <w:iCs/>
          <w:lang w:val="en-US"/>
        </w:rPr>
        <w:t xml:space="preserve"> e </w:t>
      </w:r>
      <w:proofErr w:type="spellStart"/>
      <w:r w:rsidRPr="00C41389">
        <w:rPr>
          <w:rFonts w:cs="Times New Roman"/>
          <w:i/>
          <w:iCs/>
          <w:lang w:val="en-US"/>
        </w:rPr>
        <w:t>dell’honoranza</w:t>
      </w:r>
      <w:proofErr w:type="spellEnd"/>
      <w:r w:rsidRPr="00C41389">
        <w:rPr>
          <w:rFonts w:cs="Times New Roman"/>
          <w:i/>
          <w:iCs/>
          <w:lang w:val="en-US"/>
        </w:rPr>
        <w:t xml:space="preserve"> </w:t>
      </w:r>
      <w:proofErr w:type="spellStart"/>
      <w:r w:rsidRPr="00C41389">
        <w:rPr>
          <w:rFonts w:cs="Times New Roman"/>
          <w:i/>
          <w:iCs/>
          <w:lang w:val="en-US"/>
        </w:rPr>
        <w:t>fatta</w:t>
      </w:r>
      <w:proofErr w:type="spellEnd"/>
      <w:r w:rsidRPr="00C41389">
        <w:rPr>
          <w:rFonts w:cs="Times New Roman"/>
          <w:i/>
          <w:iCs/>
          <w:lang w:val="en-US"/>
        </w:rPr>
        <w:t xml:space="preserve"> </w:t>
      </w:r>
      <w:proofErr w:type="spellStart"/>
      <w:r w:rsidRPr="00C41389">
        <w:rPr>
          <w:rFonts w:cs="Times New Roman"/>
          <w:i/>
          <w:iCs/>
          <w:lang w:val="en-US"/>
        </w:rPr>
        <w:t>l’anno</w:t>
      </w:r>
      <w:proofErr w:type="spellEnd"/>
      <w:r w:rsidRPr="00C41389">
        <w:rPr>
          <w:rFonts w:cs="Times New Roman"/>
          <w:i/>
          <w:iCs/>
          <w:lang w:val="en-US"/>
        </w:rPr>
        <w:t xml:space="preserve"> 1458 al </w:t>
      </w:r>
      <w:proofErr w:type="spellStart"/>
      <w:r w:rsidRPr="00C41389">
        <w:rPr>
          <w:rFonts w:cs="Times New Roman"/>
          <w:i/>
          <w:iCs/>
          <w:lang w:val="en-US"/>
        </w:rPr>
        <w:t>figlio</w:t>
      </w:r>
      <w:proofErr w:type="spellEnd"/>
      <w:r w:rsidRPr="00C41389">
        <w:rPr>
          <w:rFonts w:cs="Times New Roman"/>
          <w:i/>
          <w:iCs/>
          <w:lang w:val="en-US"/>
        </w:rPr>
        <w:t xml:space="preserve"> del </w:t>
      </w:r>
      <w:proofErr w:type="spellStart"/>
      <w:r w:rsidRPr="00C41389">
        <w:rPr>
          <w:rFonts w:cs="Times New Roman"/>
          <w:i/>
          <w:iCs/>
          <w:lang w:val="en-US"/>
        </w:rPr>
        <w:t>Duca</w:t>
      </w:r>
      <w:proofErr w:type="spellEnd"/>
      <w:r w:rsidRPr="00C41389">
        <w:rPr>
          <w:rFonts w:cs="Times New Roman"/>
          <w:i/>
          <w:iCs/>
          <w:lang w:val="en-US"/>
        </w:rPr>
        <w:t xml:space="preserve"> di Milano et al Papa </w:t>
      </w:r>
      <w:proofErr w:type="spellStart"/>
      <w:r w:rsidRPr="00C41389">
        <w:rPr>
          <w:rFonts w:cs="Times New Roman"/>
          <w:i/>
          <w:iCs/>
          <w:lang w:val="en-US"/>
        </w:rPr>
        <w:t>nella</w:t>
      </w:r>
      <w:proofErr w:type="spellEnd"/>
      <w:r w:rsidRPr="00C41389">
        <w:rPr>
          <w:rFonts w:cs="Times New Roman"/>
          <w:i/>
          <w:iCs/>
          <w:lang w:val="en-US"/>
        </w:rPr>
        <w:t xml:space="preserve"> </w:t>
      </w:r>
      <w:proofErr w:type="spellStart"/>
      <w:r w:rsidRPr="00C41389">
        <w:rPr>
          <w:rFonts w:cs="Times New Roman"/>
          <w:i/>
          <w:iCs/>
          <w:lang w:val="en-US"/>
        </w:rPr>
        <w:t>loro</w:t>
      </w:r>
      <w:proofErr w:type="spellEnd"/>
      <w:r w:rsidRPr="00C41389">
        <w:rPr>
          <w:rFonts w:cs="Times New Roman"/>
          <w:i/>
          <w:iCs/>
          <w:lang w:val="en-US"/>
        </w:rPr>
        <w:t xml:space="preserve"> </w:t>
      </w:r>
      <w:proofErr w:type="spellStart"/>
      <w:r w:rsidRPr="00C41389">
        <w:rPr>
          <w:rFonts w:cs="Times New Roman"/>
          <w:i/>
          <w:iCs/>
          <w:lang w:val="en-US"/>
        </w:rPr>
        <w:t>venuta</w:t>
      </w:r>
      <w:proofErr w:type="spellEnd"/>
      <w:r w:rsidRPr="00C41389">
        <w:rPr>
          <w:rFonts w:cs="Times New Roman"/>
          <w:i/>
          <w:iCs/>
          <w:lang w:val="en-US"/>
        </w:rPr>
        <w:t xml:space="preserve"> a Firenze</w:t>
      </w:r>
      <w:r w:rsidRPr="00FF3567">
        <w:rPr>
          <w:rFonts w:cs="Times New Roman"/>
          <w:lang w:val="en-US"/>
        </w:rPr>
        <w:t xml:space="preserve">. Cristina </w:t>
      </w:r>
      <w:proofErr w:type="spellStart"/>
      <w:r w:rsidRPr="00FF3567">
        <w:rPr>
          <w:rFonts w:cs="Times New Roman"/>
          <w:lang w:val="en-US"/>
        </w:rPr>
        <w:t>Acidini</w:t>
      </w:r>
      <w:proofErr w:type="spellEnd"/>
      <w:r w:rsidRPr="00FF3567">
        <w:rPr>
          <w:rFonts w:cs="Times New Roman"/>
          <w:lang w:val="en-US"/>
        </w:rPr>
        <w:t xml:space="preserve"> </w:t>
      </w:r>
      <w:proofErr w:type="spellStart"/>
      <w:r w:rsidRPr="00FF3567">
        <w:rPr>
          <w:rFonts w:cs="Times New Roman"/>
          <w:lang w:val="en-US"/>
        </w:rPr>
        <w:t>Luchinat</w:t>
      </w:r>
      <w:proofErr w:type="spellEnd"/>
      <w:r w:rsidRPr="00FF3567">
        <w:rPr>
          <w:rFonts w:cs="Times New Roman"/>
          <w:lang w:val="en-US"/>
        </w:rPr>
        <w:t xml:space="preserve">, “The Chapel of the Magi,” in </w:t>
      </w:r>
      <w:r w:rsidRPr="00FF3567">
        <w:rPr>
          <w:rFonts w:cs="Times New Roman"/>
          <w:i/>
          <w:iCs/>
          <w:lang w:val="en-US"/>
        </w:rPr>
        <w:t xml:space="preserve">The Chapel of the Magi: </w:t>
      </w:r>
      <w:proofErr w:type="spellStart"/>
      <w:r w:rsidRPr="00FF3567">
        <w:rPr>
          <w:rFonts w:cs="Times New Roman"/>
          <w:i/>
          <w:iCs/>
          <w:lang w:val="en-US"/>
        </w:rPr>
        <w:t>Benozzo</w:t>
      </w:r>
      <w:proofErr w:type="spellEnd"/>
      <w:r w:rsidRPr="00FF3567">
        <w:rPr>
          <w:rFonts w:cs="Times New Roman"/>
          <w:i/>
          <w:iCs/>
          <w:lang w:val="en-US"/>
        </w:rPr>
        <w:t xml:space="preserve"> </w:t>
      </w:r>
      <w:proofErr w:type="spellStart"/>
      <w:r w:rsidRPr="00FF3567">
        <w:rPr>
          <w:rFonts w:cs="Times New Roman"/>
          <w:i/>
          <w:iCs/>
          <w:lang w:val="en-US"/>
        </w:rPr>
        <w:t>Gozzoli’s</w:t>
      </w:r>
      <w:proofErr w:type="spellEnd"/>
      <w:r w:rsidRPr="00FF3567">
        <w:rPr>
          <w:rFonts w:cs="Times New Roman"/>
          <w:i/>
          <w:iCs/>
          <w:lang w:val="en-US"/>
        </w:rPr>
        <w:t xml:space="preserve"> Frescoes in the Palazzo Medici-</w:t>
      </w:r>
      <w:proofErr w:type="spellStart"/>
      <w:r w:rsidRPr="00FF3567">
        <w:rPr>
          <w:rFonts w:cs="Times New Roman"/>
          <w:i/>
          <w:iCs/>
          <w:lang w:val="en-US"/>
        </w:rPr>
        <w:t>Riccardi</w:t>
      </w:r>
      <w:proofErr w:type="spellEnd"/>
      <w:r w:rsidRPr="00FF3567">
        <w:rPr>
          <w:rFonts w:cs="Times New Roman"/>
          <w:i/>
          <w:iCs/>
          <w:lang w:val="en-US"/>
        </w:rPr>
        <w:t xml:space="preserve"> Florence</w:t>
      </w:r>
      <w:r w:rsidRPr="00FF3567">
        <w:rPr>
          <w:rFonts w:cs="Times New Roman"/>
          <w:lang w:val="en-US"/>
        </w:rPr>
        <w:t xml:space="preserve">, ed. Cristina </w:t>
      </w:r>
      <w:proofErr w:type="spellStart"/>
      <w:r w:rsidRPr="00FF3567">
        <w:rPr>
          <w:rFonts w:cs="Times New Roman"/>
          <w:lang w:val="en-US"/>
        </w:rPr>
        <w:t>Acidini</w:t>
      </w:r>
      <w:proofErr w:type="spellEnd"/>
      <w:r w:rsidRPr="00FF3567">
        <w:rPr>
          <w:rFonts w:cs="Times New Roman"/>
          <w:lang w:val="en-US"/>
        </w:rPr>
        <w:t xml:space="preserve"> </w:t>
      </w:r>
      <w:proofErr w:type="spellStart"/>
      <w:r w:rsidRPr="00FF3567">
        <w:rPr>
          <w:rFonts w:cs="Times New Roman"/>
          <w:lang w:val="en-US"/>
        </w:rPr>
        <w:t>Luchinat</w:t>
      </w:r>
      <w:proofErr w:type="spellEnd"/>
      <w:r w:rsidRPr="00FF3567">
        <w:rPr>
          <w:rFonts w:cs="Times New Roman"/>
          <w:lang w:val="en-US"/>
        </w:rPr>
        <w:t>, trans. Eleanor Daunt (London: Thames and Hudson, 1994), 10.</w:t>
      </w:r>
      <w:r>
        <w:rPr>
          <w:rFonts w:cs="Times New Roman"/>
          <w:lang w:val="en-US"/>
        </w:rPr>
        <w:t xml:space="preserve"> See also </w:t>
      </w:r>
      <w:proofErr w:type="spellStart"/>
      <w:r>
        <w:rPr>
          <w:rFonts w:cs="Times New Roman"/>
          <w:lang w:val="en-US"/>
        </w:rPr>
        <w:t>Lindow</w:t>
      </w:r>
      <w:proofErr w:type="spellEnd"/>
      <w:r>
        <w:rPr>
          <w:rFonts w:cs="Times New Roman"/>
          <w:lang w:val="en-US"/>
        </w:rPr>
        <w:t xml:space="preserve">, </w:t>
      </w:r>
      <w:r>
        <w:rPr>
          <w:rFonts w:cs="Times New Roman"/>
          <w:i/>
          <w:iCs/>
          <w:lang w:val="en-US"/>
        </w:rPr>
        <w:t>The Renaissance Palace</w:t>
      </w:r>
      <w:r>
        <w:rPr>
          <w:rFonts w:cs="Times New Roman"/>
          <w:lang w:val="en-US"/>
        </w:rPr>
        <w:t>, 107.</w:t>
      </w:r>
    </w:p>
  </w:footnote>
  <w:footnote w:id="776">
    <w:p w14:paraId="3F4BDD2B" w14:textId="77777777" w:rsidR="00182EED" w:rsidRDefault="00182EED" w:rsidP="00310CB2">
      <w:pPr>
        <w:pStyle w:val="FootnoteText"/>
      </w:pPr>
      <w:r w:rsidRPr="00D72450">
        <w:rPr>
          <w:rStyle w:val="FootnoteReference"/>
        </w:rPr>
        <w:footnoteRef/>
      </w:r>
      <w:r>
        <w:t xml:space="preserve"> </w:t>
      </w:r>
      <w:r w:rsidRPr="00FF3567">
        <w:rPr>
          <w:rFonts w:cs="Times New Roman"/>
          <w:lang w:val="en-US"/>
        </w:rPr>
        <w:t xml:space="preserve">“Nella casa d’un </w:t>
      </w:r>
      <w:proofErr w:type="spellStart"/>
      <w:r w:rsidRPr="00FF3567">
        <w:rPr>
          <w:rFonts w:cs="Times New Roman"/>
          <w:lang w:val="en-US"/>
        </w:rPr>
        <w:t>uomo</w:t>
      </w:r>
      <w:proofErr w:type="spellEnd"/>
      <w:r w:rsidRPr="00FF3567">
        <w:rPr>
          <w:rFonts w:cs="Times New Roman"/>
          <w:lang w:val="en-US"/>
        </w:rPr>
        <w:t xml:space="preserve"> </w:t>
      </w:r>
      <w:proofErr w:type="spellStart"/>
      <w:r w:rsidRPr="00FF3567">
        <w:rPr>
          <w:rFonts w:cs="Times New Roman"/>
          <w:lang w:val="en-US"/>
        </w:rPr>
        <w:t>richo</w:t>
      </w:r>
      <w:proofErr w:type="spellEnd"/>
      <w:r w:rsidRPr="00FF3567">
        <w:rPr>
          <w:rFonts w:cs="Times New Roman"/>
          <w:lang w:val="en-US"/>
        </w:rPr>
        <w:t xml:space="preserve"> </w:t>
      </w:r>
      <w:proofErr w:type="spellStart"/>
      <w:r w:rsidRPr="00FF3567">
        <w:rPr>
          <w:rFonts w:cs="Times New Roman"/>
          <w:lang w:val="en-US"/>
        </w:rPr>
        <w:t>sono</w:t>
      </w:r>
      <w:proofErr w:type="spellEnd"/>
      <w:r w:rsidRPr="00FF3567">
        <w:rPr>
          <w:rFonts w:cs="Times New Roman"/>
          <w:lang w:val="en-US"/>
        </w:rPr>
        <w:t xml:space="preserve"> da </w:t>
      </w:r>
      <w:proofErr w:type="spellStart"/>
      <w:r w:rsidRPr="00FF3567">
        <w:rPr>
          <w:rFonts w:cs="Times New Roman"/>
          <w:lang w:val="en-US"/>
        </w:rPr>
        <w:t>essere</w:t>
      </w:r>
      <w:proofErr w:type="spellEnd"/>
      <w:r w:rsidRPr="00FF3567">
        <w:rPr>
          <w:rFonts w:cs="Times New Roman"/>
          <w:lang w:val="en-US"/>
        </w:rPr>
        <w:t xml:space="preserve"> </w:t>
      </w:r>
      <w:proofErr w:type="spellStart"/>
      <w:r w:rsidRPr="00FF3567">
        <w:rPr>
          <w:rFonts w:cs="Times New Roman"/>
          <w:lang w:val="en-US"/>
        </w:rPr>
        <w:t>ricevuti</w:t>
      </w:r>
      <w:proofErr w:type="spellEnd"/>
      <w:r w:rsidRPr="00FF3567">
        <w:rPr>
          <w:rFonts w:cs="Times New Roman"/>
          <w:lang w:val="en-US"/>
        </w:rPr>
        <w:t xml:space="preserve"> </w:t>
      </w:r>
      <w:proofErr w:type="spellStart"/>
      <w:r w:rsidRPr="00FF3567">
        <w:rPr>
          <w:rFonts w:cs="Times New Roman"/>
          <w:lang w:val="en-US"/>
        </w:rPr>
        <w:t>molti</w:t>
      </w:r>
      <w:proofErr w:type="spellEnd"/>
      <w:r w:rsidRPr="00FF3567">
        <w:rPr>
          <w:rFonts w:cs="Times New Roman"/>
          <w:lang w:val="en-US"/>
        </w:rPr>
        <w:t xml:space="preserve"> </w:t>
      </w:r>
      <w:proofErr w:type="spellStart"/>
      <w:r w:rsidRPr="00FF3567">
        <w:rPr>
          <w:rFonts w:cs="Times New Roman"/>
          <w:lang w:val="en-US"/>
        </w:rPr>
        <w:t>forestieri</w:t>
      </w:r>
      <w:proofErr w:type="spellEnd"/>
      <w:r w:rsidRPr="00FF3567">
        <w:rPr>
          <w:rFonts w:cs="Times New Roman"/>
          <w:lang w:val="en-US"/>
        </w:rPr>
        <w:t xml:space="preserve"> e </w:t>
      </w:r>
      <w:proofErr w:type="spellStart"/>
      <w:r w:rsidRPr="00FF3567">
        <w:rPr>
          <w:rFonts w:cs="Times New Roman"/>
          <w:lang w:val="en-US"/>
        </w:rPr>
        <w:t>debbono</w:t>
      </w:r>
      <w:proofErr w:type="spellEnd"/>
      <w:r w:rsidRPr="00FF3567">
        <w:rPr>
          <w:rFonts w:cs="Times New Roman"/>
          <w:lang w:val="en-US"/>
        </w:rPr>
        <w:t xml:space="preserve"> </w:t>
      </w:r>
      <w:proofErr w:type="spellStart"/>
      <w:r w:rsidRPr="00FF3567">
        <w:rPr>
          <w:rFonts w:cs="Times New Roman"/>
          <w:lang w:val="en-US"/>
        </w:rPr>
        <w:t>essere</w:t>
      </w:r>
      <w:proofErr w:type="spellEnd"/>
      <w:r w:rsidRPr="00FF3567">
        <w:rPr>
          <w:rFonts w:cs="Times New Roman"/>
          <w:lang w:val="en-US"/>
        </w:rPr>
        <w:t xml:space="preserve"> </w:t>
      </w:r>
      <w:proofErr w:type="spellStart"/>
      <w:r w:rsidRPr="00FF3567">
        <w:rPr>
          <w:rFonts w:cs="Times New Roman"/>
          <w:lang w:val="en-US"/>
        </w:rPr>
        <w:t>honorati</w:t>
      </w:r>
      <w:proofErr w:type="spellEnd"/>
      <w:r w:rsidRPr="00FF3567">
        <w:rPr>
          <w:rFonts w:cs="Times New Roman"/>
          <w:lang w:val="en-US"/>
        </w:rPr>
        <w:t xml:space="preserve"> con </w:t>
      </w:r>
      <w:proofErr w:type="spellStart"/>
      <w:r w:rsidRPr="00FF3567">
        <w:rPr>
          <w:rFonts w:cs="Times New Roman"/>
          <w:lang w:val="en-US"/>
        </w:rPr>
        <w:t>largità</w:t>
      </w:r>
      <w:proofErr w:type="spellEnd"/>
      <w:r w:rsidRPr="00FF3567">
        <w:rPr>
          <w:rFonts w:cs="Times New Roman"/>
          <w:lang w:val="en-US"/>
        </w:rPr>
        <w:t xml:space="preserve"> </w:t>
      </w:r>
      <w:proofErr w:type="spellStart"/>
      <w:r w:rsidRPr="00FF3567">
        <w:rPr>
          <w:rFonts w:cs="Times New Roman"/>
          <w:lang w:val="en-US"/>
        </w:rPr>
        <w:t>imperochè</w:t>
      </w:r>
      <w:proofErr w:type="spellEnd"/>
      <w:r w:rsidRPr="00FF3567">
        <w:rPr>
          <w:rFonts w:cs="Times New Roman"/>
          <w:lang w:val="en-US"/>
        </w:rPr>
        <w:t xml:space="preserve"> </w:t>
      </w:r>
      <w:proofErr w:type="spellStart"/>
      <w:r w:rsidRPr="00FF3567">
        <w:rPr>
          <w:rFonts w:cs="Times New Roman"/>
          <w:lang w:val="en-US"/>
        </w:rPr>
        <w:t>altrimenti</w:t>
      </w:r>
      <w:proofErr w:type="spellEnd"/>
      <w:r w:rsidRPr="00FF3567">
        <w:rPr>
          <w:rFonts w:cs="Times New Roman"/>
          <w:lang w:val="en-US"/>
        </w:rPr>
        <w:t xml:space="preserve"> </w:t>
      </w:r>
      <w:proofErr w:type="spellStart"/>
      <w:r w:rsidRPr="00FF3567">
        <w:rPr>
          <w:rFonts w:cs="Times New Roman"/>
          <w:lang w:val="en-US"/>
        </w:rPr>
        <w:t>faccendo</w:t>
      </w:r>
      <w:proofErr w:type="spellEnd"/>
      <w:r w:rsidRPr="00FF3567">
        <w:rPr>
          <w:rFonts w:cs="Times New Roman"/>
          <w:lang w:val="en-US"/>
        </w:rPr>
        <w:t xml:space="preserve"> </w:t>
      </w:r>
      <w:proofErr w:type="spellStart"/>
      <w:r w:rsidRPr="00FF3567">
        <w:rPr>
          <w:rFonts w:cs="Times New Roman"/>
          <w:lang w:val="en-US"/>
        </w:rPr>
        <w:t>l’ampla</w:t>
      </w:r>
      <w:proofErr w:type="spellEnd"/>
      <w:r w:rsidRPr="00FF3567">
        <w:rPr>
          <w:rFonts w:cs="Times New Roman"/>
          <w:lang w:val="en-US"/>
        </w:rPr>
        <w:t xml:space="preserve"> casa </w:t>
      </w:r>
      <w:proofErr w:type="spellStart"/>
      <w:r w:rsidRPr="00FF3567">
        <w:rPr>
          <w:rFonts w:cs="Times New Roman"/>
          <w:lang w:val="en-US"/>
        </w:rPr>
        <w:t>sarebbe</w:t>
      </w:r>
      <w:proofErr w:type="spellEnd"/>
      <w:r w:rsidRPr="00FF3567">
        <w:rPr>
          <w:rFonts w:cs="Times New Roman"/>
          <w:lang w:val="en-US"/>
        </w:rPr>
        <w:t xml:space="preserve"> a </w:t>
      </w:r>
      <w:proofErr w:type="spellStart"/>
      <w:r w:rsidRPr="00FF3567">
        <w:rPr>
          <w:rFonts w:cs="Times New Roman"/>
          <w:lang w:val="en-US"/>
        </w:rPr>
        <w:t>disonore</w:t>
      </w:r>
      <w:proofErr w:type="spellEnd"/>
      <w:r w:rsidRPr="00FF3567">
        <w:rPr>
          <w:rFonts w:cs="Times New Roman"/>
          <w:lang w:val="en-US"/>
        </w:rPr>
        <w:t xml:space="preserve"> del Signore.” English translation from James R. </w:t>
      </w:r>
      <w:proofErr w:type="spellStart"/>
      <w:r w:rsidRPr="00FF3567">
        <w:rPr>
          <w:rFonts w:cs="Times New Roman"/>
          <w:lang w:val="en-US"/>
        </w:rPr>
        <w:t>Lindow</w:t>
      </w:r>
      <w:proofErr w:type="spellEnd"/>
      <w:r w:rsidRPr="00FF3567">
        <w:rPr>
          <w:rFonts w:cs="Times New Roman"/>
          <w:lang w:val="en-US"/>
        </w:rPr>
        <w:t xml:space="preserve">, </w:t>
      </w:r>
      <w:r w:rsidRPr="00FF3567">
        <w:rPr>
          <w:rFonts w:cs="Times New Roman"/>
          <w:i/>
          <w:iCs/>
          <w:lang w:val="en-US"/>
        </w:rPr>
        <w:t xml:space="preserve">The Renaissance Palace in Florence: Magnificence and </w:t>
      </w:r>
      <w:proofErr w:type="spellStart"/>
      <w:r w:rsidRPr="00FF3567">
        <w:rPr>
          <w:rFonts w:cs="Times New Roman"/>
          <w:i/>
          <w:iCs/>
          <w:lang w:val="en-US"/>
        </w:rPr>
        <w:t>Splendour</w:t>
      </w:r>
      <w:proofErr w:type="spellEnd"/>
      <w:r w:rsidRPr="00FF3567">
        <w:rPr>
          <w:rFonts w:cs="Times New Roman"/>
          <w:i/>
          <w:iCs/>
          <w:lang w:val="en-US"/>
        </w:rPr>
        <w:t xml:space="preserve"> in Fifteenth-Century Italy</w:t>
      </w:r>
      <w:r w:rsidRPr="00FF3567">
        <w:rPr>
          <w:rFonts w:cs="Times New Roman"/>
          <w:lang w:val="en-US"/>
        </w:rPr>
        <w:t xml:space="preserve"> (</w:t>
      </w:r>
      <w:proofErr w:type="spellStart"/>
      <w:r w:rsidRPr="00FF3567">
        <w:rPr>
          <w:rFonts w:cs="Times New Roman"/>
          <w:lang w:val="en-US"/>
        </w:rPr>
        <w:t>Aldershot</w:t>
      </w:r>
      <w:proofErr w:type="spellEnd"/>
      <w:r w:rsidRPr="00FF3567">
        <w:rPr>
          <w:rFonts w:cs="Times New Roman"/>
          <w:lang w:val="en-US"/>
        </w:rPr>
        <w:t xml:space="preserve"> and Burlington, VT: Ashgate, 2007), 102; original Italian at n.79.</w:t>
      </w:r>
    </w:p>
  </w:footnote>
  <w:footnote w:id="777">
    <w:p w14:paraId="5C7090DD" w14:textId="77777777" w:rsidR="00182EED" w:rsidRDefault="00182EED" w:rsidP="00310CB2">
      <w:pPr>
        <w:pStyle w:val="FootnoteText"/>
      </w:pPr>
      <w:r w:rsidRPr="00D72450">
        <w:rPr>
          <w:rStyle w:val="FootnoteReference"/>
        </w:rPr>
        <w:footnoteRef/>
      </w:r>
      <w:r>
        <w:t xml:space="preserve"> </w:t>
      </w:r>
      <w:r w:rsidRPr="00613140">
        <w:rPr>
          <w:rFonts w:cs="Times New Roman"/>
          <w:lang w:val="en-US"/>
        </w:rPr>
        <w:t xml:space="preserve">James R. </w:t>
      </w:r>
      <w:proofErr w:type="spellStart"/>
      <w:r w:rsidRPr="00613140">
        <w:rPr>
          <w:rFonts w:cs="Times New Roman"/>
          <w:lang w:val="en-US"/>
        </w:rPr>
        <w:t>Lindow</w:t>
      </w:r>
      <w:proofErr w:type="spellEnd"/>
      <w:r w:rsidRPr="00613140">
        <w:rPr>
          <w:rFonts w:cs="Times New Roman"/>
          <w:lang w:val="en-US"/>
        </w:rPr>
        <w:t xml:space="preserve">, “For Use and Display: Selected Furnishings and Domestic Goods in Fifteenth-Century Florentine Interiors,” </w:t>
      </w:r>
      <w:r w:rsidRPr="00613140">
        <w:rPr>
          <w:rFonts w:cs="Times New Roman"/>
          <w:i/>
          <w:iCs/>
          <w:lang w:val="en-US"/>
        </w:rPr>
        <w:t>Renaissance Studies</w:t>
      </w:r>
      <w:r w:rsidRPr="00613140">
        <w:rPr>
          <w:rFonts w:cs="Times New Roman"/>
          <w:lang w:val="en-US"/>
        </w:rPr>
        <w:t xml:space="preserve"> 19, no. 5 (2005): 637.</w:t>
      </w:r>
    </w:p>
  </w:footnote>
  <w:footnote w:id="778">
    <w:p w14:paraId="65724ABF" w14:textId="77777777" w:rsidR="00182EED" w:rsidRDefault="00182EED" w:rsidP="00310CB2">
      <w:pPr>
        <w:pStyle w:val="FootnoteText"/>
      </w:pPr>
      <w:r w:rsidRPr="00D72450">
        <w:rPr>
          <w:rStyle w:val="FootnoteReference"/>
        </w:rPr>
        <w:footnoteRef/>
      </w:r>
      <w:r>
        <w:t xml:space="preserve"> </w:t>
      </w:r>
      <w:r w:rsidRPr="00613140">
        <w:rPr>
          <w:rFonts w:cs="Times New Roman"/>
          <w:lang w:val="en-US"/>
        </w:rPr>
        <w:t xml:space="preserve">On terminology, see Peter Thornton, “Cassoni, </w:t>
      </w:r>
      <w:proofErr w:type="spellStart"/>
      <w:r w:rsidRPr="00613140">
        <w:rPr>
          <w:rFonts w:cs="Times New Roman"/>
          <w:lang w:val="en-US"/>
        </w:rPr>
        <w:t>Forzieri</w:t>
      </w:r>
      <w:proofErr w:type="spellEnd"/>
      <w:r w:rsidRPr="00613140">
        <w:rPr>
          <w:rFonts w:cs="Times New Roman"/>
          <w:lang w:val="en-US"/>
        </w:rPr>
        <w:t xml:space="preserve">, </w:t>
      </w:r>
      <w:proofErr w:type="spellStart"/>
      <w:r w:rsidRPr="00613140">
        <w:rPr>
          <w:rFonts w:cs="Times New Roman"/>
          <w:lang w:val="en-US"/>
        </w:rPr>
        <w:t>Goffani</w:t>
      </w:r>
      <w:proofErr w:type="spellEnd"/>
      <w:r w:rsidRPr="00613140">
        <w:rPr>
          <w:rFonts w:cs="Times New Roman"/>
          <w:lang w:val="en-US"/>
        </w:rPr>
        <w:t xml:space="preserve"> and Cassette: Terminology and Its Problems.,” </w:t>
      </w:r>
      <w:r w:rsidRPr="00613140">
        <w:rPr>
          <w:rFonts w:cs="Times New Roman"/>
          <w:i/>
          <w:iCs/>
          <w:lang w:val="en-US"/>
        </w:rPr>
        <w:t>Apollo.</w:t>
      </w:r>
      <w:r w:rsidRPr="00613140">
        <w:rPr>
          <w:rFonts w:cs="Times New Roman"/>
          <w:lang w:val="en-US"/>
        </w:rPr>
        <w:t xml:space="preserve"> CXX, no. 272 (1984): 246–51; </w:t>
      </w:r>
      <w:proofErr w:type="spellStart"/>
      <w:r w:rsidRPr="00613140">
        <w:rPr>
          <w:rFonts w:cs="Times New Roman"/>
          <w:lang w:val="en-US"/>
        </w:rPr>
        <w:t>Lindow</w:t>
      </w:r>
      <w:proofErr w:type="spellEnd"/>
      <w:r w:rsidRPr="00613140">
        <w:rPr>
          <w:rFonts w:cs="Times New Roman"/>
          <w:lang w:val="en-US"/>
        </w:rPr>
        <w:t xml:space="preserve">, “For Use and Display,” 634–35; On </w:t>
      </w:r>
      <w:r w:rsidRPr="00613140">
        <w:rPr>
          <w:rFonts w:cs="Times New Roman"/>
          <w:i/>
          <w:iCs/>
          <w:lang w:val="en-US"/>
        </w:rPr>
        <w:t>cassoni</w:t>
      </w:r>
      <w:r w:rsidRPr="00613140">
        <w:rPr>
          <w:rFonts w:cs="Times New Roman"/>
          <w:lang w:val="en-US"/>
        </w:rPr>
        <w:t xml:space="preserve"> see Graham Hughes, </w:t>
      </w:r>
      <w:r w:rsidRPr="00613140">
        <w:rPr>
          <w:rFonts w:cs="Times New Roman"/>
          <w:i/>
          <w:iCs/>
          <w:lang w:val="en-US"/>
        </w:rPr>
        <w:t>Renaissance Cassoni: Masterpieces of Early Italian Art: Painted Marriage Chests 1400-1550</w:t>
      </w:r>
      <w:r w:rsidRPr="00613140">
        <w:rPr>
          <w:rFonts w:cs="Times New Roman"/>
          <w:lang w:val="en-US"/>
        </w:rPr>
        <w:t xml:space="preserve"> (London: Art Books International, 1997).</w:t>
      </w:r>
    </w:p>
  </w:footnote>
  <w:footnote w:id="779">
    <w:p w14:paraId="6CAA60C5" w14:textId="77777777" w:rsidR="00182EED" w:rsidRDefault="00182EED" w:rsidP="00310CB2">
      <w:pPr>
        <w:pStyle w:val="FootnoteText"/>
      </w:pPr>
      <w:r w:rsidRPr="00D72450">
        <w:rPr>
          <w:rStyle w:val="FootnoteReference"/>
        </w:rPr>
        <w:footnoteRef/>
      </w:r>
      <w:r>
        <w:t xml:space="preserve"> </w:t>
      </w:r>
      <w:r w:rsidRPr="00613140">
        <w:rPr>
          <w:rFonts w:cs="Times New Roman"/>
          <w:lang w:val="en-US"/>
        </w:rPr>
        <w:t>“</w:t>
      </w:r>
      <w:proofErr w:type="spellStart"/>
      <w:r w:rsidRPr="00613140">
        <w:rPr>
          <w:rFonts w:cs="Times New Roman"/>
          <w:lang w:val="en-US"/>
        </w:rPr>
        <w:t>Usandosi</w:t>
      </w:r>
      <w:proofErr w:type="spellEnd"/>
      <w:r w:rsidRPr="00613140">
        <w:rPr>
          <w:rFonts w:cs="Times New Roman"/>
          <w:lang w:val="en-US"/>
        </w:rPr>
        <w:t xml:space="preserve"> in que’ tempi per le camera de’ </w:t>
      </w:r>
      <w:proofErr w:type="spellStart"/>
      <w:r w:rsidRPr="00613140">
        <w:rPr>
          <w:rFonts w:cs="Times New Roman"/>
          <w:lang w:val="en-US"/>
        </w:rPr>
        <w:t>cittadini</w:t>
      </w:r>
      <w:proofErr w:type="spellEnd"/>
      <w:r w:rsidRPr="00613140">
        <w:rPr>
          <w:rFonts w:cs="Times New Roman"/>
          <w:lang w:val="en-US"/>
        </w:rPr>
        <w:t xml:space="preserve"> cassoni </w:t>
      </w:r>
      <w:proofErr w:type="spellStart"/>
      <w:r w:rsidRPr="00613140">
        <w:rPr>
          <w:rFonts w:cs="Times New Roman"/>
          <w:lang w:val="en-US"/>
        </w:rPr>
        <w:t>grandi</w:t>
      </w:r>
      <w:proofErr w:type="spellEnd"/>
      <w:r w:rsidRPr="00613140">
        <w:rPr>
          <w:rFonts w:cs="Times New Roman"/>
          <w:lang w:val="en-US"/>
        </w:rPr>
        <w:t xml:space="preserve"> di </w:t>
      </w:r>
      <w:proofErr w:type="spellStart"/>
      <w:r w:rsidRPr="00613140">
        <w:rPr>
          <w:rFonts w:cs="Times New Roman"/>
          <w:lang w:val="en-US"/>
        </w:rPr>
        <w:t>legname</w:t>
      </w:r>
      <w:proofErr w:type="spellEnd"/>
      <w:r w:rsidRPr="00613140">
        <w:rPr>
          <w:rFonts w:cs="Times New Roman"/>
          <w:lang w:val="en-US"/>
        </w:rPr>
        <w:t xml:space="preserve"> … </w:t>
      </w:r>
      <w:proofErr w:type="spellStart"/>
      <w:r w:rsidRPr="00613140">
        <w:rPr>
          <w:rFonts w:cs="Times New Roman"/>
          <w:lang w:val="en-US"/>
        </w:rPr>
        <w:t>niuno</w:t>
      </w:r>
      <w:proofErr w:type="spellEnd"/>
      <w:r w:rsidRPr="00613140">
        <w:rPr>
          <w:rFonts w:cs="Times New Roman"/>
          <w:lang w:val="en-US"/>
        </w:rPr>
        <w:t xml:space="preserve"> era </w:t>
      </w:r>
      <w:proofErr w:type="spellStart"/>
      <w:r w:rsidRPr="00613140">
        <w:rPr>
          <w:rFonts w:cs="Times New Roman"/>
          <w:lang w:val="en-US"/>
        </w:rPr>
        <w:t>che</w:t>
      </w:r>
      <w:proofErr w:type="spellEnd"/>
      <w:r w:rsidRPr="00613140">
        <w:rPr>
          <w:rFonts w:cs="Times New Roman"/>
          <w:lang w:val="en-US"/>
        </w:rPr>
        <w:t xml:space="preserve"> </w:t>
      </w:r>
      <w:proofErr w:type="spellStart"/>
      <w:r w:rsidRPr="00613140">
        <w:rPr>
          <w:rFonts w:cs="Times New Roman"/>
          <w:lang w:val="en-US"/>
        </w:rPr>
        <w:t>i</w:t>
      </w:r>
      <w:proofErr w:type="spellEnd"/>
      <w:r w:rsidRPr="00613140">
        <w:rPr>
          <w:rFonts w:cs="Times New Roman"/>
          <w:lang w:val="en-US"/>
        </w:rPr>
        <w:t xml:space="preserve"> </w:t>
      </w:r>
      <w:proofErr w:type="spellStart"/>
      <w:r w:rsidRPr="00613140">
        <w:rPr>
          <w:rFonts w:cs="Times New Roman"/>
          <w:lang w:val="en-US"/>
        </w:rPr>
        <w:t>detti</w:t>
      </w:r>
      <w:proofErr w:type="spellEnd"/>
      <w:r w:rsidRPr="00613140">
        <w:rPr>
          <w:rFonts w:cs="Times New Roman"/>
          <w:lang w:val="en-US"/>
        </w:rPr>
        <w:t xml:space="preserve"> cassoni non </w:t>
      </w:r>
      <w:proofErr w:type="spellStart"/>
      <w:r w:rsidRPr="00613140">
        <w:rPr>
          <w:rFonts w:cs="Times New Roman"/>
          <w:lang w:val="en-US"/>
        </w:rPr>
        <w:t>facesse</w:t>
      </w:r>
      <w:proofErr w:type="spellEnd"/>
      <w:r w:rsidRPr="00613140">
        <w:rPr>
          <w:rFonts w:cs="Times New Roman"/>
          <w:lang w:val="en-US"/>
        </w:rPr>
        <w:t xml:space="preserve"> </w:t>
      </w:r>
      <w:proofErr w:type="spellStart"/>
      <w:r w:rsidRPr="00613140">
        <w:rPr>
          <w:rFonts w:cs="Times New Roman"/>
          <w:lang w:val="en-US"/>
        </w:rPr>
        <w:t>dipignere</w:t>
      </w:r>
      <w:proofErr w:type="spellEnd"/>
      <w:r w:rsidRPr="00613140">
        <w:rPr>
          <w:rFonts w:cs="Times New Roman"/>
          <w:lang w:val="en-US"/>
        </w:rPr>
        <w:t xml:space="preserve"> … E le </w:t>
      </w:r>
      <w:proofErr w:type="spellStart"/>
      <w:r w:rsidRPr="00613140">
        <w:rPr>
          <w:rFonts w:cs="Times New Roman"/>
          <w:lang w:val="en-US"/>
        </w:rPr>
        <w:t>storie</w:t>
      </w:r>
      <w:proofErr w:type="spellEnd"/>
      <w:r w:rsidRPr="00613140">
        <w:rPr>
          <w:rFonts w:cs="Times New Roman"/>
          <w:lang w:val="en-US"/>
        </w:rPr>
        <w:t xml:space="preserve">, </w:t>
      </w:r>
      <w:proofErr w:type="spellStart"/>
      <w:r w:rsidRPr="00613140">
        <w:rPr>
          <w:rFonts w:cs="Times New Roman"/>
          <w:lang w:val="en-US"/>
        </w:rPr>
        <w:t>che</w:t>
      </w:r>
      <w:proofErr w:type="spellEnd"/>
      <w:r w:rsidRPr="00613140">
        <w:rPr>
          <w:rFonts w:cs="Times New Roman"/>
          <w:lang w:val="en-US"/>
        </w:rPr>
        <w:t xml:space="preserve"> </w:t>
      </w:r>
      <w:proofErr w:type="spellStart"/>
      <w:r w:rsidRPr="00613140">
        <w:rPr>
          <w:rFonts w:cs="Times New Roman"/>
          <w:lang w:val="en-US"/>
        </w:rPr>
        <w:t>nel</w:t>
      </w:r>
      <w:proofErr w:type="spellEnd"/>
      <w:r w:rsidRPr="00613140">
        <w:rPr>
          <w:rFonts w:cs="Times New Roman"/>
          <w:lang w:val="en-US"/>
        </w:rPr>
        <w:t xml:space="preserve"> </w:t>
      </w:r>
      <w:proofErr w:type="spellStart"/>
      <w:r w:rsidRPr="00613140">
        <w:rPr>
          <w:rFonts w:cs="Times New Roman"/>
          <w:lang w:val="en-US"/>
        </w:rPr>
        <w:t>corpo</w:t>
      </w:r>
      <w:proofErr w:type="spellEnd"/>
      <w:r w:rsidRPr="00613140">
        <w:rPr>
          <w:rFonts w:cs="Times New Roman"/>
          <w:lang w:val="en-US"/>
        </w:rPr>
        <w:t xml:space="preserve"> </w:t>
      </w:r>
      <w:proofErr w:type="spellStart"/>
      <w:r w:rsidRPr="00613140">
        <w:rPr>
          <w:rFonts w:cs="Times New Roman"/>
          <w:lang w:val="en-US"/>
        </w:rPr>
        <w:t>si</w:t>
      </w:r>
      <w:proofErr w:type="spellEnd"/>
      <w:r w:rsidRPr="00613140">
        <w:rPr>
          <w:rFonts w:cs="Times New Roman"/>
          <w:lang w:val="en-US"/>
        </w:rPr>
        <w:t xml:space="preserve"> </w:t>
      </w:r>
      <w:proofErr w:type="spellStart"/>
      <w:r w:rsidRPr="00613140">
        <w:rPr>
          <w:rFonts w:cs="Times New Roman"/>
          <w:lang w:val="en-US"/>
        </w:rPr>
        <w:t>facevano</w:t>
      </w:r>
      <w:proofErr w:type="spellEnd"/>
      <w:r w:rsidRPr="00613140">
        <w:rPr>
          <w:rFonts w:cs="Times New Roman"/>
          <w:lang w:val="en-US"/>
        </w:rPr>
        <w:t xml:space="preserve">, </w:t>
      </w:r>
      <w:proofErr w:type="spellStart"/>
      <w:r w:rsidRPr="00613140">
        <w:rPr>
          <w:rFonts w:cs="Times New Roman"/>
          <w:lang w:val="en-US"/>
        </w:rPr>
        <w:t>erano</w:t>
      </w:r>
      <w:proofErr w:type="spellEnd"/>
      <w:r w:rsidRPr="00613140">
        <w:rPr>
          <w:rFonts w:cs="Times New Roman"/>
          <w:lang w:val="en-US"/>
        </w:rPr>
        <w:t xml:space="preserve"> per lo </w:t>
      </w:r>
      <w:proofErr w:type="spellStart"/>
      <w:r w:rsidRPr="00613140">
        <w:rPr>
          <w:rFonts w:cs="Times New Roman"/>
          <w:lang w:val="en-US"/>
        </w:rPr>
        <w:t>più</w:t>
      </w:r>
      <w:proofErr w:type="spellEnd"/>
      <w:r w:rsidRPr="00613140">
        <w:rPr>
          <w:rFonts w:cs="Times New Roman"/>
          <w:lang w:val="en-US"/>
        </w:rPr>
        <w:t xml:space="preserve"> di </w:t>
      </w:r>
      <w:proofErr w:type="spellStart"/>
      <w:r w:rsidRPr="00613140">
        <w:rPr>
          <w:rFonts w:cs="Times New Roman"/>
          <w:lang w:val="en-US"/>
        </w:rPr>
        <w:t>favole</w:t>
      </w:r>
      <w:proofErr w:type="spellEnd"/>
      <w:r w:rsidRPr="00613140">
        <w:rPr>
          <w:rFonts w:cs="Times New Roman"/>
          <w:lang w:val="en-US"/>
        </w:rPr>
        <w:t xml:space="preserve"> </w:t>
      </w:r>
      <w:proofErr w:type="spellStart"/>
      <w:r w:rsidRPr="00613140">
        <w:rPr>
          <w:rFonts w:cs="Times New Roman"/>
          <w:lang w:val="en-US"/>
        </w:rPr>
        <w:t>tolte</w:t>
      </w:r>
      <w:proofErr w:type="spellEnd"/>
      <w:r w:rsidRPr="00613140">
        <w:rPr>
          <w:rFonts w:cs="Times New Roman"/>
          <w:lang w:val="en-US"/>
        </w:rPr>
        <w:t xml:space="preserve"> da </w:t>
      </w:r>
      <w:proofErr w:type="spellStart"/>
      <w:r w:rsidRPr="00613140">
        <w:rPr>
          <w:rFonts w:cs="Times New Roman"/>
          <w:lang w:val="en-US"/>
        </w:rPr>
        <w:t>Ovidio</w:t>
      </w:r>
      <w:proofErr w:type="spellEnd"/>
      <w:r w:rsidRPr="00613140">
        <w:rPr>
          <w:rFonts w:cs="Times New Roman"/>
          <w:lang w:val="en-US"/>
        </w:rPr>
        <w:t xml:space="preserve"> e da </w:t>
      </w:r>
      <w:proofErr w:type="spellStart"/>
      <w:r w:rsidRPr="00613140">
        <w:rPr>
          <w:rFonts w:cs="Times New Roman"/>
          <w:lang w:val="en-US"/>
        </w:rPr>
        <w:t>altri</w:t>
      </w:r>
      <w:proofErr w:type="spellEnd"/>
      <w:r w:rsidRPr="00613140">
        <w:rPr>
          <w:rFonts w:cs="Times New Roman"/>
          <w:lang w:val="en-US"/>
        </w:rPr>
        <w:t xml:space="preserve"> </w:t>
      </w:r>
      <w:proofErr w:type="spellStart"/>
      <w:r w:rsidRPr="00613140">
        <w:rPr>
          <w:rFonts w:cs="Times New Roman"/>
          <w:lang w:val="en-US"/>
        </w:rPr>
        <w:t>poeti</w:t>
      </w:r>
      <w:proofErr w:type="spellEnd"/>
      <w:r w:rsidRPr="00613140">
        <w:rPr>
          <w:rFonts w:cs="Times New Roman"/>
          <w:lang w:val="en-US"/>
        </w:rPr>
        <w:t xml:space="preserve">, o </w:t>
      </w:r>
      <w:proofErr w:type="spellStart"/>
      <w:r w:rsidRPr="00613140">
        <w:rPr>
          <w:rFonts w:cs="Times New Roman"/>
          <w:lang w:val="en-US"/>
        </w:rPr>
        <w:t>vero</w:t>
      </w:r>
      <w:proofErr w:type="spellEnd"/>
      <w:r w:rsidRPr="00613140">
        <w:rPr>
          <w:rFonts w:cs="Times New Roman"/>
          <w:lang w:val="en-US"/>
        </w:rPr>
        <w:t xml:space="preserve"> </w:t>
      </w:r>
      <w:proofErr w:type="spellStart"/>
      <w:r w:rsidRPr="00613140">
        <w:rPr>
          <w:rFonts w:cs="Times New Roman"/>
          <w:lang w:val="en-US"/>
        </w:rPr>
        <w:t>storie</w:t>
      </w:r>
      <w:proofErr w:type="spellEnd"/>
      <w:r w:rsidRPr="00613140">
        <w:rPr>
          <w:rFonts w:cs="Times New Roman"/>
          <w:lang w:val="en-US"/>
        </w:rPr>
        <w:t xml:space="preserve"> </w:t>
      </w:r>
      <w:proofErr w:type="spellStart"/>
      <w:r w:rsidRPr="00613140">
        <w:rPr>
          <w:rFonts w:cs="Times New Roman"/>
          <w:lang w:val="en-US"/>
        </w:rPr>
        <w:t>raccontate</w:t>
      </w:r>
      <w:proofErr w:type="spellEnd"/>
      <w:r w:rsidRPr="00613140">
        <w:rPr>
          <w:rFonts w:cs="Times New Roman"/>
          <w:lang w:val="en-US"/>
        </w:rPr>
        <w:t xml:space="preserve"> </w:t>
      </w:r>
      <w:proofErr w:type="spellStart"/>
      <w:r w:rsidRPr="00613140">
        <w:rPr>
          <w:rFonts w:cs="Times New Roman"/>
          <w:lang w:val="en-US"/>
        </w:rPr>
        <w:t>dagli</w:t>
      </w:r>
      <w:proofErr w:type="spellEnd"/>
      <w:r w:rsidRPr="00613140">
        <w:rPr>
          <w:rFonts w:cs="Times New Roman"/>
          <w:lang w:val="en-US"/>
        </w:rPr>
        <w:t xml:space="preserve"> </w:t>
      </w:r>
      <w:proofErr w:type="spellStart"/>
      <w:r w:rsidRPr="00613140">
        <w:rPr>
          <w:rFonts w:cs="Times New Roman"/>
          <w:lang w:val="en-US"/>
        </w:rPr>
        <w:t>istorici</w:t>
      </w:r>
      <w:proofErr w:type="spellEnd"/>
      <w:r w:rsidRPr="00613140">
        <w:rPr>
          <w:rFonts w:cs="Times New Roman"/>
          <w:lang w:val="en-US"/>
        </w:rPr>
        <w:t xml:space="preserve"> </w:t>
      </w:r>
      <w:proofErr w:type="spellStart"/>
      <w:r w:rsidRPr="00613140">
        <w:rPr>
          <w:rFonts w:cs="Times New Roman"/>
          <w:lang w:val="en-US"/>
        </w:rPr>
        <w:t>greci</w:t>
      </w:r>
      <w:proofErr w:type="spellEnd"/>
      <w:r w:rsidRPr="00613140">
        <w:rPr>
          <w:rFonts w:cs="Times New Roman"/>
          <w:lang w:val="en-US"/>
        </w:rPr>
        <w:t xml:space="preserve"> o </w:t>
      </w:r>
      <w:proofErr w:type="spellStart"/>
      <w:r w:rsidRPr="00613140">
        <w:rPr>
          <w:rFonts w:cs="Times New Roman"/>
          <w:lang w:val="en-US"/>
        </w:rPr>
        <w:t>latini</w:t>
      </w:r>
      <w:proofErr w:type="spellEnd"/>
      <w:r w:rsidRPr="00613140">
        <w:rPr>
          <w:rFonts w:cs="Times New Roman"/>
          <w:lang w:val="en-US"/>
        </w:rPr>
        <w:t xml:space="preserve">.” Giorgio Vasari, </w:t>
      </w:r>
      <w:r w:rsidRPr="00613140">
        <w:rPr>
          <w:rFonts w:cs="Times New Roman"/>
          <w:i/>
          <w:iCs/>
          <w:lang w:val="en-US"/>
        </w:rPr>
        <w:t xml:space="preserve">Le </w:t>
      </w:r>
      <w:proofErr w:type="spellStart"/>
      <w:r w:rsidRPr="00613140">
        <w:rPr>
          <w:rFonts w:cs="Times New Roman"/>
          <w:i/>
          <w:iCs/>
          <w:lang w:val="en-US"/>
        </w:rPr>
        <w:t>vite</w:t>
      </w:r>
      <w:proofErr w:type="spellEnd"/>
      <w:r w:rsidRPr="00613140">
        <w:rPr>
          <w:rFonts w:cs="Times New Roman"/>
          <w:i/>
          <w:iCs/>
          <w:lang w:val="en-US"/>
        </w:rPr>
        <w:t xml:space="preserve"> </w:t>
      </w:r>
      <w:proofErr w:type="spellStart"/>
      <w:r w:rsidRPr="00613140">
        <w:rPr>
          <w:rFonts w:cs="Times New Roman"/>
          <w:i/>
          <w:iCs/>
          <w:lang w:val="en-US"/>
        </w:rPr>
        <w:t>dei</w:t>
      </w:r>
      <w:proofErr w:type="spellEnd"/>
      <w:r w:rsidRPr="00613140">
        <w:rPr>
          <w:rFonts w:cs="Times New Roman"/>
          <w:i/>
          <w:iCs/>
          <w:lang w:val="en-US"/>
        </w:rPr>
        <w:t xml:space="preserve"> </w:t>
      </w:r>
      <w:proofErr w:type="spellStart"/>
      <w:r w:rsidRPr="00613140">
        <w:rPr>
          <w:rFonts w:cs="Times New Roman"/>
          <w:i/>
          <w:iCs/>
          <w:lang w:val="en-US"/>
        </w:rPr>
        <w:t>più</w:t>
      </w:r>
      <w:proofErr w:type="spellEnd"/>
      <w:r w:rsidRPr="00613140">
        <w:rPr>
          <w:rFonts w:cs="Times New Roman"/>
          <w:i/>
          <w:iCs/>
          <w:lang w:val="en-US"/>
        </w:rPr>
        <w:t xml:space="preserve"> </w:t>
      </w:r>
      <w:proofErr w:type="spellStart"/>
      <w:r w:rsidRPr="00613140">
        <w:rPr>
          <w:rFonts w:cs="Times New Roman"/>
          <w:i/>
          <w:iCs/>
          <w:lang w:val="en-US"/>
        </w:rPr>
        <w:t>eccellenti</w:t>
      </w:r>
      <w:proofErr w:type="spellEnd"/>
      <w:r w:rsidRPr="00613140">
        <w:rPr>
          <w:rFonts w:cs="Times New Roman"/>
          <w:i/>
          <w:iCs/>
          <w:lang w:val="en-US"/>
        </w:rPr>
        <w:t xml:space="preserve"> </w:t>
      </w:r>
      <w:proofErr w:type="spellStart"/>
      <w:r w:rsidRPr="00613140">
        <w:rPr>
          <w:rFonts w:cs="Times New Roman"/>
          <w:i/>
          <w:iCs/>
          <w:lang w:val="en-US"/>
        </w:rPr>
        <w:t>pittori</w:t>
      </w:r>
      <w:proofErr w:type="spellEnd"/>
      <w:r w:rsidRPr="00613140">
        <w:rPr>
          <w:rFonts w:cs="Times New Roman"/>
          <w:i/>
          <w:iCs/>
          <w:lang w:val="en-US"/>
        </w:rPr>
        <w:t xml:space="preserve">, </w:t>
      </w:r>
      <w:proofErr w:type="spellStart"/>
      <w:r w:rsidRPr="00613140">
        <w:rPr>
          <w:rFonts w:cs="Times New Roman"/>
          <w:i/>
          <w:iCs/>
          <w:lang w:val="en-US"/>
        </w:rPr>
        <w:t>scultori</w:t>
      </w:r>
      <w:proofErr w:type="spellEnd"/>
      <w:r w:rsidRPr="00613140">
        <w:rPr>
          <w:rFonts w:cs="Times New Roman"/>
          <w:i/>
          <w:iCs/>
          <w:lang w:val="en-US"/>
        </w:rPr>
        <w:t xml:space="preserve"> e </w:t>
      </w:r>
      <w:proofErr w:type="spellStart"/>
      <w:r w:rsidRPr="00613140">
        <w:rPr>
          <w:rFonts w:cs="Times New Roman"/>
          <w:i/>
          <w:iCs/>
          <w:lang w:val="en-US"/>
        </w:rPr>
        <w:t>architetti</w:t>
      </w:r>
      <w:proofErr w:type="spellEnd"/>
      <w:r w:rsidRPr="00613140">
        <w:rPr>
          <w:rFonts w:cs="Times New Roman"/>
          <w:lang w:val="en-US"/>
        </w:rPr>
        <w:t xml:space="preserve">, ed. Maurizio Marini (Rome: </w:t>
      </w:r>
      <w:proofErr w:type="spellStart"/>
      <w:r w:rsidRPr="00613140">
        <w:rPr>
          <w:rFonts w:cs="Times New Roman"/>
          <w:lang w:val="en-US"/>
        </w:rPr>
        <w:t>Grandi</w:t>
      </w:r>
      <w:proofErr w:type="spellEnd"/>
      <w:r w:rsidRPr="00613140">
        <w:rPr>
          <w:rFonts w:cs="Times New Roman"/>
          <w:lang w:val="en-US"/>
        </w:rPr>
        <w:t xml:space="preserve"> </w:t>
      </w:r>
      <w:proofErr w:type="spellStart"/>
      <w:r w:rsidRPr="00613140">
        <w:rPr>
          <w:rFonts w:cs="Times New Roman"/>
          <w:lang w:val="en-US"/>
        </w:rPr>
        <w:t>Tascabili</w:t>
      </w:r>
      <w:proofErr w:type="spellEnd"/>
      <w:r w:rsidRPr="00613140">
        <w:rPr>
          <w:rFonts w:cs="Times New Roman"/>
          <w:lang w:val="en-US"/>
        </w:rPr>
        <w:t xml:space="preserve"> </w:t>
      </w:r>
      <w:proofErr w:type="spellStart"/>
      <w:r w:rsidRPr="00613140">
        <w:rPr>
          <w:rFonts w:cs="Times New Roman"/>
          <w:lang w:val="en-US"/>
        </w:rPr>
        <w:t>Economici</w:t>
      </w:r>
      <w:proofErr w:type="spellEnd"/>
      <w:r w:rsidRPr="00613140">
        <w:rPr>
          <w:rFonts w:cs="Times New Roman"/>
          <w:lang w:val="en-US"/>
        </w:rPr>
        <w:t xml:space="preserve"> Newton, 2005), 282–83 (</w:t>
      </w:r>
      <w:r w:rsidRPr="00613140">
        <w:rPr>
          <w:rFonts w:cs="Times New Roman"/>
          <w:i/>
          <w:iCs/>
          <w:lang w:val="en-US"/>
        </w:rPr>
        <w:t xml:space="preserve">Vita di </w:t>
      </w:r>
      <w:proofErr w:type="spellStart"/>
      <w:r w:rsidRPr="00613140">
        <w:rPr>
          <w:rFonts w:cs="Times New Roman"/>
          <w:i/>
          <w:iCs/>
          <w:lang w:val="en-US"/>
        </w:rPr>
        <w:t>Dello</w:t>
      </w:r>
      <w:proofErr w:type="spellEnd"/>
      <w:r w:rsidRPr="00613140">
        <w:rPr>
          <w:rFonts w:cs="Times New Roman"/>
          <w:lang w:val="en-US"/>
        </w:rPr>
        <w:t>).</w:t>
      </w:r>
    </w:p>
  </w:footnote>
  <w:footnote w:id="780">
    <w:p w14:paraId="5F4F482C" w14:textId="77777777" w:rsidR="00182EED" w:rsidRDefault="00182EED" w:rsidP="00310CB2">
      <w:pPr>
        <w:pStyle w:val="FootnoteText"/>
      </w:pPr>
      <w:r w:rsidRPr="00D72450">
        <w:rPr>
          <w:rStyle w:val="FootnoteReference"/>
        </w:rPr>
        <w:footnoteRef/>
      </w:r>
      <w:r>
        <w:t xml:space="preserve"> </w:t>
      </w:r>
      <w:r w:rsidRPr="00613140">
        <w:rPr>
          <w:rFonts w:cs="Times New Roman"/>
          <w:lang w:val="en-US"/>
        </w:rPr>
        <w:t xml:space="preserve">“E, </w:t>
      </w:r>
      <w:proofErr w:type="spellStart"/>
      <w:r w:rsidRPr="00613140">
        <w:rPr>
          <w:rFonts w:cs="Times New Roman"/>
          <w:lang w:val="en-US"/>
        </w:rPr>
        <w:t>che</w:t>
      </w:r>
      <w:proofErr w:type="spellEnd"/>
      <w:r w:rsidRPr="00613140">
        <w:rPr>
          <w:rFonts w:cs="Times New Roman"/>
          <w:lang w:val="en-US"/>
        </w:rPr>
        <w:t xml:space="preserve"> è </w:t>
      </w:r>
      <w:proofErr w:type="spellStart"/>
      <w:r w:rsidRPr="00613140">
        <w:rPr>
          <w:rFonts w:cs="Times New Roman"/>
          <w:lang w:val="en-US"/>
        </w:rPr>
        <w:t>più</w:t>
      </w:r>
      <w:proofErr w:type="spellEnd"/>
      <w:r w:rsidRPr="00613140">
        <w:rPr>
          <w:rFonts w:cs="Times New Roman"/>
          <w:lang w:val="en-US"/>
        </w:rPr>
        <w:t xml:space="preserve">, </w:t>
      </w:r>
      <w:proofErr w:type="spellStart"/>
      <w:r w:rsidRPr="00613140">
        <w:rPr>
          <w:rFonts w:cs="Times New Roman"/>
          <w:lang w:val="en-US"/>
        </w:rPr>
        <w:t>si</w:t>
      </w:r>
      <w:proofErr w:type="spellEnd"/>
      <w:r w:rsidRPr="00613140">
        <w:rPr>
          <w:rFonts w:cs="Times New Roman"/>
          <w:lang w:val="en-US"/>
        </w:rPr>
        <w:t xml:space="preserve"> </w:t>
      </w:r>
      <w:proofErr w:type="spellStart"/>
      <w:r w:rsidRPr="00613140">
        <w:rPr>
          <w:rFonts w:cs="Times New Roman"/>
          <w:lang w:val="en-US"/>
        </w:rPr>
        <w:t>dipignevano</w:t>
      </w:r>
      <w:proofErr w:type="spellEnd"/>
      <w:r w:rsidRPr="00613140">
        <w:rPr>
          <w:rFonts w:cs="Times New Roman"/>
          <w:lang w:val="en-US"/>
        </w:rPr>
        <w:t xml:space="preserve"> in </w:t>
      </w:r>
      <w:proofErr w:type="spellStart"/>
      <w:r w:rsidRPr="00613140">
        <w:rPr>
          <w:rFonts w:cs="Times New Roman"/>
          <w:lang w:val="en-US"/>
        </w:rPr>
        <w:t>cotal</w:t>
      </w:r>
      <w:proofErr w:type="spellEnd"/>
      <w:r w:rsidRPr="00613140">
        <w:rPr>
          <w:rFonts w:cs="Times New Roman"/>
          <w:lang w:val="en-US"/>
        </w:rPr>
        <w:t xml:space="preserve"> </w:t>
      </w:r>
      <w:proofErr w:type="spellStart"/>
      <w:r w:rsidRPr="00613140">
        <w:rPr>
          <w:rFonts w:cs="Times New Roman"/>
          <w:lang w:val="en-US"/>
        </w:rPr>
        <w:t>maniera</w:t>
      </w:r>
      <w:proofErr w:type="spellEnd"/>
      <w:r w:rsidRPr="00613140">
        <w:rPr>
          <w:rFonts w:cs="Times New Roman"/>
          <w:lang w:val="en-US"/>
        </w:rPr>
        <w:t xml:space="preserve"> non </w:t>
      </w:r>
      <w:proofErr w:type="spellStart"/>
      <w:r w:rsidRPr="00613140">
        <w:rPr>
          <w:rFonts w:cs="Times New Roman"/>
          <w:lang w:val="en-US"/>
        </w:rPr>
        <w:t>solamente</w:t>
      </w:r>
      <w:proofErr w:type="spellEnd"/>
      <w:r w:rsidRPr="00613140">
        <w:rPr>
          <w:rFonts w:cs="Times New Roman"/>
          <w:lang w:val="en-US"/>
        </w:rPr>
        <w:t xml:space="preserve"> </w:t>
      </w:r>
      <w:proofErr w:type="spellStart"/>
      <w:r w:rsidRPr="00613140">
        <w:rPr>
          <w:rFonts w:cs="Times New Roman"/>
          <w:lang w:val="en-US"/>
        </w:rPr>
        <w:t>i</w:t>
      </w:r>
      <w:proofErr w:type="spellEnd"/>
      <w:r w:rsidRPr="00613140">
        <w:rPr>
          <w:rFonts w:cs="Times New Roman"/>
          <w:lang w:val="en-US"/>
        </w:rPr>
        <w:t xml:space="preserve"> cassoni, ma </w:t>
      </w:r>
      <w:proofErr w:type="spellStart"/>
      <w:r w:rsidRPr="00613140">
        <w:rPr>
          <w:rFonts w:cs="Times New Roman"/>
          <w:lang w:val="en-US"/>
        </w:rPr>
        <w:t>i</w:t>
      </w:r>
      <w:proofErr w:type="spellEnd"/>
      <w:r w:rsidRPr="00613140">
        <w:rPr>
          <w:rFonts w:cs="Times New Roman"/>
          <w:lang w:val="en-US"/>
        </w:rPr>
        <w:t xml:space="preserve"> </w:t>
      </w:r>
      <w:proofErr w:type="spellStart"/>
      <w:r w:rsidRPr="00613140">
        <w:rPr>
          <w:rFonts w:cs="Times New Roman"/>
          <w:lang w:val="en-US"/>
        </w:rPr>
        <w:t>lettucci</w:t>
      </w:r>
      <w:proofErr w:type="spellEnd"/>
      <w:r w:rsidRPr="00613140">
        <w:rPr>
          <w:rFonts w:cs="Times New Roman"/>
          <w:lang w:val="en-US"/>
        </w:rPr>
        <w:t xml:space="preserve">, le </w:t>
      </w:r>
      <w:proofErr w:type="spellStart"/>
      <w:r w:rsidRPr="00613140">
        <w:rPr>
          <w:rFonts w:cs="Times New Roman"/>
          <w:lang w:val="en-US"/>
        </w:rPr>
        <w:t>spalliere</w:t>
      </w:r>
      <w:proofErr w:type="spellEnd"/>
      <w:r w:rsidRPr="00613140">
        <w:rPr>
          <w:rFonts w:cs="Times New Roman"/>
          <w:lang w:val="en-US"/>
        </w:rPr>
        <w:t xml:space="preserve">, le </w:t>
      </w:r>
      <w:proofErr w:type="spellStart"/>
      <w:r w:rsidRPr="00613140">
        <w:rPr>
          <w:rFonts w:cs="Times New Roman"/>
          <w:lang w:val="en-US"/>
        </w:rPr>
        <w:t>cornici</w:t>
      </w:r>
      <w:proofErr w:type="spellEnd"/>
      <w:r w:rsidRPr="00613140">
        <w:rPr>
          <w:rFonts w:cs="Times New Roman"/>
          <w:lang w:val="en-US"/>
        </w:rPr>
        <w:t xml:space="preserve"> </w:t>
      </w:r>
      <w:proofErr w:type="spellStart"/>
      <w:r w:rsidRPr="00613140">
        <w:rPr>
          <w:rFonts w:cs="Times New Roman"/>
          <w:lang w:val="en-US"/>
        </w:rPr>
        <w:t>che</w:t>
      </w:r>
      <w:proofErr w:type="spellEnd"/>
      <w:r w:rsidRPr="00613140">
        <w:rPr>
          <w:rFonts w:cs="Times New Roman"/>
          <w:lang w:val="en-US"/>
        </w:rPr>
        <w:t xml:space="preserve"> </w:t>
      </w:r>
      <w:proofErr w:type="spellStart"/>
      <w:r w:rsidRPr="00613140">
        <w:rPr>
          <w:rFonts w:cs="Times New Roman"/>
          <w:lang w:val="en-US"/>
        </w:rPr>
        <w:t>ricignevano</w:t>
      </w:r>
      <w:proofErr w:type="spellEnd"/>
      <w:r w:rsidRPr="00613140">
        <w:rPr>
          <w:rFonts w:cs="Times New Roman"/>
          <w:lang w:val="en-US"/>
        </w:rPr>
        <w:t xml:space="preserve"> </w:t>
      </w:r>
      <w:proofErr w:type="spellStart"/>
      <w:r w:rsidRPr="00613140">
        <w:rPr>
          <w:rFonts w:cs="Times New Roman"/>
          <w:lang w:val="en-US"/>
        </w:rPr>
        <w:t>intorno</w:t>
      </w:r>
      <w:proofErr w:type="spellEnd"/>
      <w:r w:rsidRPr="00613140">
        <w:rPr>
          <w:rFonts w:cs="Times New Roman"/>
          <w:lang w:val="en-US"/>
        </w:rPr>
        <w:t xml:space="preserve"> e </w:t>
      </w:r>
      <w:proofErr w:type="spellStart"/>
      <w:r w:rsidRPr="00613140">
        <w:rPr>
          <w:rFonts w:cs="Times New Roman"/>
          <w:lang w:val="en-US"/>
        </w:rPr>
        <w:t>altri</w:t>
      </w:r>
      <w:proofErr w:type="spellEnd"/>
      <w:r w:rsidRPr="00613140">
        <w:rPr>
          <w:rFonts w:cs="Times New Roman"/>
          <w:lang w:val="en-US"/>
        </w:rPr>
        <w:t xml:space="preserve"> </w:t>
      </w:r>
      <w:proofErr w:type="spellStart"/>
      <w:r w:rsidRPr="00613140">
        <w:rPr>
          <w:rFonts w:cs="Times New Roman"/>
          <w:lang w:val="en-US"/>
        </w:rPr>
        <w:t>così</w:t>
      </w:r>
      <w:proofErr w:type="spellEnd"/>
      <w:r w:rsidRPr="00613140">
        <w:rPr>
          <w:rFonts w:cs="Times New Roman"/>
          <w:lang w:val="en-US"/>
        </w:rPr>
        <w:t xml:space="preserve"> </w:t>
      </w:r>
      <w:proofErr w:type="spellStart"/>
      <w:r w:rsidRPr="00613140">
        <w:rPr>
          <w:rFonts w:cs="Times New Roman"/>
          <w:lang w:val="en-US"/>
        </w:rPr>
        <w:t>fatti</w:t>
      </w:r>
      <w:proofErr w:type="spellEnd"/>
      <w:r w:rsidRPr="00613140">
        <w:rPr>
          <w:rFonts w:cs="Times New Roman"/>
          <w:lang w:val="en-US"/>
        </w:rPr>
        <w:t xml:space="preserve"> </w:t>
      </w:r>
      <w:proofErr w:type="spellStart"/>
      <w:r w:rsidRPr="00613140">
        <w:rPr>
          <w:rFonts w:cs="Times New Roman"/>
          <w:lang w:val="en-US"/>
        </w:rPr>
        <w:t>ornamenti</w:t>
      </w:r>
      <w:proofErr w:type="spellEnd"/>
      <w:r w:rsidRPr="00613140">
        <w:rPr>
          <w:rFonts w:cs="Times New Roman"/>
          <w:lang w:val="en-US"/>
        </w:rPr>
        <w:t xml:space="preserve"> da camera, </w:t>
      </w:r>
      <w:proofErr w:type="spellStart"/>
      <w:r w:rsidRPr="00613140">
        <w:rPr>
          <w:rFonts w:cs="Times New Roman"/>
          <w:lang w:val="en-US"/>
        </w:rPr>
        <w:t>che</w:t>
      </w:r>
      <w:proofErr w:type="spellEnd"/>
      <w:r w:rsidRPr="00613140">
        <w:rPr>
          <w:rFonts w:cs="Times New Roman"/>
          <w:lang w:val="en-US"/>
        </w:rPr>
        <w:t xml:space="preserve"> in que’ tempi </w:t>
      </w:r>
      <w:proofErr w:type="spellStart"/>
      <w:r w:rsidRPr="00613140">
        <w:rPr>
          <w:rFonts w:cs="Times New Roman"/>
          <w:lang w:val="en-US"/>
        </w:rPr>
        <w:t>magnificamente</w:t>
      </w:r>
      <w:proofErr w:type="spellEnd"/>
      <w:r w:rsidRPr="00613140">
        <w:rPr>
          <w:rFonts w:cs="Times New Roman"/>
          <w:lang w:val="en-US"/>
        </w:rPr>
        <w:t xml:space="preserve"> </w:t>
      </w:r>
      <w:proofErr w:type="spellStart"/>
      <w:r w:rsidRPr="00613140">
        <w:rPr>
          <w:rFonts w:cs="Times New Roman"/>
          <w:lang w:val="en-US"/>
        </w:rPr>
        <w:t>si</w:t>
      </w:r>
      <w:proofErr w:type="spellEnd"/>
      <w:r w:rsidRPr="00613140">
        <w:rPr>
          <w:rFonts w:cs="Times New Roman"/>
          <w:lang w:val="en-US"/>
        </w:rPr>
        <w:t xml:space="preserve"> </w:t>
      </w:r>
      <w:proofErr w:type="spellStart"/>
      <w:r w:rsidRPr="00613140">
        <w:rPr>
          <w:rFonts w:cs="Times New Roman"/>
          <w:lang w:val="en-US"/>
        </w:rPr>
        <w:t>usavano</w:t>
      </w:r>
      <w:proofErr w:type="spellEnd"/>
      <w:r w:rsidRPr="00613140">
        <w:rPr>
          <w:rFonts w:cs="Times New Roman"/>
          <w:lang w:val="en-US"/>
        </w:rPr>
        <w:t xml:space="preserve">, come </w:t>
      </w:r>
      <w:proofErr w:type="spellStart"/>
      <w:r w:rsidRPr="00613140">
        <w:rPr>
          <w:rFonts w:cs="Times New Roman"/>
          <w:lang w:val="en-US"/>
        </w:rPr>
        <w:t>infiniti</w:t>
      </w:r>
      <w:proofErr w:type="spellEnd"/>
      <w:r w:rsidRPr="00613140">
        <w:rPr>
          <w:rFonts w:cs="Times New Roman"/>
          <w:lang w:val="en-US"/>
        </w:rPr>
        <w:t xml:space="preserve"> per </w:t>
      </w:r>
      <w:proofErr w:type="spellStart"/>
      <w:r w:rsidRPr="00613140">
        <w:rPr>
          <w:rFonts w:cs="Times New Roman"/>
          <w:lang w:val="en-US"/>
        </w:rPr>
        <w:t>tutta</w:t>
      </w:r>
      <w:proofErr w:type="spellEnd"/>
      <w:r w:rsidRPr="00613140">
        <w:rPr>
          <w:rFonts w:cs="Times New Roman"/>
          <w:lang w:val="en-US"/>
        </w:rPr>
        <w:t xml:space="preserve"> la </w:t>
      </w:r>
      <w:proofErr w:type="spellStart"/>
      <w:r w:rsidRPr="00613140">
        <w:rPr>
          <w:rFonts w:cs="Times New Roman"/>
          <w:lang w:val="en-US"/>
        </w:rPr>
        <w:t>città</w:t>
      </w:r>
      <w:proofErr w:type="spellEnd"/>
      <w:r w:rsidRPr="00613140">
        <w:rPr>
          <w:rFonts w:cs="Times New Roman"/>
          <w:lang w:val="en-US"/>
        </w:rPr>
        <w:t xml:space="preserve"> se ne </w:t>
      </w:r>
      <w:proofErr w:type="spellStart"/>
      <w:r w:rsidRPr="00613140">
        <w:rPr>
          <w:rFonts w:cs="Times New Roman"/>
          <w:lang w:val="en-US"/>
        </w:rPr>
        <w:t>possono</w:t>
      </w:r>
      <w:proofErr w:type="spellEnd"/>
      <w:r w:rsidRPr="00613140">
        <w:rPr>
          <w:rFonts w:cs="Times New Roman"/>
          <w:lang w:val="en-US"/>
        </w:rPr>
        <w:t xml:space="preserve"> </w:t>
      </w:r>
      <w:proofErr w:type="spellStart"/>
      <w:r w:rsidRPr="00613140">
        <w:rPr>
          <w:rFonts w:cs="Times New Roman"/>
          <w:lang w:val="en-US"/>
        </w:rPr>
        <w:t>vedere</w:t>
      </w:r>
      <w:proofErr w:type="spellEnd"/>
      <w:r w:rsidRPr="00613140">
        <w:rPr>
          <w:rFonts w:cs="Times New Roman"/>
          <w:lang w:val="en-US"/>
        </w:rPr>
        <w:t xml:space="preserve"> … E </w:t>
      </w:r>
      <w:proofErr w:type="spellStart"/>
      <w:r w:rsidRPr="00613140">
        <w:rPr>
          <w:rFonts w:cs="Times New Roman"/>
          <w:lang w:val="en-US"/>
        </w:rPr>
        <w:t>che</w:t>
      </w:r>
      <w:proofErr w:type="spellEnd"/>
      <w:r w:rsidRPr="00613140">
        <w:rPr>
          <w:rFonts w:cs="Times New Roman"/>
          <w:lang w:val="en-US"/>
        </w:rPr>
        <w:t xml:space="preserve"> </w:t>
      </w:r>
      <w:proofErr w:type="spellStart"/>
      <w:r w:rsidRPr="00613140">
        <w:rPr>
          <w:rFonts w:cs="Times New Roman"/>
          <w:lang w:val="en-US"/>
        </w:rPr>
        <w:t>ciò</w:t>
      </w:r>
      <w:proofErr w:type="spellEnd"/>
      <w:r w:rsidRPr="00613140">
        <w:rPr>
          <w:rFonts w:cs="Times New Roman"/>
          <w:lang w:val="en-US"/>
        </w:rPr>
        <w:t xml:space="preserve"> </w:t>
      </w:r>
      <w:proofErr w:type="spellStart"/>
      <w:r w:rsidRPr="00613140">
        <w:rPr>
          <w:rFonts w:cs="Times New Roman"/>
          <w:lang w:val="en-US"/>
        </w:rPr>
        <w:t>sia</w:t>
      </w:r>
      <w:proofErr w:type="spellEnd"/>
      <w:r w:rsidRPr="00613140">
        <w:rPr>
          <w:rFonts w:cs="Times New Roman"/>
          <w:lang w:val="en-US"/>
        </w:rPr>
        <w:t xml:space="preserve"> </w:t>
      </w:r>
      <w:proofErr w:type="spellStart"/>
      <w:r w:rsidRPr="00613140">
        <w:rPr>
          <w:rFonts w:cs="Times New Roman"/>
          <w:lang w:val="en-US"/>
        </w:rPr>
        <w:t>vero</w:t>
      </w:r>
      <w:proofErr w:type="spellEnd"/>
      <w:r w:rsidRPr="00613140">
        <w:rPr>
          <w:rFonts w:cs="Times New Roman"/>
          <w:lang w:val="en-US"/>
        </w:rPr>
        <w:t xml:space="preserve">, </w:t>
      </w:r>
      <w:proofErr w:type="spellStart"/>
      <w:r w:rsidRPr="00613140">
        <w:rPr>
          <w:rFonts w:cs="Times New Roman"/>
          <w:lang w:val="en-US"/>
        </w:rPr>
        <w:t>si</w:t>
      </w:r>
      <w:proofErr w:type="spellEnd"/>
      <w:r w:rsidRPr="00613140">
        <w:rPr>
          <w:rFonts w:cs="Times New Roman"/>
          <w:lang w:val="en-US"/>
        </w:rPr>
        <w:t xml:space="preserve"> è </w:t>
      </w:r>
      <w:proofErr w:type="spellStart"/>
      <w:r w:rsidRPr="00613140">
        <w:rPr>
          <w:rFonts w:cs="Times New Roman"/>
          <w:lang w:val="en-US"/>
        </w:rPr>
        <w:t>veduto</w:t>
      </w:r>
      <w:proofErr w:type="spellEnd"/>
      <w:r w:rsidRPr="00613140">
        <w:rPr>
          <w:rFonts w:cs="Times New Roman"/>
          <w:lang w:val="en-US"/>
        </w:rPr>
        <w:t xml:space="preserve"> </w:t>
      </w:r>
      <w:proofErr w:type="spellStart"/>
      <w:r w:rsidRPr="00613140">
        <w:rPr>
          <w:rFonts w:cs="Times New Roman"/>
          <w:lang w:val="en-US"/>
        </w:rPr>
        <w:t>insino</w:t>
      </w:r>
      <w:proofErr w:type="spellEnd"/>
      <w:r w:rsidRPr="00613140">
        <w:rPr>
          <w:rFonts w:cs="Times New Roman"/>
          <w:lang w:val="en-US"/>
        </w:rPr>
        <w:t xml:space="preserve"> a’ </w:t>
      </w:r>
      <w:proofErr w:type="spellStart"/>
      <w:r w:rsidRPr="00613140">
        <w:rPr>
          <w:rFonts w:cs="Times New Roman"/>
          <w:lang w:val="en-US"/>
        </w:rPr>
        <w:t>giorni</w:t>
      </w:r>
      <w:proofErr w:type="spellEnd"/>
      <w:r w:rsidRPr="00613140">
        <w:rPr>
          <w:rFonts w:cs="Times New Roman"/>
          <w:lang w:val="en-US"/>
        </w:rPr>
        <w:t xml:space="preserve"> </w:t>
      </w:r>
      <w:proofErr w:type="spellStart"/>
      <w:r w:rsidRPr="00613140">
        <w:rPr>
          <w:rFonts w:cs="Times New Roman"/>
          <w:lang w:val="en-US"/>
        </w:rPr>
        <w:t>nostri</w:t>
      </w:r>
      <w:proofErr w:type="spellEnd"/>
      <w:r w:rsidRPr="00613140">
        <w:rPr>
          <w:rFonts w:cs="Times New Roman"/>
          <w:lang w:val="en-US"/>
        </w:rPr>
        <w:t xml:space="preserve">, </w:t>
      </w:r>
      <w:proofErr w:type="spellStart"/>
      <w:r w:rsidRPr="00613140">
        <w:rPr>
          <w:rFonts w:cs="Times New Roman"/>
          <w:lang w:val="en-US"/>
        </w:rPr>
        <w:t>oltre</w:t>
      </w:r>
      <w:proofErr w:type="spellEnd"/>
      <w:r w:rsidRPr="00613140">
        <w:rPr>
          <w:rFonts w:cs="Times New Roman"/>
          <w:lang w:val="en-US"/>
        </w:rPr>
        <w:t xml:space="preserve"> </w:t>
      </w:r>
      <w:proofErr w:type="spellStart"/>
      <w:r w:rsidRPr="00613140">
        <w:rPr>
          <w:rFonts w:cs="Times New Roman"/>
          <w:lang w:val="en-US"/>
        </w:rPr>
        <w:t>molti</w:t>
      </w:r>
      <w:proofErr w:type="spellEnd"/>
      <w:r w:rsidRPr="00613140">
        <w:rPr>
          <w:rFonts w:cs="Times New Roman"/>
          <w:lang w:val="en-US"/>
        </w:rPr>
        <w:t xml:space="preserve"> </w:t>
      </w:r>
      <w:proofErr w:type="spellStart"/>
      <w:r w:rsidRPr="00613140">
        <w:rPr>
          <w:rFonts w:cs="Times New Roman"/>
          <w:lang w:val="en-US"/>
        </w:rPr>
        <w:t>altri</w:t>
      </w:r>
      <w:proofErr w:type="spellEnd"/>
      <w:r w:rsidRPr="00613140">
        <w:rPr>
          <w:rFonts w:cs="Times New Roman"/>
          <w:lang w:val="en-US"/>
        </w:rPr>
        <w:t xml:space="preserve">, </w:t>
      </w:r>
      <w:proofErr w:type="spellStart"/>
      <w:r w:rsidRPr="00613140">
        <w:rPr>
          <w:rFonts w:cs="Times New Roman"/>
          <w:lang w:val="en-US"/>
        </w:rPr>
        <w:t>alcuni</w:t>
      </w:r>
      <w:proofErr w:type="spellEnd"/>
      <w:r w:rsidRPr="00613140">
        <w:rPr>
          <w:rFonts w:cs="Times New Roman"/>
          <w:lang w:val="en-US"/>
        </w:rPr>
        <w:t xml:space="preserve"> cassoni, </w:t>
      </w:r>
      <w:proofErr w:type="spellStart"/>
      <w:r w:rsidRPr="00613140">
        <w:rPr>
          <w:rFonts w:cs="Times New Roman"/>
          <w:lang w:val="en-US"/>
        </w:rPr>
        <w:t>spalliere</w:t>
      </w:r>
      <w:proofErr w:type="spellEnd"/>
      <w:r w:rsidRPr="00613140">
        <w:rPr>
          <w:rFonts w:cs="Times New Roman"/>
          <w:lang w:val="en-US"/>
        </w:rPr>
        <w:t xml:space="preserve"> e </w:t>
      </w:r>
      <w:proofErr w:type="spellStart"/>
      <w:r w:rsidRPr="00613140">
        <w:rPr>
          <w:rFonts w:cs="Times New Roman"/>
          <w:lang w:val="en-US"/>
        </w:rPr>
        <w:t>cornici</w:t>
      </w:r>
      <w:proofErr w:type="spellEnd"/>
      <w:r w:rsidRPr="00613140">
        <w:rPr>
          <w:rFonts w:cs="Times New Roman"/>
          <w:lang w:val="en-US"/>
        </w:rPr>
        <w:t xml:space="preserve"> </w:t>
      </w:r>
      <w:proofErr w:type="spellStart"/>
      <w:r w:rsidRPr="00613140">
        <w:rPr>
          <w:rFonts w:cs="Times New Roman"/>
          <w:lang w:val="en-US"/>
        </w:rPr>
        <w:t>nelle</w:t>
      </w:r>
      <w:proofErr w:type="spellEnd"/>
      <w:r w:rsidRPr="00613140">
        <w:rPr>
          <w:rFonts w:cs="Times New Roman"/>
          <w:lang w:val="en-US"/>
        </w:rPr>
        <w:t xml:space="preserve"> </w:t>
      </w:r>
      <w:proofErr w:type="spellStart"/>
      <w:r w:rsidRPr="00613140">
        <w:rPr>
          <w:rFonts w:cs="Times New Roman"/>
          <w:lang w:val="en-US"/>
        </w:rPr>
        <w:t>camere</w:t>
      </w:r>
      <w:proofErr w:type="spellEnd"/>
      <w:r w:rsidRPr="00613140">
        <w:rPr>
          <w:rFonts w:cs="Times New Roman"/>
          <w:lang w:val="en-US"/>
        </w:rPr>
        <w:t xml:space="preserve"> del Magnifico Lorenzo Vecchio de’ Medici, </w:t>
      </w:r>
      <w:proofErr w:type="spellStart"/>
      <w:r w:rsidRPr="00613140">
        <w:rPr>
          <w:rFonts w:cs="Times New Roman"/>
          <w:lang w:val="en-US"/>
        </w:rPr>
        <w:t>nei</w:t>
      </w:r>
      <w:proofErr w:type="spellEnd"/>
      <w:r w:rsidRPr="00613140">
        <w:rPr>
          <w:rFonts w:cs="Times New Roman"/>
          <w:lang w:val="en-US"/>
        </w:rPr>
        <w:t xml:space="preserve"> </w:t>
      </w:r>
      <w:proofErr w:type="spellStart"/>
      <w:r w:rsidRPr="00613140">
        <w:rPr>
          <w:rFonts w:cs="Times New Roman"/>
          <w:lang w:val="en-US"/>
        </w:rPr>
        <w:t>quali</w:t>
      </w:r>
      <w:proofErr w:type="spellEnd"/>
      <w:r w:rsidRPr="00613140">
        <w:rPr>
          <w:rFonts w:cs="Times New Roman"/>
          <w:lang w:val="en-US"/>
        </w:rPr>
        <w:t xml:space="preserve"> era dipinto di mano di … </w:t>
      </w:r>
      <w:proofErr w:type="spellStart"/>
      <w:r w:rsidRPr="00613140">
        <w:rPr>
          <w:rFonts w:cs="Times New Roman"/>
          <w:lang w:val="en-US"/>
        </w:rPr>
        <w:t>eccellenti</w:t>
      </w:r>
      <w:proofErr w:type="spellEnd"/>
      <w:r w:rsidRPr="00613140">
        <w:rPr>
          <w:rFonts w:cs="Times New Roman"/>
          <w:lang w:val="en-US"/>
        </w:rPr>
        <w:t xml:space="preserve"> </w:t>
      </w:r>
      <w:proofErr w:type="spellStart"/>
      <w:r w:rsidRPr="00613140">
        <w:rPr>
          <w:rFonts w:cs="Times New Roman"/>
          <w:lang w:val="en-US"/>
        </w:rPr>
        <w:t>maestri</w:t>
      </w:r>
      <w:proofErr w:type="spellEnd"/>
      <w:r w:rsidRPr="00613140">
        <w:rPr>
          <w:rFonts w:cs="Times New Roman"/>
          <w:lang w:val="en-US"/>
        </w:rPr>
        <w:t xml:space="preserve">, </w:t>
      </w:r>
      <w:proofErr w:type="spellStart"/>
      <w:r w:rsidRPr="00613140">
        <w:rPr>
          <w:rFonts w:cs="Times New Roman"/>
          <w:lang w:val="en-US"/>
        </w:rPr>
        <w:t>tutte</w:t>
      </w:r>
      <w:proofErr w:type="spellEnd"/>
      <w:r w:rsidRPr="00613140">
        <w:rPr>
          <w:rFonts w:cs="Times New Roman"/>
          <w:lang w:val="en-US"/>
        </w:rPr>
        <w:t xml:space="preserve"> le </w:t>
      </w:r>
      <w:proofErr w:type="spellStart"/>
      <w:r w:rsidRPr="00613140">
        <w:rPr>
          <w:rFonts w:cs="Times New Roman"/>
          <w:lang w:val="en-US"/>
        </w:rPr>
        <w:t>giostre</w:t>
      </w:r>
      <w:proofErr w:type="spellEnd"/>
      <w:r w:rsidRPr="00613140">
        <w:rPr>
          <w:rFonts w:cs="Times New Roman"/>
          <w:lang w:val="en-US"/>
        </w:rPr>
        <w:t xml:space="preserve">, </w:t>
      </w:r>
      <w:proofErr w:type="spellStart"/>
      <w:r w:rsidRPr="00613140">
        <w:rPr>
          <w:rFonts w:cs="Times New Roman"/>
          <w:lang w:val="en-US"/>
        </w:rPr>
        <w:t>torneamenti</w:t>
      </w:r>
      <w:proofErr w:type="spellEnd"/>
      <w:r w:rsidRPr="00613140">
        <w:rPr>
          <w:rFonts w:cs="Times New Roman"/>
          <w:lang w:val="en-US"/>
        </w:rPr>
        <w:t xml:space="preserve">, </w:t>
      </w:r>
      <w:proofErr w:type="spellStart"/>
      <w:r w:rsidRPr="00613140">
        <w:rPr>
          <w:rFonts w:cs="Times New Roman"/>
          <w:lang w:val="en-US"/>
        </w:rPr>
        <w:t>cacce</w:t>
      </w:r>
      <w:proofErr w:type="spellEnd"/>
      <w:r w:rsidRPr="00613140">
        <w:rPr>
          <w:rFonts w:cs="Times New Roman"/>
          <w:lang w:val="en-US"/>
        </w:rPr>
        <w:t xml:space="preserve">, </w:t>
      </w:r>
      <w:proofErr w:type="spellStart"/>
      <w:r w:rsidRPr="00613140">
        <w:rPr>
          <w:rFonts w:cs="Times New Roman"/>
          <w:lang w:val="en-US"/>
        </w:rPr>
        <w:t>feste</w:t>
      </w:r>
      <w:proofErr w:type="spellEnd"/>
      <w:r w:rsidRPr="00613140">
        <w:rPr>
          <w:rFonts w:cs="Times New Roman"/>
          <w:lang w:val="en-US"/>
        </w:rPr>
        <w:t xml:space="preserve"> et </w:t>
      </w:r>
      <w:proofErr w:type="spellStart"/>
      <w:r w:rsidRPr="00613140">
        <w:rPr>
          <w:rFonts w:cs="Times New Roman"/>
          <w:lang w:val="en-US"/>
        </w:rPr>
        <w:t>altri</w:t>
      </w:r>
      <w:proofErr w:type="spellEnd"/>
      <w:r w:rsidRPr="00613140">
        <w:rPr>
          <w:rFonts w:cs="Times New Roman"/>
          <w:lang w:val="en-US"/>
        </w:rPr>
        <w:t xml:space="preserve"> </w:t>
      </w:r>
      <w:proofErr w:type="spellStart"/>
      <w:r w:rsidRPr="00613140">
        <w:rPr>
          <w:rFonts w:cs="Times New Roman"/>
          <w:lang w:val="en-US"/>
        </w:rPr>
        <w:t>spettacoli</w:t>
      </w:r>
      <w:proofErr w:type="spellEnd"/>
      <w:r w:rsidRPr="00613140">
        <w:rPr>
          <w:rFonts w:cs="Times New Roman"/>
          <w:lang w:val="en-US"/>
        </w:rPr>
        <w:t xml:space="preserve"> </w:t>
      </w:r>
      <w:proofErr w:type="spellStart"/>
      <w:r w:rsidRPr="00613140">
        <w:rPr>
          <w:rFonts w:cs="Times New Roman"/>
          <w:lang w:val="en-US"/>
        </w:rPr>
        <w:t>fatti</w:t>
      </w:r>
      <w:proofErr w:type="spellEnd"/>
      <w:r w:rsidRPr="00613140">
        <w:rPr>
          <w:rFonts w:cs="Times New Roman"/>
          <w:lang w:val="en-US"/>
        </w:rPr>
        <w:t xml:space="preserve"> ne’ tempi </w:t>
      </w:r>
      <w:proofErr w:type="spellStart"/>
      <w:r w:rsidRPr="00613140">
        <w:rPr>
          <w:rFonts w:cs="Times New Roman"/>
          <w:lang w:val="en-US"/>
        </w:rPr>
        <w:t>suoi</w:t>
      </w:r>
      <w:proofErr w:type="spellEnd"/>
      <w:r w:rsidRPr="00613140">
        <w:rPr>
          <w:rFonts w:cs="Times New Roman"/>
          <w:lang w:val="en-US"/>
        </w:rPr>
        <w:t xml:space="preserve">, con </w:t>
      </w:r>
      <w:proofErr w:type="spellStart"/>
      <w:r w:rsidRPr="00613140">
        <w:rPr>
          <w:rFonts w:cs="Times New Roman"/>
          <w:lang w:val="en-US"/>
        </w:rPr>
        <w:t>giudizio</w:t>
      </w:r>
      <w:proofErr w:type="spellEnd"/>
      <w:r w:rsidRPr="00613140">
        <w:rPr>
          <w:rFonts w:cs="Times New Roman"/>
          <w:lang w:val="en-US"/>
        </w:rPr>
        <w:t xml:space="preserve">, con </w:t>
      </w:r>
      <w:proofErr w:type="spellStart"/>
      <w:r w:rsidRPr="00613140">
        <w:rPr>
          <w:rFonts w:cs="Times New Roman"/>
          <w:lang w:val="en-US"/>
        </w:rPr>
        <w:t>invenzione</w:t>
      </w:r>
      <w:proofErr w:type="spellEnd"/>
      <w:r w:rsidRPr="00613140">
        <w:rPr>
          <w:rFonts w:cs="Times New Roman"/>
          <w:lang w:val="en-US"/>
        </w:rPr>
        <w:t xml:space="preserve"> e con </w:t>
      </w:r>
      <w:proofErr w:type="spellStart"/>
      <w:r w:rsidRPr="00613140">
        <w:rPr>
          <w:rFonts w:cs="Times New Roman"/>
          <w:lang w:val="en-US"/>
        </w:rPr>
        <w:t>arte</w:t>
      </w:r>
      <w:proofErr w:type="spellEnd"/>
      <w:r w:rsidRPr="00613140">
        <w:rPr>
          <w:rFonts w:cs="Times New Roman"/>
          <w:lang w:val="en-US"/>
        </w:rPr>
        <w:t xml:space="preserve"> </w:t>
      </w:r>
      <w:proofErr w:type="spellStart"/>
      <w:r w:rsidRPr="00613140">
        <w:rPr>
          <w:rFonts w:cs="Times New Roman"/>
          <w:lang w:val="en-US"/>
        </w:rPr>
        <w:t>maravigliosa</w:t>
      </w:r>
      <w:proofErr w:type="spellEnd"/>
      <w:r w:rsidRPr="00613140">
        <w:rPr>
          <w:rFonts w:cs="Times New Roman"/>
          <w:lang w:val="en-US"/>
        </w:rPr>
        <w:t xml:space="preserve">. </w:t>
      </w:r>
      <w:proofErr w:type="spellStart"/>
      <w:r w:rsidRPr="00613140">
        <w:rPr>
          <w:rFonts w:cs="Times New Roman"/>
          <w:lang w:val="en-US"/>
        </w:rPr>
        <w:t>Delle</w:t>
      </w:r>
      <w:proofErr w:type="spellEnd"/>
      <w:r w:rsidRPr="00613140">
        <w:rPr>
          <w:rFonts w:cs="Times New Roman"/>
          <w:lang w:val="en-US"/>
        </w:rPr>
        <w:t xml:space="preserve"> </w:t>
      </w:r>
      <w:proofErr w:type="spellStart"/>
      <w:r w:rsidRPr="00613140">
        <w:rPr>
          <w:rFonts w:cs="Times New Roman"/>
          <w:lang w:val="en-US"/>
        </w:rPr>
        <w:t>quali</w:t>
      </w:r>
      <w:proofErr w:type="spellEnd"/>
      <w:r w:rsidRPr="00613140">
        <w:rPr>
          <w:rFonts w:cs="Times New Roman"/>
          <w:lang w:val="en-US"/>
        </w:rPr>
        <w:t xml:space="preserve"> </w:t>
      </w:r>
      <w:proofErr w:type="spellStart"/>
      <w:r w:rsidRPr="00613140">
        <w:rPr>
          <w:rFonts w:cs="Times New Roman"/>
          <w:lang w:val="en-US"/>
        </w:rPr>
        <w:t>cose</w:t>
      </w:r>
      <w:proofErr w:type="spellEnd"/>
      <w:r w:rsidRPr="00613140">
        <w:rPr>
          <w:rFonts w:cs="Times New Roman"/>
          <w:lang w:val="en-US"/>
        </w:rPr>
        <w:t xml:space="preserve"> se ne </w:t>
      </w:r>
      <w:proofErr w:type="spellStart"/>
      <w:r w:rsidRPr="00613140">
        <w:rPr>
          <w:rFonts w:cs="Times New Roman"/>
          <w:lang w:val="en-US"/>
        </w:rPr>
        <w:t>veggiono</w:t>
      </w:r>
      <w:proofErr w:type="spellEnd"/>
      <w:r w:rsidRPr="00613140">
        <w:rPr>
          <w:rFonts w:cs="Times New Roman"/>
          <w:lang w:val="en-US"/>
        </w:rPr>
        <w:t xml:space="preserve">, </w:t>
      </w:r>
      <w:proofErr w:type="spellStart"/>
      <w:r w:rsidRPr="00613140">
        <w:rPr>
          <w:rFonts w:cs="Times New Roman"/>
          <w:lang w:val="en-US"/>
        </w:rPr>
        <w:t>non solo</w:t>
      </w:r>
      <w:proofErr w:type="spellEnd"/>
      <w:r w:rsidRPr="00613140">
        <w:rPr>
          <w:rFonts w:cs="Times New Roman"/>
          <w:lang w:val="en-US"/>
        </w:rPr>
        <w:t xml:space="preserve"> </w:t>
      </w:r>
      <w:proofErr w:type="spellStart"/>
      <w:r w:rsidRPr="00613140">
        <w:rPr>
          <w:rFonts w:cs="Times New Roman"/>
          <w:lang w:val="en-US"/>
        </w:rPr>
        <w:t>nel</w:t>
      </w:r>
      <w:proofErr w:type="spellEnd"/>
      <w:r w:rsidRPr="00613140">
        <w:rPr>
          <w:rFonts w:cs="Times New Roman"/>
          <w:lang w:val="en-US"/>
        </w:rPr>
        <w:t xml:space="preserve"> palazzo e </w:t>
      </w:r>
      <w:proofErr w:type="spellStart"/>
      <w:r w:rsidRPr="00613140">
        <w:rPr>
          <w:rFonts w:cs="Times New Roman"/>
          <w:lang w:val="en-US"/>
        </w:rPr>
        <w:t>nelle</w:t>
      </w:r>
      <w:proofErr w:type="spellEnd"/>
      <w:r w:rsidRPr="00613140">
        <w:rPr>
          <w:rFonts w:cs="Times New Roman"/>
          <w:lang w:val="en-US"/>
        </w:rPr>
        <w:t xml:space="preserve"> case </w:t>
      </w:r>
      <w:proofErr w:type="spellStart"/>
      <w:r w:rsidRPr="00613140">
        <w:rPr>
          <w:rFonts w:cs="Times New Roman"/>
          <w:lang w:val="en-US"/>
        </w:rPr>
        <w:t>vecchie</w:t>
      </w:r>
      <w:proofErr w:type="spellEnd"/>
      <w:r w:rsidRPr="00613140">
        <w:rPr>
          <w:rFonts w:cs="Times New Roman"/>
          <w:lang w:val="en-US"/>
        </w:rPr>
        <w:t xml:space="preserve"> de’ Medici, ma in </w:t>
      </w:r>
      <w:proofErr w:type="spellStart"/>
      <w:r w:rsidRPr="00613140">
        <w:rPr>
          <w:rFonts w:cs="Times New Roman"/>
          <w:lang w:val="en-US"/>
        </w:rPr>
        <w:t>tutte</w:t>
      </w:r>
      <w:proofErr w:type="spellEnd"/>
      <w:r w:rsidRPr="00613140">
        <w:rPr>
          <w:rFonts w:cs="Times New Roman"/>
          <w:lang w:val="en-US"/>
        </w:rPr>
        <w:t xml:space="preserve"> le </w:t>
      </w:r>
      <w:proofErr w:type="spellStart"/>
      <w:r w:rsidRPr="00613140">
        <w:rPr>
          <w:rFonts w:cs="Times New Roman"/>
          <w:lang w:val="en-US"/>
        </w:rPr>
        <w:t>più</w:t>
      </w:r>
      <w:proofErr w:type="spellEnd"/>
      <w:r w:rsidRPr="00613140">
        <w:rPr>
          <w:rFonts w:cs="Times New Roman"/>
          <w:lang w:val="en-US"/>
        </w:rPr>
        <w:t xml:space="preserve"> </w:t>
      </w:r>
      <w:proofErr w:type="spellStart"/>
      <w:r w:rsidRPr="00613140">
        <w:rPr>
          <w:rFonts w:cs="Times New Roman"/>
          <w:lang w:val="en-US"/>
        </w:rPr>
        <w:t>nobili</w:t>
      </w:r>
      <w:proofErr w:type="spellEnd"/>
      <w:r w:rsidRPr="00613140">
        <w:rPr>
          <w:rFonts w:cs="Times New Roman"/>
          <w:lang w:val="en-US"/>
        </w:rPr>
        <w:t xml:space="preserve"> case di Firenze </w:t>
      </w:r>
      <w:proofErr w:type="spellStart"/>
      <w:r w:rsidRPr="00613140">
        <w:rPr>
          <w:rFonts w:cs="Times New Roman"/>
          <w:lang w:val="en-US"/>
        </w:rPr>
        <w:t>ancora</w:t>
      </w:r>
      <w:proofErr w:type="spellEnd"/>
      <w:r w:rsidRPr="00613140">
        <w:rPr>
          <w:rFonts w:cs="Times New Roman"/>
          <w:lang w:val="en-US"/>
        </w:rPr>
        <w:t xml:space="preserve"> </w:t>
      </w:r>
      <w:proofErr w:type="spellStart"/>
      <w:r w:rsidRPr="00613140">
        <w:rPr>
          <w:rFonts w:cs="Times New Roman"/>
          <w:lang w:val="en-US"/>
        </w:rPr>
        <w:t>alcune</w:t>
      </w:r>
      <w:proofErr w:type="spellEnd"/>
      <w:r w:rsidRPr="00613140">
        <w:rPr>
          <w:rFonts w:cs="Times New Roman"/>
          <w:lang w:val="en-US"/>
        </w:rPr>
        <w:t xml:space="preserve"> </w:t>
      </w:r>
      <w:proofErr w:type="spellStart"/>
      <w:r w:rsidRPr="00613140">
        <w:rPr>
          <w:rFonts w:cs="Times New Roman"/>
          <w:lang w:val="en-US"/>
        </w:rPr>
        <w:t>reliquie</w:t>
      </w:r>
      <w:proofErr w:type="spellEnd"/>
      <w:r w:rsidRPr="00613140">
        <w:rPr>
          <w:rFonts w:cs="Times New Roman"/>
          <w:lang w:val="en-US"/>
        </w:rPr>
        <w:t>.” Ibid., 283 (</w:t>
      </w:r>
      <w:r w:rsidRPr="00613140">
        <w:rPr>
          <w:rFonts w:cs="Times New Roman"/>
          <w:i/>
          <w:iCs/>
          <w:lang w:val="en-US"/>
        </w:rPr>
        <w:t xml:space="preserve">Vita di </w:t>
      </w:r>
      <w:proofErr w:type="spellStart"/>
      <w:r w:rsidRPr="00613140">
        <w:rPr>
          <w:rFonts w:cs="Times New Roman"/>
          <w:i/>
          <w:iCs/>
          <w:lang w:val="en-US"/>
        </w:rPr>
        <w:t>Dello</w:t>
      </w:r>
      <w:proofErr w:type="spellEnd"/>
      <w:r w:rsidRPr="00613140">
        <w:rPr>
          <w:rFonts w:cs="Times New Roman"/>
          <w:lang w:val="en-US"/>
        </w:rPr>
        <w:t>).</w:t>
      </w:r>
    </w:p>
  </w:footnote>
  <w:footnote w:id="781">
    <w:p w14:paraId="7F909B52" w14:textId="77777777" w:rsidR="00182EED" w:rsidRDefault="00182EED" w:rsidP="00310CB2">
      <w:pPr>
        <w:pStyle w:val="FootnoteText"/>
      </w:pPr>
      <w:r w:rsidRPr="00D72450">
        <w:rPr>
          <w:rStyle w:val="FootnoteReference"/>
        </w:rPr>
        <w:footnoteRef/>
      </w:r>
      <w:r>
        <w:t xml:space="preserve"> </w:t>
      </w:r>
      <w:r w:rsidRPr="00613140">
        <w:rPr>
          <w:rFonts w:cs="Times New Roman"/>
          <w:lang w:val="en-US"/>
        </w:rPr>
        <w:t>Ibid. (</w:t>
      </w:r>
      <w:r w:rsidRPr="00613140">
        <w:rPr>
          <w:rFonts w:cs="Times New Roman"/>
          <w:i/>
          <w:iCs/>
          <w:lang w:val="en-US"/>
        </w:rPr>
        <w:t xml:space="preserve">Vita di </w:t>
      </w:r>
      <w:proofErr w:type="spellStart"/>
      <w:r w:rsidRPr="00613140">
        <w:rPr>
          <w:rFonts w:cs="Times New Roman"/>
          <w:i/>
          <w:iCs/>
          <w:lang w:val="en-US"/>
        </w:rPr>
        <w:t>Dello</w:t>
      </w:r>
      <w:proofErr w:type="spellEnd"/>
      <w:r w:rsidRPr="00613140">
        <w:rPr>
          <w:rFonts w:cs="Times New Roman"/>
          <w:lang w:val="en-US"/>
        </w:rPr>
        <w:t>).</w:t>
      </w:r>
    </w:p>
  </w:footnote>
  <w:footnote w:id="782">
    <w:p w14:paraId="69A382BC" w14:textId="77777777" w:rsidR="00182EED" w:rsidRDefault="00182EED" w:rsidP="00310CB2">
      <w:pPr>
        <w:pStyle w:val="FootnoteText"/>
      </w:pPr>
      <w:r w:rsidRPr="00D72450">
        <w:rPr>
          <w:rStyle w:val="FootnoteReference"/>
        </w:rPr>
        <w:footnoteRef/>
      </w:r>
      <w:r>
        <w:t xml:space="preserve"> </w:t>
      </w:r>
      <w:proofErr w:type="spellStart"/>
      <w:r w:rsidRPr="00613140">
        <w:rPr>
          <w:rFonts w:cs="Times New Roman"/>
          <w:lang w:val="en-US"/>
        </w:rPr>
        <w:t>Lindow</w:t>
      </w:r>
      <w:proofErr w:type="spellEnd"/>
      <w:r w:rsidRPr="00613140">
        <w:rPr>
          <w:rFonts w:cs="Times New Roman"/>
          <w:lang w:val="en-US"/>
        </w:rPr>
        <w:t>, “For Use and Display,” 640–41. The use of cassoni for transportation during this procession was abandoned around mid-</w:t>
      </w:r>
      <w:proofErr w:type="spellStart"/>
      <w:r w:rsidRPr="00613140">
        <w:rPr>
          <w:rFonts w:cs="Times New Roman"/>
          <w:lang w:val="en-US"/>
        </w:rPr>
        <w:t>fifftenth</w:t>
      </w:r>
      <w:proofErr w:type="spellEnd"/>
      <w:r w:rsidRPr="00613140">
        <w:rPr>
          <w:rFonts w:cs="Times New Roman"/>
          <w:lang w:val="en-US"/>
        </w:rPr>
        <w:t xml:space="preserve"> century, when baskets began to be used for this purpose; see Christiane </w:t>
      </w:r>
      <w:proofErr w:type="spellStart"/>
      <w:r w:rsidRPr="00613140">
        <w:rPr>
          <w:rFonts w:cs="Times New Roman"/>
          <w:lang w:val="en-US"/>
        </w:rPr>
        <w:t>Klapisch</w:t>
      </w:r>
      <w:proofErr w:type="spellEnd"/>
      <w:r w:rsidRPr="00613140">
        <w:rPr>
          <w:rFonts w:cs="Times New Roman"/>
          <w:lang w:val="en-US"/>
        </w:rPr>
        <w:t xml:space="preserve">-Zuber, “Le </w:t>
      </w:r>
      <w:proofErr w:type="spellStart"/>
      <w:r w:rsidRPr="00613140">
        <w:rPr>
          <w:rFonts w:cs="Times New Roman"/>
          <w:i/>
          <w:iCs/>
          <w:lang w:val="en-US"/>
        </w:rPr>
        <w:t>zane</w:t>
      </w:r>
      <w:proofErr w:type="spellEnd"/>
      <w:r w:rsidRPr="00613140">
        <w:rPr>
          <w:rFonts w:cs="Times New Roman"/>
          <w:lang w:val="en-US"/>
        </w:rPr>
        <w:t xml:space="preserve"> </w:t>
      </w:r>
      <w:proofErr w:type="spellStart"/>
      <w:r w:rsidRPr="00613140">
        <w:rPr>
          <w:rFonts w:cs="Times New Roman"/>
          <w:lang w:val="en-US"/>
        </w:rPr>
        <w:t>della</w:t>
      </w:r>
      <w:proofErr w:type="spellEnd"/>
      <w:r w:rsidRPr="00613140">
        <w:rPr>
          <w:rFonts w:cs="Times New Roman"/>
          <w:lang w:val="en-US"/>
        </w:rPr>
        <w:t xml:space="preserve"> </w:t>
      </w:r>
      <w:proofErr w:type="spellStart"/>
      <w:r w:rsidRPr="00613140">
        <w:rPr>
          <w:rFonts w:cs="Times New Roman"/>
          <w:lang w:val="en-US"/>
        </w:rPr>
        <w:t>sposa</w:t>
      </w:r>
      <w:proofErr w:type="spellEnd"/>
      <w:r w:rsidRPr="00613140">
        <w:rPr>
          <w:rFonts w:cs="Times New Roman"/>
          <w:lang w:val="en-US"/>
        </w:rPr>
        <w:t xml:space="preserve">. La </w:t>
      </w:r>
      <w:proofErr w:type="spellStart"/>
      <w:r w:rsidRPr="00613140">
        <w:rPr>
          <w:rFonts w:cs="Times New Roman"/>
          <w:lang w:val="en-US"/>
        </w:rPr>
        <w:t>fiorentina</w:t>
      </w:r>
      <w:proofErr w:type="spellEnd"/>
      <w:r w:rsidRPr="00613140">
        <w:rPr>
          <w:rFonts w:cs="Times New Roman"/>
          <w:lang w:val="en-US"/>
        </w:rPr>
        <w:t xml:space="preserve"> e </w:t>
      </w:r>
      <w:proofErr w:type="spellStart"/>
      <w:r w:rsidRPr="00613140">
        <w:rPr>
          <w:rFonts w:cs="Times New Roman"/>
          <w:lang w:val="en-US"/>
        </w:rPr>
        <w:t>il</w:t>
      </w:r>
      <w:proofErr w:type="spellEnd"/>
      <w:r w:rsidRPr="00613140">
        <w:rPr>
          <w:rFonts w:cs="Times New Roman"/>
          <w:lang w:val="en-US"/>
        </w:rPr>
        <w:t xml:space="preserve"> </w:t>
      </w:r>
      <w:proofErr w:type="spellStart"/>
      <w:r w:rsidRPr="00613140">
        <w:rPr>
          <w:rFonts w:cs="Times New Roman"/>
          <w:lang w:val="en-US"/>
        </w:rPr>
        <w:t>suo</w:t>
      </w:r>
      <w:proofErr w:type="spellEnd"/>
      <w:r w:rsidRPr="00613140">
        <w:rPr>
          <w:rFonts w:cs="Times New Roman"/>
          <w:lang w:val="en-US"/>
        </w:rPr>
        <w:t xml:space="preserve"> </w:t>
      </w:r>
      <w:proofErr w:type="spellStart"/>
      <w:r w:rsidRPr="00613140">
        <w:rPr>
          <w:rFonts w:cs="Times New Roman"/>
          <w:lang w:val="en-US"/>
        </w:rPr>
        <w:t>corredo</w:t>
      </w:r>
      <w:proofErr w:type="spellEnd"/>
      <w:r w:rsidRPr="00613140">
        <w:rPr>
          <w:rFonts w:cs="Times New Roman"/>
          <w:lang w:val="en-US"/>
        </w:rPr>
        <w:t xml:space="preserve"> </w:t>
      </w:r>
      <w:proofErr w:type="spellStart"/>
      <w:r w:rsidRPr="00613140">
        <w:rPr>
          <w:rFonts w:cs="Times New Roman"/>
          <w:lang w:val="en-US"/>
        </w:rPr>
        <w:t>nel</w:t>
      </w:r>
      <w:proofErr w:type="spellEnd"/>
      <w:r w:rsidRPr="00613140">
        <w:rPr>
          <w:rFonts w:cs="Times New Roman"/>
          <w:lang w:val="en-US"/>
        </w:rPr>
        <w:t xml:space="preserve"> </w:t>
      </w:r>
      <w:proofErr w:type="spellStart"/>
      <w:r w:rsidRPr="00613140">
        <w:rPr>
          <w:rFonts w:cs="Times New Roman"/>
          <w:lang w:val="en-US"/>
        </w:rPr>
        <w:t>Rinascimento</w:t>
      </w:r>
      <w:proofErr w:type="spellEnd"/>
      <w:r w:rsidRPr="00613140">
        <w:rPr>
          <w:rFonts w:cs="Times New Roman"/>
          <w:lang w:val="en-US"/>
        </w:rPr>
        <w:t xml:space="preserve">.,” </w:t>
      </w:r>
      <w:r w:rsidRPr="00613140">
        <w:rPr>
          <w:rFonts w:cs="Times New Roman"/>
          <w:i/>
          <w:iCs/>
          <w:lang w:val="en-US"/>
        </w:rPr>
        <w:t>Memoria</w:t>
      </w:r>
      <w:r w:rsidRPr="00613140">
        <w:rPr>
          <w:rFonts w:cs="Times New Roman"/>
          <w:lang w:val="en-US"/>
        </w:rPr>
        <w:t xml:space="preserve"> 11–12 (1984): 12–23.</w:t>
      </w:r>
    </w:p>
  </w:footnote>
  <w:footnote w:id="783">
    <w:p w14:paraId="40DB6081" w14:textId="77777777" w:rsidR="00182EED" w:rsidRDefault="00182EED" w:rsidP="00310CB2">
      <w:pPr>
        <w:pStyle w:val="FootnoteText"/>
      </w:pPr>
      <w:r w:rsidRPr="00D72450">
        <w:rPr>
          <w:rStyle w:val="FootnoteReference"/>
        </w:rPr>
        <w:footnoteRef/>
      </w:r>
      <w:r>
        <w:t xml:space="preserve"> </w:t>
      </w:r>
      <w:r w:rsidRPr="00CD0A87">
        <w:rPr>
          <w:rFonts w:cs="Times New Roman"/>
          <w:lang w:val="en-US"/>
        </w:rPr>
        <w:t xml:space="preserve">“Est </w:t>
      </w:r>
      <w:proofErr w:type="spellStart"/>
      <w:r w:rsidRPr="00CD0A87">
        <w:rPr>
          <w:rFonts w:cs="Times New Roman"/>
          <w:lang w:val="en-US"/>
        </w:rPr>
        <w:t>igitur</w:t>
      </w:r>
      <w:proofErr w:type="spellEnd"/>
      <w:r w:rsidRPr="00CD0A87">
        <w:rPr>
          <w:rFonts w:cs="Times New Roman"/>
          <w:lang w:val="en-US"/>
        </w:rPr>
        <w:t xml:space="preserve"> </w:t>
      </w:r>
      <w:proofErr w:type="spellStart"/>
      <w:r w:rsidRPr="00CD0A87">
        <w:rPr>
          <w:rFonts w:cs="Times New Roman"/>
          <w:lang w:val="en-US"/>
        </w:rPr>
        <w:t>splendidi</w:t>
      </w:r>
      <w:proofErr w:type="spellEnd"/>
      <w:r w:rsidRPr="00CD0A87">
        <w:rPr>
          <w:rFonts w:cs="Times New Roman"/>
          <w:lang w:val="en-US"/>
        </w:rPr>
        <w:t xml:space="preserve"> hominis non </w:t>
      </w:r>
      <w:proofErr w:type="spellStart"/>
      <w:r w:rsidRPr="00CD0A87">
        <w:rPr>
          <w:rFonts w:cs="Times New Roman"/>
          <w:lang w:val="en-US"/>
        </w:rPr>
        <w:t>solum</w:t>
      </w:r>
      <w:proofErr w:type="spellEnd"/>
      <w:r w:rsidRPr="00CD0A87">
        <w:rPr>
          <w:rFonts w:cs="Times New Roman"/>
          <w:lang w:val="en-US"/>
        </w:rPr>
        <w:t xml:space="preserve"> curare </w:t>
      </w:r>
      <w:proofErr w:type="spellStart"/>
      <w:r w:rsidRPr="00CD0A87">
        <w:rPr>
          <w:rFonts w:cs="Times New Roman"/>
          <w:lang w:val="en-US"/>
        </w:rPr>
        <w:t>ut</w:t>
      </w:r>
      <w:proofErr w:type="spellEnd"/>
      <w:r w:rsidRPr="00CD0A87">
        <w:rPr>
          <w:rFonts w:cs="Times New Roman"/>
          <w:lang w:val="en-US"/>
        </w:rPr>
        <w:t xml:space="preserve"> </w:t>
      </w:r>
      <w:proofErr w:type="spellStart"/>
      <w:r w:rsidRPr="00CD0A87">
        <w:rPr>
          <w:rFonts w:cs="Times New Roman"/>
          <w:lang w:val="en-US"/>
        </w:rPr>
        <w:t>dignam</w:t>
      </w:r>
      <w:proofErr w:type="spellEnd"/>
      <w:r w:rsidRPr="00CD0A87">
        <w:rPr>
          <w:rFonts w:cs="Times New Roman"/>
          <w:lang w:val="en-US"/>
        </w:rPr>
        <w:t xml:space="preserve"> </w:t>
      </w:r>
      <w:proofErr w:type="spellStart"/>
      <w:r w:rsidRPr="00CD0A87">
        <w:rPr>
          <w:rFonts w:cs="Times New Roman"/>
          <w:lang w:val="en-US"/>
        </w:rPr>
        <w:t>atque</w:t>
      </w:r>
      <w:proofErr w:type="spellEnd"/>
      <w:r w:rsidRPr="00CD0A87">
        <w:rPr>
          <w:rFonts w:cs="Times New Roman"/>
          <w:lang w:val="en-US"/>
        </w:rPr>
        <w:t xml:space="preserve"> </w:t>
      </w:r>
      <w:proofErr w:type="spellStart"/>
      <w:r w:rsidRPr="00CD0A87">
        <w:rPr>
          <w:rFonts w:cs="Times New Roman"/>
          <w:lang w:val="en-US"/>
        </w:rPr>
        <w:t>elegantem</w:t>
      </w:r>
      <w:proofErr w:type="spellEnd"/>
      <w:r w:rsidRPr="00CD0A87">
        <w:rPr>
          <w:rFonts w:cs="Times New Roman"/>
          <w:lang w:val="en-US"/>
        </w:rPr>
        <w:t xml:space="preserve"> </w:t>
      </w:r>
      <w:proofErr w:type="spellStart"/>
      <w:r w:rsidRPr="00CD0A87">
        <w:rPr>
          <w:rFonts w:cs="Times New Roman"/>
          <w:lang w:val="en-US"/>
        </w:rPr>
        <w:t>supelectilem</w:t>
      </w:r>
      <w:proofErr w:type="spellEnd"/>
      <w:r w:rsidRPr="00CD0A87">
        <w:rPr>
          <w:rFonts w:cs="Times New Roman"/>
          <w:lang w:val="en-US"/>
        </w:rPr>
        <w:t xml:space="preserve"> </w:t>
      </w:r>
      <w:proofErr w:type="spellStart"/>
      <w:r w:rsidRPr="00CD0A87">
        <w:rPr>
          <w:rFonts w:cs="Times New Roman"/>
          <w:lang w:val="en-US"/>
        </w:rPr>
        <w:t>habeat</w:t>
      </w:r>
      <w:proofErr w:type="spellEnd"/>
      <w:r w:rsidRPr="00CD0A87">
        <w:rPr>
          <w:rFonts w:cs="Times New Roman"/>
          <w:lang w:val="en-US"/>
        </w:rPr>
        <w:t xml:space="preserve"> </w:t>
      </w:r>
      <w:proofErr w:type="spellStart"/>
      <w:r w:rsidRPr="00CD0A87">
        <w:rPr>
          <w:rFonts w:cs="Times New Roman"/>
          <w:lang w:val="en-US"/>
        </w:rPr>
        <w:t>domesticisque</w:t>
      </w:r>
      <w:proofErr w:type="spellEnd"/>
      <w:r w:rsidRPr="00CD0A87">
        <w:rPr>
          <w:rFonts w:cs="Times New Roman"/>
          <w:lang w:val="en-US"/>
        </w:rPr>
        <w:t xml:space="preserve"> </w:t>
      </w:r>
      <w:proofErr w:type="spellStart"/>
      <w:r w:rsidRPr="00CD0A87">
        <w:rPr>
          <w:rFonts w:cs="Times New Roman"/>
          <w:lang w:val="en-US"/>
        </w:rPr>
        <w:t>ornamentis</w:t>
      </w:r>
      <w:proofErr w:type="spellEnd"/>
      <w:r w:rsidRPr="00CD0A87">
        <w:rPr>
          <w:rFonts w:cs="Times New Roman"/>
          <w:lang w:val="en-US"/>
        </w:rPr>
        <w:t xml:space="preserve"> </w:t>
      </w:r>
      <w:proofErr w:type="spellStart"/>
      <w:r w:rsidRPr="00CD0A87">
        <w:rPr>
          <w:rFonts w:cs="Times New Roman"/>
          <w:lang w:val="en-US"/>
        </w:rPr>
        <w:t>abundet</w:t>
      </w:r>
      <w:proofErr w:type="spellEnd"/>
      <w:r w:rsidRPr="00CD0A87">
        <w:rPr>
          <w:rFonts w:cs="Times New Roman"/>
          <w:lang w:val="en-US"/>
        </w:rPr>
        <w:t xml:space="preserve">, sed, quod </w:t>
      </w:r>
      <w:proofErr w:type="spellStart"/>
      <w:r w:rsidRPr="00CD0A87">
        <w:rPr>
          <w:rFonts w:cs="Times New Roman"/>
          <w:lang w:val="en-US"/>
        </w:rPr>
        <w:t>turpe</w:t>
      </w:r>
      <w:proofErr w:type="spellEnd"/>
      <w:r w:rsidRPr="00CD0A87">
        <w:rPr>
          <w:rFonts w:cs="Times New Roman"/>
          <w:lang w:val="en-US"/>
        </w:rPr>
        <w:t xml:space="preserve"> sit </w:t>
      </w:r>
      <w:proofErr w:type="spellStart"/>
      <w:r w:rsidRPr="00CD0A87">
        <w:rPr>
          <w:rFonts w:cs="Times New Roman"/>
          <w:lang w:val="en-US"/>
        </w:rPr>
        <w:t>imparatum</w:t>
      </w:r>
      <w:proofErr w:type="spellEnd"/>
      <w:r w:rsidRPr="00CD0A87">
        <w:rPr>
          <w:rFonts w:cs="Times New Roman"/>
          <w:lang w:val="en-US"/>
        </w:rPr>
        <w:t xml:space="preserve"> </w:t>
      </w:r>
      <w:proofErr w:type="spellStart"/>
      <w:r w:rsidRPr="00CD0A87">
        <w:rPr>
          <w:rFonts w:cs="Times New Roman"/>
          <w:lang w:val="en-US"/>
        </w:rPr>
        <w:t>offendi</w:t>
      </w:r>
      <w:proofErr w:type="spellEnd"/>
      <w:r w:rsidRPr="00CD0A87">
        <w:rPr>
          <w:rFonts w:cs="Times New Roman"/>
          <w:lang w:val="en-US"/>
        </w:rPr>
        <w:t xml:space="preserve">, </w:t>
      </w:r>
      <w:proofErr w:type="spellStart"/>
      <w:r w:rsidRPr="00CD0A87">
        <w:rPr>
          <w:rFonts w:cs="Times New Roman"/>
          <w:lang w:val="en-US"/>
        </w:rPr>
        <w:t>sive</w:t>
      </w:r>
      <w:proofErr w:type="spellEnd"/>
      <w:r w:rsidRPr="00CD0A87">
        <w:rPr>
          <w:rFonts w:cs="Times New Roman"/>
          <w:lang w:val="en-US"/>
        </w:rPr>
        <w:t xml:space="preserve"> ad private, </w:t>
      </w:r>
      <w:proofErr w:type="spellStart"/>
      <w:r w:rsidRPr="00CD0A87">
        <w:rPr>
          <w:rFonts w:cs="Times New Roman"/>
          <w:lang w:val="en-US"/>
        </w:rPr>
        <w:t>sive</w:t>
      </w:r>
      <w:proofErr w:type="spellEnd"/>
      <w:r w:rsidRPr="00CD0A87">
        <w:rPr>
          <w:rFonts w:cs="Times New Roman"/>
          <w:lang w:val="en-US"/>
        </w:rPr>
        <w:t xml:space="preserve"> ad publica </w:t>
      </w:r>
      <w:proofErr w:type="spellStart"/>
      <w:r w:rsidRPr="00CD0A87">
        <w:rPr>
          <w:rFonts w:cs="Times New Roman"/>
          <w:lang w:val="en-US"/>
        </w:rPr>
        <w:t>munera</w:t>
      </w:r>
      <w:proofErr w:type="spellEnd"/>
      <w:r w:rsidRPr="00CD0A87">
        <w:rPr>
          <w:rFonts w:cs="Times New Roman"/>
          <w:lang w:val="en-US"/>
        </w:rPr>
        <w:t xml:space="preserve">, </w:t>
      </w:r>
      <w:proofErr w:type="spellStart"/>
      <w:r w:rsidRPr="00CD0A87">
        <w:rPr>
          <w:rFonts w:cs="Times New Roman"/>
          <w:lang w:val="en-US"/>
        </w:rPr>
        <w:t>habebit</w:t>
      </w:r>
      <w:proofErr w:type="spellEnd"/>
      <w:r w:rsidRPr="00CD0A87">
        <w:rPr>
          <w:rFonts w:cs="Times New Roman"/>
          <w:lang w:val="en-US"/>
        </w:rPr>
        <w:t xml:space="preserve"> </w:t>
      </w:r>
      <w:proofErr w:type="spellStart"/>
      <w:r w:rsidRPr="00CD0A87">
        <w:rPr>
          <w:rFonts w:cs="Times New Roman"/>
          <w:lang w:val="en-US"/>
        </w:rPr>
        <w:t>quidem</w:t>
      </w:r>
      <w:proofErr w:type="spellEnd"/>
      <w:r w:rsidRPr="00CD0A87">
        <w:rPr>
          <w:rFonts w:cs="Times New Roman"/>
          <w:lang w:val="en-US"/>
        </w:rPr>
        <w:t xml:space="preserve"> </w:t>
      </w:r>
      <w:proofErr w:type="spellStart"/>
      <w:r w:rsidRPr="00CD0A87">
        <w:rPr>
          <w:rFonts w:cs="Times New Roman"/>
          <w:lang w:val="en-US"/>
        </w:rPr>
        <w:t>domi</w:t>
      </w:r>
      <w:proofErr w:type="spellEnd"/>
      <w:r w:rsidRPr="00CD0A87">
        <w:rPr>
          <w:rFonts w:cs="Times New Roman"/>
          <w:lang w:val="en-US"/>
        </w:rPr>
        <w:t xml:space="preserve"> </w:t>
      </w:r>
      <w:proofErr w:type="spellStart"/>
      <w:r w:rsidRPr="00CD0A87">
        <w:rPr>
          <w:rFonts w:cs="Times New Roman"/>
          <w:lang w:val="en-US"/>
        </w:rPr>
        <w:t>apparatum</w:t>
      </w:r>
      <w:proofErr w:type="spellEnd"/>
      <w:r w:rsidRPr="00CD0A87">
        <w:rPr>
          <w:rFonts w:cs="Times New Roman"/>
          <w:lang w:val="en-US"/>
        </w:rPr>
        <w:t xml:space="preserve"> rerum </w:t>
      </w:r>
      <w:proofErr w:type="spellStart"/>
      <w:r w:rsidRPr="00CD0A87">
        <w:rPr>
          <w:rFonts w:cs="Times New Roman"/>
          <w:lang w:val="en-US"/>
        </w:rPr>
        <w:t>plurimarum</w:t>
      </w:r>
      <w:proofErr w:type="spellEnd"/>
      <w:r w:rsidRPr="00CD0A87">
        <w:rPr>
          <w:rFonts w:cs="Times New Roman"/>
          <w:lang w:val="en-US"/>
        </w:rPr>
        <w:t xml:space="preserve">, </w:t>
      </w:r>
      <w:proofErr w:type="spellStart"/>
      <w:r w:rsidRPr="00CD0A87">
        <w:rPr>
          <w:rFonts w:cs="Times New Roman"/>
          <w:lang w:val="en-US"/>
        </w:rPr>
        <w:t>quae</w:t>
      </w:r>
      <w:proofErr w:type="spellEnd"/>
      <w:r w:rsidRPr="00CD0A87">
        <w:rPr>
          <w:rFonts w:cs="Times New Roman"/>
          <w:lang w:val="en-US"/>
        </w:rPr>
        <w:t xml:space="preserve"> </w:t>
      </w:r>
      <w:proofErr w:type="spellStart"/>
      <w:r w:rsidRPr="00CD0A87">
        <w:rPr>
          <w:rFonts w:cs="Times New Roman"/>
          <w:lang w:val="en-US"/>
        </w:rPr>
        <w:t>ipsius</w:t>
      </w:r>
      <w:proofErr w:type="spellEnd"/>
      <w:r w:rsidRPr="00CD0A87">
        <w:rPr>
          <w:rFonts w:cs="Times New Roman"/>
          <w:lang w:val="en-US"/>
        </w:rPr>
        <w:t xml:space="preserve"> </w:t>
      </w:r>
      <w:proofErr w:type="spellStart"/>
      <w:r w:rsidRPr="00CD0A87">
        <w:rPr>
          <w:rFonts w:cs="Times New Roman"/>
          <w:lang w:val="en-US"/>
        </w:rPr>
        <w:t>luculentiam</w:t>
      </w:r>
      <w:proofErr w:type="spellEnd"/>
      <w:r w:rsidRPr="00CD0A87">
        <w:rPr>
          <w:rFonts w:cs="Times New Roman"/>
          <w:lang w:val="en-US"/>
        </w:rPr>
        <w:t xml:space="preserve"> </w:t>
      </w:r>
      <w:proofErr w:type="spellStart"/>
      <w:r w:rsidRPr="00CD0A87">
        <w:rPr>
          <w:rFonts w:cs="Times New Roman"/>
          <w:lang w:val="en-US"/>
        </w:rPr>
        <w:t>declanrent</w:t>
      </w:r>
      <w:proofErr w:type="spellEnd"/>
      <w:r w:rsidRPr="00CD0A87">
        <w:rPr>
          <w:rFonts w:cs="Times New Roman"/>
          <w:lang w:val="en-US"/>
        </w:rPr>
        <w:t xml:space="preserve">, </w:t>
      </w:r>
      <w:proofErr w:type="spellStart"/>
      <w:r w:rsidRPr="00CD0A87">
        <w:rPr>
          <w:rFonts w:cs="Times New Roman"/>
          <w:lang w:val="en-US"/>
        </w:rPr>
        <w:t>ut</w:t>
      </w:r>
      <w:proofErr w:type="spellEnd"/>
      <w:r w:rsidRPr="00CD0A87">
        <w:rPr>
          <w:rFonts w:cs="Times New Roman"/>
          <w:lang w:val="en-US"/>
        </w:rPr>
        <w:t xml:space="preserve">, </w:t>
      </w:r>
      <w:proofErr w:type="spellStart"/>
      <w:r w:rsidRPr="00CD0A87">
        <w:rPr>
          <w:rFonts w:cs="Times New Roman"/>
          <w:lang w:val="en-US"/>
        </w:rPr>
        <w:t>si</w:t>
      </w:r>
      <w:proofErr w:type="spellEnd"/>
      <w:r w:rsidRPr="00CD0A87">
        <w:rPr>
          <w:rFonts w:cs="Times New Roman"/>
          <w:lang w:val="en-US"/>
        </w:rPr>
        <w:t xml:space="preserve"> </w:t>
      </w:r>
      <w:proofErr w:type="spellStart"/>
      <w:r w:rsidRPr="00CD0A87">
        <w:rPr>
          <w:rFonts w:cs="Times New Roman"/>
          <w:lang w:val="en-US"/>
        </w:rPr>
        <w:t>hospes</w:t>
      </w:r>
      <w:proofErr w:type="spellEnd"/>
      <w:r w:rsidRPr="00CD0A87">
        <w:rPr>
          <w:rFonts w:cs="Times New Roman"/>
          <w:lang w:val="en-US"/>
        </w:rPr>
        <w:t xml:space="preserve">, </w:t>
      </w:r>
      <w:proofErr w:type="spellStart"/>
      <w:r w:rsidRPr="00CD0A87">
        <w:rPr>
          <w:rFonts w:cs="Times New Roman"/>
          <w:lang w:val="en-US"/>
        </w:rPr>
        <w:t>advenerit</w:t>
      </w:r>
      <w:proofErr w:type="spellEnd"/>
      <w:r w:rsidRPr="00CD0A87">
        <w:rPr>
          <w:rFonts w:cs="Times New Roman"/>
          <w:lang w:val="en-US"/>
        </w:rPr>
        <w:t xml:space="preserve">, </w:t>
      </w:r>
      <w:proofErr w:type="spellStart"/>
      <w:r w:rsidRPr="00CD0A87">
        <w:rPr>
          <w:rFonts w:cs="Times New Roman"/>
          <w:lang w:val="en-US"/>
        </w:rPr>
        <w:t>praesto</w:t>
      </w:r>
      <w:proofErr w:type="spellEnd"/>
      <w:r w:rsidRPr="00CD0A87">
        <w:rPr>
          <w:rFonts w:cs="Times New Roman"/>
          <w:lang w:val="en-US"/>
        </w:rPr>
        <w:t xml:space="preserve"> </w:t>
      </w:r>
      <w:proofErr w:type="spellStart"/>
      <w:r w:rsidRPr="00CD0A87">
        <w:rPr>
          <w:rFonts w:cs="Times New Roman"/>
          <w:lang w:val="en-US"/>
        </w:rPr>
        <w:t>sint</w:t>
      </w:r>
      <w:proofErr w:type="spellEnd"/>
      <w:r w:rsidRPr="00CD0A87">
        <w:rPr>
          <w:rFonts w:cs="Times New Roman"/>
          <w:lang w:val="en-US"/>
        </w:rPr>
        <w:t xml:space="preserve"> </w:t>
      </w:r>
      <w:proofErr w:type="spellStart"/>
      <w:r w:rsidRPr="00CD0A87">
        <w:rPr>
          <w:rFonts w:cs="Times New Roman"/>
          <w:lang w:val="en-US"/>
        </w:rPr>
        <w:t>ea</w:t>
      </w:r>
      <w:proofErr w:type="spellEnd"/>
      <w:r w:rsidRPr="00CD0A87">
        <w:rPr>
          <w:rFonts w:cs="Times New Roman"/>
          <w:lang w:val="en-US"/>
        </w:rPr>
        <w:t xml:space="preserve">, </w:t>
      </w:r>
      <w:proofErr w:type="spellStart"/>
      <w:r w:rsidRPr="00CD0A87">
        <w:rPr>
          <w:rFonts w:cs="Times New Roman"/>
          <w:lang w:val="en-US"/>
        </w:rPr>
        <w:t>quibus</w:t>
      </w:r>
      <w:proofErr w:type="spellEnd"/>
      <w:r w:rsidRPr="00CD0A87">
        <w:rPr>
          <w:rFonts w:cs="Times New Roman"/>
          <w:lang w:val="en-US"/>
        </w:rPr>
        <w:t xml:space="preserve"> opus </w:t>
      </w:r>
      <w:proofErr w:type="spellStart"/>
      <w:r w:rsidRPr="00CD0A87">
        <w:rPr>
          <w:rFonts w:cs="Times New Roman"/>
          <w:lang w:val="en-US"/>
        </w:rPr>
        <w:t>fuerit</w:t>
      </w:r>
      <w:proofErr w:type="spellEnd"/>
      <w:r w:rsidRPr="00CD0A87">
        <w:rPr>
          <w:rFonts w:cs="Times New Roman"/>
          <w:lang w:val="en-US"/>
        </w:rPr>
        <w:t xml:space="preserve"> ad </w:t>
      </w:r>
      <w:proofErr w:type="spellStart"/>
      <w:r w:rsidRPr="00CD0A87">
        <w:rPr>
          <w:rFonts w:cs="Times New Roman"/>
          <w:lang w:val="en-US"/>
        </w:rPr>
        <w:t>illum</w:t>
      </w:r>
      <w:proofErr w:type="spellEnd"/>
      <w:r w:rsidRPr="00CD0A87">
        <w:rPr>
          <w:rFonts w:cs="Times New Roman"/>
          <w:lang w:val="en-US"/>
        </w:rPr>
        <w:t xml:space="preserve"> non </w:t>
      </w:r>
      <w:proofErr w:type="spellStart"/>
      <w:r w:rsidRPr="00CD0A87">
        <w:rPr>
          <w:rFonts w:cs="Times New Roman"/>
          <w:lang w:val="en-US"/>
        </w:rPr>
        <w:t>comiter</w:t>
      </w:r>
      <w:proofErr w:type="spellEnd"/>
      <w:r w:rsidRPr="00CD0A87">
        <w:rPr>
          <w:rFonts w:cs="Times New Roman"/>
          <w:lang w:val="en-US"/>
        </w:rPr>
        <w:t xml:space="preserve"> tantum, </w:t>
      </w:r>
      <w:proofErr w:type="spellStart"/>
      <w:r w:rsidRPr="00CD0A87">
        <w:rPr>
          <w:rFonts w:cs="Times New Roman"/>
          <w:lang w:val="en-US"/>
        </w:rPr>
        <w:t>verum</w:t>
      </w:r>
      <w:proofErr w:type="spellEnd"/>
      <w:r w:rsidRPr="00CD0A87">
        <w:rPr>
          <w:rFonts w:cs="Times New Roman"/>
          <w:lang w:val="en-US"/>
        </w:rPr>
        <w:t xml:space="preserve"> </w:t>
      </w:r>
      <w:proofErr w:type="spellStart"/>
      <w:r w:rsidRPr="00CD0A87">
        <w:rPr>
          <w:rFonts w:cs="Times New Roman"/>
          <w:lang w:val="en-US"/>
        </w:rPr>
        <w:t>etiam</w:t>
      </w:r>
      <w:proofErr w:type="spellEnd"/>
      <w:r w:rsidRPr="00CD0A87">
        <w:rPr>
          <w:rFonts w:cs="Times New Roman"/>
          <w:lang w:val="en-US"/>
        </w:rPr>
        <w:t xml:space="preserve"> </w:t>
      </w:r>
      <w:proofErr w:type="spellStart"/>
      <w:r w:rsidRPr="00CD0A87">
        <w:rPr>
          <w:rFonts w:cs="Times New Roman"/>
          <w:lang w:val="en-US"/>
        </w:rPr>
        <w:t>magnifice</w:t>
      </w:r>
      <w:proofErr w:type="spellEnd"/>
      <w:r w:rsidRPr="00CD0A87">
        <w:rPr>
          <w:rFonts w:cs="Times New Roman"/>
          <w:lang w:val="en-US"/>
        </w:rPr>
        <w:t xml:space="preserve"> </w:t>
      </w:r>
      <w:proofErr w:type="spellStart"/>
      <w:r w:rsidRPr="00CD0A87">
        <w:rPr>
          <w:rFonts w:cs="Times New Roman"/>
          <w:lang w:val="en-US"/>
        </w:rPr>
        <w:t>accipiendum</w:t>
      </w:r>
      <w:proofErr w:type="spellEnd"/>
      <w:r w:rsidRPr="00CD0A87">
        <w:rPr>
          <w:rFonts w:cs="Times New Roman"/>
          <w:lang w:val="en-US"/>
        </w:rPr>
        <w:t xml:space="preserve">.” English translation from </w:t>
      </w:r>
      <w:proofErr w:type="spellStart"/>
      <w:r w:rsidRPr="00CD0A87">
        <w:rPr>
          <w:rFonts w:cs="Times New Roman"/>
          <w:lang w:val="en-US"/>
        </w:rPr>
        <w:t>Lindow</w:t>
      </w:r>
      <w:proofErr w:type="spellEnd"/>
      <w:r w:rsidRPr="00CD0A87">
        <w:rPr>
          <w:rFonts w:cs="Times New Roman"/>
          <w:lang w:val="en-US"/>
        </w:rPr>
        <w:t xml:space="preserve">, </w:t>
      </w:r>
      <w:r w:rsidRPr="00CD0A87">
        <w:rPr>
          <w:rFonts w:cs="Times New Roman"/>
          <w:i/>
          <w:iCs/>
          <w:lang w:val="en-US"/>
        </w:rPr>
        <w:t>The Renaissance Palace in Florence</w:t>
      </w:r>
      <w:r w:rsidRPr="00CD0A87">
        <w:rPr>
          <w:rFonts w:cs="Times New Roman"/>
          <w:lang w:val="en-US"/>
        </w:rPr>
        <w:t xml:space="preserve">, 2199, original Latin at n.72; see also E Welch, “Public Magnificence and Private Display: Giovanni </w:t>
      </w:r>
      <w:proofErr w:type="spellStart"/>
      <w:r w:rsidRPr="00CD0A87">
        <w:rPr>
          <w:rFonts w:cs="Times New Roman"/>
          <w:lang w:val="en-US"/>
        </w:rPr>
        <w:t>Pontano’s</w:t>
      </w:r>
      <w:proofErr w:type="spellEnd"/>
      <w:r w:rsidRPr="00CD0A87">
        <w:rPr>
          <w:rFonts w:cs="Times New Roman"/>
          <w:lang w:val="en-US"/>
        </w:rPr>
        <w:t xml:space="preserve"> </w:t>
      </w:r>
      <w:r w:rsidRPr="00CD0A87">
        <w:rPr>
          <w:rFonts w:cs="Times New Roman"/>
          <w:i/>
          <w:iCs/>
          <w:lang w:val="en-US"/>
        </w:rPr>
        <w:t xml:space="preserve">De </w:t>
      </w:r>
      <w:proofErr w:type="spellStart"/>
      <w:r w:rsidRPr="00CD0A87">
        <w:rPr>
          <w:rFonts w:cs="Times New Roman"/>
          <w:i/>
          <w:iCs/>
          <w:lang w:val="en-US"/>
        </w:rPr>
        <w:t>Splendore</w:t>
      </w:r>
      <w:proofErr w:type="spellEnd"/>
      <w:r w:rsidRPr="00CD0A87">
        <w:rPr>
          <w:rFonts w:cs="Times New Roman"/>
          <w:lang w:val="en-US"/>
        </w:rPr>
        <w:t xml:space="preserve"> (1498) and the Domestic Arts,” </w:t>
      </w:r>
      <w:r w:rsidRPr="00CD0A87">
        <w:rPr>
          <w:rFonts w:cs="Times New Roman"/>
          <w:i/>
          <w:iCs/>
          <w:lang w:val="en-US"/>
        </w:rPr>
        <w:t>Journal of Design History Journal of Design History</w:t>
      </w:r>
      <w:r w:rsidRPr="00CD0A87">
        <w:rPr>
          <w:rFonts w:cs="Times New Roman"/>
          <w:lang w:val="en-US"/>
        </w:rPr>
        <w:t xml:space="preserve"> 15, no. 4 (2002): 211–21.</w:t>
      </w:r>
    </w:p>
  </w:footnote>
  <w:footnote w:id="784">
    <w:p w14:paraId="3B121885" w14:textId="77777777" w:rsidR="00182EED" w:rsidRDefault="00182EED" w:rsidP="00310CB2">
      <w:pPr>
        <w:pStyle w:val="FootnoteText"/>
      </w:pPr>
      <w:r w:rsidRPr="00D72450">
        <w:rPr>
          <w:rStyle w:val="FootnoteReference"/>
        </w:rPr>
        <w:footnoteRef/>
      </w:r>
      <w:r>
        <w:t xml:space="preserve"> </w:t>
      </w:r>
      <w:r w:rsidRPr="009D63D5">
        <w:t xml:space="preserve">This attribution is given in the Victoria and Albert Museum’s online catalogue. </w:t>
      </w:r>
      <w:r w:rsidRPr="009D63D5">
        <w:rPr>
          <w:rFonts w:cs="Times New Roman"/>
          <w:lang w:val="en-US"/>
        </w:rPr>
        <w:t>“Apollonio Di Giovanni: The Meeting of King Solomon and the Queen of Sheba,” Victoria and Albert Museum Collection Catalogue, accessed January 25, 2019, http://collections.vam.ac.uk/item/O109299.</w:t>
      </w:r>
    </w:p>
  </w:footnote>
  <w:footnote w:id="785">
    <w:p w14:paraId="4043701F" w14:textId="77777777" w:rsidR="00182EED" w:rsidRPr="003A052E" w:rsidRDefault="00182EED" w:rsidP="00310CB2">
      <w:pPr>
        <w:pStyle w:val="FootnoteText"/>
      </w:pPr>
      <w:r w:rsidRPr="00D72450">
        <w:rPr>
          <w:rStyle w:val="FootnoteReference"/>
        </w:rPr>
        <w:footnoteRef/>
      </w:r>
      <w:r w:rsidRPr="00EA64B2">
        <w:t xml:space="preserve"> </w:t>
      </w:r>
      <w:r>
        <w:t>Yale University Art Gallery, m</w:t>
      </w:r>
      <w:r w:rsidRPr="00EA64B2">
        <w:t>useum number 1871.36</w:t>
      </w:r>
      <w:r>
        <w:t xml:space="preserve">. </w:t>
      </w:r>
      <w:r w:rsidRPr="00613140">
        <w:rPr>
          <w:rFonts w:cs="Times New Roman"/>
          <w:lang w:val="en-US"/>
        </w:rPr>
        <w:t xml:space="preserve">see Schiaparelli, </w:t>
      </w:r>
      <w:r w:rsidRPr="00613140">
        <w:rPr>
          <w:rFonts w:cs="Times New Roman"/>
          <w:i/>
          <w:iCs/>
          <w:lang w:val="en-US"/>
        </w:rPr>
        <w:t xml:space="preserve">La casa </w:t>
      </w:r>
      <w:proofErr w:type="spellStart"/>
      <w:r w:rsidRPr="00613140">
        <w:rPr>
          <w:rFonts w:cs="Times New Roman"/>
          <w:i/>
          <w:iCs/>
          <w:lang w:val="en-US"/>
        </w:rPr>
        <w:t>fiorentina</w:t>
      </w:r>
      <w:proofErr w:type="spellEnd"/>
      <w:r w:rsidRPr="00613140">
        <w:rPr>
          <w:rFonts w:cs="Times New Roman"/>
          <w:i/>
          <w:iCs/>
          <w:lang w:val="en-US"/>
        </w:rPr>
        <w:t xml:space="preserve"> e </w:t>
      </w:r>
      <w:proofErr w:type="spellStart"/>
      <w:r w:rsidRPr="00613140">
        <w:rPr>
          <w:rFonts w:cs="Times New Roman"/>
          <w:i/>
          <w:iCs/>
          <w:lang w:val="en-US"/>
        </w:rPr>
        <w:t>i</w:t>
      </w:r>
      <w:proofErr w:type="spellEnd"/>
      <w:r w:rsidRPr="00613140">
        <w:rPr>
          <w:rFonts w:cs="Times New Roman"/>
          <w:i/>
          <w:iCs/>
          <w:lang w:val="en-US"/>
        </w:rPr>
        <w:t xml:space="preserve"> </w:t>
      </w:r>
      <w:proofErr w:type="spellStart"/>
      <w:r w:rsidRPr="00613140">
        <w:rPr>
          <w:rFonts w:cs="Times New Roman"/>
          <w:i/>
          <w:iCs/>
          <w:lang w:val="en-US"/>
        </w:rPr>
        <w:t>suoi</w:t>
      </w:r>
      <w:proofErr w:type="spellEnd"/>
      <w:r w:rsidRPr="00613140">
        <w:rPr>
          <w:rFonts w:cs="Times New Roman"/>
          <w:i/>
          <w:iCs/>
          <w:lang w:val="en-US"/>
        </w:rPr>
        <w:t xml:space="preserve"> </w:t>
      </w:r>
      <w:proofErr w:type="spellStart"/>
      <w:r w:rsidRPr="00613140">
        <w:rPr>
          <w:rFonts w:cs="Times New Roman"/>
          <w:i/>
          <w:iCs/>
          <w:lang w:val="en-US"/>
        </w:rPr>
        <w:t>arredi</w:t>
      </w:r>
      <w:proofErr w:type="spellEnd"/>
      <w:r w:rsidRPr="00613140">
        <w:rPr>
          <w:rFonts w:cs="Times New Roman"/>
          <w:i/>
          <w:iCs/>
          <w:lang w:val="en-US"/>
        </w:rPr>
        <w:t xml:space="preserve"> </w:t>
      </w:r>
      <w:proofErr w:type="spellStart"/>
      <w:r w:rsidRPr="00613140">
        <w:rPr>
          <w:rFonts w:cs="Times New Roman"/>
          <w:i/>
          <w:iCs/>
          <w:lang w:val="en-US"/>
        </w:rPr>
        <w:t>nei</w:t>
      </w:r>
      <w:proofErr w:type="spellEnd"/>
      <w:r w:rsidRPr="00613140">
        <w:rPr>
          <w:rFonts w:cs="Times New Roman"/>
          <w:i/>
          <w:iCs/>
          <w:lang w:val="en-US"/>
        </w:rPr>
        <w:t xml:space="preserve"> </w:t>
      </w:r>
      <w:proofErr w:type="spellStart"/>
      <w:r w:rsidRPr="00613140">
        <w:rPr>
          <w:rFonts w:cs="Times New Roman"/>
          <w:i/>
          <w:iCs/>
          <w:lang w:val="en-US"/>
        </w:rPr>
        <w:t>secoli</w:t>
      </w:r>
      <w:proofErr w:type="spellEnd"/>
      <w:r w:rsidRPr="00613140">
        <w:rPr>
          <w:rFonts w:cs="Times New Roman"/>
          <w:i/>
          <w:iCs/>
          <w:lang w:val="en-US"/>
        </w:rPr>
        <w:t xml:space="preserve"> XIV e XV</w:t>
      </w:r>
      <w:r w:rsidRPr="00613140">
        <w:rPr>
          <w:rFonts w:cs="Times New Roman"/>
          <w:lang w:val="en-US"/>
        </w:rPr>
        <w:t xml:space="preserve">, 1:284–85; E. H. </w:t>
      </w:r>
      <w:proofErr w:type="spellStart"/>
      <w:r w:rsidRPr="00613140">
        <w:rPr>
          <w:rFonts w:cs="Times New Roman"/>
          <w:lang w:val="en-US"/>
        </w:rPr>
        <w:t>Gombrich</w:t>
      </w:r>
      <w:proofErr w:type="spellEnd"/>
      <w:r w:rsidRPr="00613140">
        <w:rPr>
          <w:rFonts w:cs="Times New Roman"/>
          <w:lang w:val="en-US"/>
        </w:rPr>
        <w:t xml:space="preserve">, “Apollonio Di Giovanni: A Florentine Cassone Workshop Seen through the Eyes of a Humanist Poet,” </w:t>
      </w:r>
      <w:r w:rsidRPr="00613140">
        <w:rPr>
          <w:rFonts w:cs="Times New Roman"/>
          <w:i/>
          <w:iCs/>
          <w:lang w:val="en-US"/>
        </w:rPr>
        <w:t xml:space="preserve">Journal of the Warburg and </w:t>
      </w:r>
      <w:proofErr w:type="spellStart"/>
      <w:r w:rsidRPr="00613140">
        <w:rPr>
          <w:rFonts w:cs="Times New Roman"/>
          <w:i/>
          <w:iCs/>
          <w:lang w:val="en-US"/>
        </w:rPr>
        <w:t>Courtauld</w:t>
      </w:r>
      <w:proofErr w:type="spellEnd"/>
      <w:r w:rsidRPr="00613140">
        <w:rPr>
          <w:rFonts w:cs="Times New Roman"/>
          <w:i/>
          <w:iCs/>
          <w:lang w:val="en-US"/>
        </w:rPr>
        <w:t xml:space="preserve"> Institutes</w:t>
      </w:r>
      <w:r w:rsidRPr="00613140">
        <w:rPr>
          <w:rFonts w:cs="Times New Roman"/>
          <w:lang w:val="en-US"/>
        </w:rPr>
        <w:t xml:space="preserve"> 18, no. 1/2 (1955): 23 n.1.</w:t>
      </w:r>
    </w:p>
  </w:footnote>
  <w:footnote w:id="786">
    <w:p w14:paraId="76312BE0" w14:textId="77777777" w:rsidR="00182EED" w:rsidRDefault="00182EED" w:rsidP="00310CB2">
      <w:pPr>
        <w:pStyle w:val="FootnoteText"/>
      </w:pPr>
      <w:r w:rsidRPr="00D72450">
        <w:rPr>
          <w:rStyle w:val="FootnoteReference"/>
        </w:rPr>
        <w:footnoteRef/>
      </w:r>
      <w:r>
        <w:t xml:space="preserve"> </w:t>
      </w:r>
      <w:proofErr w:type="spellStart"/>
      <w:r w:rsidRPr="00613140">
        <w:rPr>
          <w:rFonts w:cs="Times New Roman"/>
          <w:lang w:val="en-US"/>
        </w:rPr>
        <w:t>Callmann</w:t>
      </w:r>
      <w:proofErr w:type="spellEnd"/>
      <w:r w:rsidRPr="00613140">
        <w:rPr>
          <w:rFonts w:cs="Times New Roman"/>
          <w:lang w:val="en-US"/>
        </w:rPr>
        <w:t xml:space="preserve">, </w:t>
      </w:r>
      <w:r w:rsidRPr="00613140">
        <w:rPr>
          <w:rFonts w:cs="Times New Roman"/>
          <w:i/>
          <w:iCs/>
          <w:lang w:val="en-US"/>
        </w:rPr>
        <w:t>Apollonio Di Giovanni</w:t>
      </w:r>
      <w:r w:rsidRPr="00613140">
        <w:rPr>
          <w:rFonts w:cs="Times New Roman"/>
          <w:lang w:val="en-US"/>
        </w:rPr>
        <w:t>, 26 n.10.</w:t>
      </w:r>
    </w:p>
  </w:footnote>
  <w:footnote w:id="787">
    <w:p w14:paraId="576D2FAD" w14:textId="77777777" w:rsidR="00182EED" w:rsidRPr="002B19FE" w:rsidRDefault="00182EED" w:rsidP="003F25F4">
      <w:pPr>
        <w:pStyle w:val="FootnoteText"/>
      </w:pPr>
      <w:r>
        <w:rPr>
          <w:rStyle w:val="FootnoteReference"/>
        </w:rPr>
        <w:footnoteRef/>
      </w:r>
      <w:r>
        <w:t xml:space="preserve"> Randolph, </w:t>
      </w:r>
      <w:r>
        <w:rPr>
          <w:i/>
          <w:iCs/>
        </w:rPr>
        <w:t>Touching Objects</w:t>
      </w:r>
      <w:r>
        <w:t>, 148.</w:t>
      </w:r>
    </w:p>
  </w:footnote>
  <w:footnote w:id="788">
    <w:p w14:paraId="12CAF111" w14:textId="77777777" w:rsidR="00182EED" w:rsidRDefault="00182EED" w:rsidP="00310CB2">
      <w:pPr>
        <w:pStyle w:val="FootnoteText"/>
      </w:pPr>
      <w:r w:rsidRPr="00D72450">
        <w:rPr>
          <w:rStyle w:val="FootnoteReference"/>
        </w:rPr>
        <w:footnoteRef/>
      </w:r>
      <w:r>
        <w:t xml:space="preserve"> </w:t>
      </w:r>
      <w:r w:rsidRPr="00613140">
        <w:rPr>
          <w:rFonts w:cs="Times New Roman"/>
          <w:lang w:val="en-US"/>
        </w:rPr>
        <w:t xml:space="preserve">Ibid., 15, 52; </w:t>
      </w:r>
      <w:proofErr w:type="spellStart"/>
      <w:r w:rsidRPr="00613140">
        <w:rPr>
          <w:rFonts w:cs="Times New Roman"/>
          <w:lang w:val="en-US"/>
        </w:rPr>
        <w:t>Callmann</w:t>
      </w:r>
      <w:proofErr w:type="spellEnd"/>
      <w:r w:rsidRPr="00613140">
        <w:rPr>
          <w:rFonts w:cs="Times New Roman"/>
          <w:lang w:val="en-US"/>
        </w:rPr>
        <w:t>, “Apollonio Di Giovanni and Painting for the Early Renaissance Room,” 11.</w:t>
      </w:r>
    </w:p>
  </w:footnote>
  <w:footnote w:id="789">
    <w:p w14:paraId="0E8EDE43" w14:textId="77777777" w:rsidR="00182EED" w:rsidRDefault="00182EED" w:rsidP="00310CB2">
      <w:pPr>
        <w:pStyle w:val="FootnoteText"/>
      </w:pPr>
      <w:r w:rsidRPr="00D72450">
        <w:rPr>
          <w:rStyle w:val="FootnoteReference"/>
        </w:rPr>
        <w:footnoteRef/>
      </w:r>
      <w:r>
        <w:t xml:space="preserve"> </w:t>
      </w:r>
      <w:proofErr w:type="spellStart"/>
      <w:r w:rsidRPr="00613140">
        <w:rPr>
          <w:rFonts w:cs="Times New Roman"/>
          <w:lang w:val="en-US"/>
        </w:rPr>
        <w:t>Dillian</w:t>
      </w:r>
      <w:proofErr w:type="spellEnd"/>
      <w:r w:rsidRPr="00613140">
        <w:rPr>
          <w:rFonts w:cs="Times New Roman"/>
          <w:lang w:val="en-US"/>
        </w:rPr>
        <w:t xml:space="preserve"> Gordon, </w:t>
      </w:r>
      <w:r w:rsidRPr="00613140">
        <w:rPr>
          <w:rFonts w:cs="Times New Roman"/>
          <w:i/>
          <w:iCs/>
          <w:lang w:val="en-US"/>
        </w:rPr>
        <w:t>The Fifteenth Century Italian Paintings</w:t>
      </w:r>
      <w:r w:rsidRPr="00613140">
        <w:rPr>
          <w:rFonts w:cs="Times New Roman"/>
          <w:lang w:val="en-US"/>
        </w:rPr>
        <w:t xml:space="preserve"> (London: National Gallery Company, 2003), 1:95–97, 100–101 (</w:t>
      </w:r>
      <w:proofErr w:type="spellStart"/>
      <w:r w:rsidRPr="00613140">
        <w:rPr>
          <w:rFonts w:cs="Times New Roman"/>
          <w:lang w:val="en-US"/>
        </w:rPr>
        <w:t>nn</w:t>
      </w:r>
      <w:proofErr w:type="spellEnd"/>
      <w:r w:rsidRPr="00613140">
        <w:rPr>
          <w:rFonts w:cs="Times New Roman"/>
          <w:lang w:val="en-US"/>
        </w:rPr>
        <w:t>. 7, 9, 11, 14, 15), 102 (</w:t>
      </w:r>
      <w:proofErr w:type="spellStart"/>
      <w:r w:rsidRPr="00613140">
        <w:rPr>
          <w:rFonts w:cs="Times New Roman"/>
          <w:lang w:val="en-US"/>
        </w:rPr>
        <w:t>nn</w:t>
      </w:r>
      <w:proofErr w:type="spellEnd"/>
      <w:r w:rsidRPr="00613140">
        <w:rPr>
          <w:rFonts w:cs="Times New Roman"/>
          <w:lang w:val="en-US"/>
        </w:rPr>
        <w:t xml:space="preserve">. 23, 31–33), 103 (n. 52); Evelyn Welch, </w:t>
      </w:r>
      <w:r w:rsidRPr="00613140">
        <w:rPr>
          <w:rFonts w:cs="Times New Roman"/>
          <w:i/>
          <w:iCs/>
          <w:lang w:val="en-US"/>
        </w:rPr>
        <w:t>Art in Renaissance Italy, 1350-1500</w:t>
      </w:r>
      <w:r w:rsidRPr="00613140">
        <w:rPr>
          <w:rFonts w:cs="Times New Roman"/>
          <w:lang w:val="en-US"/>
        </w:rPr>
        <w:t xml:space="preserve"> (Oxford: Oxford University Press, 1997), 16, fig. 6.</w:t>
      </w:r>
    </w:p>
  </w:footnote>
  <w:footnote w:id="790">
    <w:p w14:paraId="19F175F3" w14:textId="77777777" w:rsidR="00182EED" w:rsidRDefault="00182EED" w:rsidP="00310CB2">
      <w:pPr>
        <w:pStyle w:val="FootnoteText"/>
      </w:pPr>
      <w:r w:rsidRPr="00D72450">
        <w:rPr>
          <w:rStyle w:val="FootnoteReference"/>
        </w:rPr>
        <w:footnoteRef/>
      </w:r>
      <w:r>
        <w:t xml:space="preserve"> </w:t>
      </w:r>
      <w:r w:rsidRPr="00552FB2">
        <w:rPr>
          <w:rFonts w:cs="Times New Roman"/>
          <w:lang w:val="en-US"/>
        </w:rPr>
        <w:t xml:space="preserve">Allan Braham, “The Bed of </w:t>
      </w:r>
      <w:proofErr w:type="spellStart"/>
      <w:r w:rsidRPr="00552FB2">
        <w:rPr>
          <w:rFonts w:cs="Times New Roman"/>
          <w:lang w:val="en-US"/>
        </w:rPr>
        <w:t>Pierfrancesco</w:t>
      </w:r>
      <w:proofErr w:type="spellEnd"/>
      <w:r w:rsidRPr="00552FB2">
        <w:rPr>
          <w:rFonts w:cs="Times New Roman"/>
          <w:lang w:val="en-US"/>
        </w:rPr>
        <w:t xml:space="preserve"> </w:t>
      </w:r>
      <w:proofErr w:type="spellStart"/>
      <w:r w:rsidRPr="00552FB2">
        <w:rPr>
          <w:rFonts w:cs="Times New Roman"/>
          <w:lang w:val="en-US"/>
        </w:rPr>
        <w:t>Borgherini</w:t>
      </w:r>
      <w:proofErr w:type="spellEnd"/>
      <w:r w:rsidRPr="00552FB2">
        <w:rPr>
          <w:rFonts w:cs="Times New Roman"/>
          <w:lang w:val="en-US"/>
        </w:rPr>
        <w:t xml:space="preserve">,” </w:t>
      </w:r>
      <w:r w:rsidRPr="00552FB2">
        <w:rPr>
          <w:rFonts w:cs="Times New Roman"/>
          <w:i/>
          <w:iCs/>
          <w:lang w:val="en-US"/>
        </w:rPr>
        <w:t>The Burlington Magazine</w:t>
      </w:r>
      <w:r w:rsidRPr="00552FB2">
        <w:rPr>
          <w:rFonts w:cs="Times New Roman"/>
          <w:lang w:val="en-US"/>
        </w:rPr>
        <w:t xml:space="preserve"> 121, no. 921 (1979): 754; </w:t>
      </w:r>
      <w:proofErr w:type="spellStart"/>
      <w:r w:rsidRPr="00552FB2">
        <w:rPr>
          <w:rFonts w:cs="Times New Roman"/>
          <w:lang w:val="en-US"/>
        </w:rPr>
        <w:t>Lydecker</w:t>
      </w:r>
      <w:proofErr w:type="spellEnd"/>
      <w:r w:rsidRPr="00552FB2">
        <w:rPr>
          <w:rFonts w:cs="Times New Roman"/>
          <w:lang w:val="en-US"/>
        </w:rPr>
        <w:t>, “The Domestic Setting of the Arts in Renaissance Florence,” 49–50.</w:t>
      </w:r>
    </w:p>
  </w:footnote>
  <w:footnote w:id="791">
    <w:p w14:paraId="5F46BB4D" w14:textId="77777777" w:rsidR="00182EED" w:rsidRDefault="00182EED" w:rsidP="00310CB2">
      <w:pPr>
        <w:pStyle w:val="FootnoteText"/>
      </w:pPr>
      <w:r w:rsidRPr="00D72450">
        <w:rPr>
          <w:rStyle w:val="FootnoteReference"/>
        </w:rPr>
        <w:footnoteRef/>
      </w:r>
      <w:r>
        <w:t xml:space="preserve"> </w:t>
      </w:r>
      <w:r w:rsidRPr="00552FB2">
        <w:rPr>
          <w:rFonts w:cs="Times New Roman"/>
          <w:lang w:val="en-US"/>
        </w:rPr>
        <w:t xml:space="preserve">Luke Syson, “Representing Domestic Interiors,” in </w:t>
      </w:r>
      <w:r w:rsidRPr="00552FB2">
        <w:rPr>
          <w:rFonts w:cs="Times New Roman"/>
          <w:i/>
          <w:iCs/>
          <w:lang w:val="en-US"/>
        </w:rPr>
        <w:t>At Home in Renaissance Italy</w:t>
      </w:r>
      <w:r w:rsidRPr="00552FB2">
        <w:rPr>
          <w:rFonts w:cs="Times New Roman"/>
          <w:lang w:val="en-US"/>
        </w:rPr>
        <w:t xml:space="preserve">, ed. Marta </w:t>
      </w:r>
      <w:proofErr w:type="spellStart"/>
      <w:r w:rsidRPr="00552FB2">
        <w:rPr>
          <w:rFonts w:cs="Times New Roman"/>
          <w:lang w:val="en-US"/>
        </w:rPr>
        <w:t>Ajmar-Wollheim</w:t>
      </w:r>
      <w:proofErr w:type="spellEnd"/>
      <w:r w:rsidRPr="00552FB2">
        <w:rPr>
          <w:rFonts w:cs="Times New Roman"/>
          <w:lang w:val="en-US"/>
        </w:rPr>
        <w:t xml:space="preserve"> and Flora Dennis (London: V&amp;A Publications, 2006), 101.</w:t>
      </w:r>
    </w:p>
  </w:footnote>
  <w:footnote w:id="792">
    <w:p w14:paraId="378C5283" w14:textId="77777777" w:rsidR="00182EED" w:rsidRDefault="00182EED" w:rsidP="00310CB2">
      <w:pPr>
        <w:pStyle w:val="FootnoteText"/>
      </w:pPr>
      <w:r w:rsidRPr="00D72450">
        <w:rPr>
          <w:rStyle w:val="FootnoteReference"/>
        </w:rPr>
        <w:footnoteRef/>
      </w:r>
      <w:r>
        <w:t xml:space="preserve"> </w:t>
      </w:r>
      <w:r>
        <w:rPr>
          <w:noProof/>
        </w:rPr>
        <w:t>Ibid., 101 n.74.</w:t>
      </w:r>
    </w:p>
  </w:footnote>
  <w:footnote w:id="793">
    <w:p w14:paraId="1D4647C1" w14:textId="77777777" w:rsidR="00182EED" w:rsidRDefault="00182EED" w:rsidP="00310CB2">
      <w:pPr>
        <w:pStyle w:val="FootnoteText"/>
      </w:pPr>
      <w:r w:rsidRPr="00D72450">
        <w:rPr>
          <w:rStyle w:val="FootnoteReference"/>
        </w:rPr>
        <w:footnoteRef/>
      </w:r>
      <w:r>
        <w:t xml:space="preserve"> </w:t>
      </w:r>
      <w:r w:rsidRPr="00552FB2">
        <w:rPr>
          <w:rFonts w:cs="Times New Roman"/>
          <w:lang w:val="en-US"/>
        </w:rPr>
        <w:t xml:space="preserve">Wolfgang </w:t>
      </w:r>
      <w:proofErr w:type="spellStart"/>
      <w:r w:rsidRPr="00552FB2">
        <w:rPr>
          <w:rFonts w:cs="Times New Roman"/>
          <w:lang w:val="en-US"/>
        </w:rPr>
        <w:t>Stechow</w:t>
      </w:r>
      <w:proofErr w:type="spellEnd"/>
      <w:r w:rsidRPr="00552FB2">
        <w:rPr>
          <w:rFonts w:cs="Times New Roman"/>
          <w:lang w:val="en-US"/>
        </w:rPr>
        <w:t xml:space="preserve">, “‘The Love of Antiochus with Faire </w:t>
      </w:r>
      <w:proofErr w:type="spellStart"/>
      <w:r w:rsidRPr="00552FB2">
        <w:rPr>
          <w:rFonts w:cs="Times New Roman"/>
          <w:lang w:val="en-US"/>
        </w:rPr>
        <w:t>Stratonica</w:t>
      </w:r>
      <w:proofErr w:type="spellEnd"/>
      <w:r w:rsidRPr="00552FB2">
        <w:rPr>
          <w:rFonts w:cs="Times New Roman"/>
          <w:lang w:val="en-US"/>
        </w:rPr>
        <w:t xml:space="preserve">’ in Art,” </w:t>
      </w:r>
      <w:r w:rsidRPr="00552FB2">
        <w:rPr>
          <w:rFonts w:cs="Times New Roman"/>
          <w:i/>
          <w:iCs/>
          <w:lang w:val="en-US"/>
        </w:rPr>
        <w:t>The Art Bulletin</w:t>
      </w:r>
      <w:r w:rsidRPr="00552FB2">
        <w:rPr>
          <w:rFonts w:cs="Times New Roman"/>
          <w:lang w:val="en-US"/>
        </w:rPr>
        <w:t xml:space="preserve"> 27, no. 4 (1945): 224.</w:t>
      </w:r>
    </w:p>
  </w:footnote>
  <w:footnote w:id="794">
    <w:p w14:paraId="2C3B7AA0" w14:textId="77777777" w:rsidR="00182EED" w:rsidRPr="00C1385B" w:rsidRDefault="00182EED">
      <w:pPr>
        <w:pStyle w:val="FootnoteText"/>
      </w:pPr>
      <w:r>
        <w:rPr>
          <w:rStyle w:val="FootnoteReference"/>
        </w:rPr>
        <w:footnoteRef/>
      </w:r>
      <w:r>
        <w:t xml:space="preserve"> Ross King, </w:t>
      </w:r>
      <w:r>
        <w:rPr>
          <w:i/>
          <w:iCs/>
        </w:rPr>
        <w:t>Michelangelo and the Pope’s Ceiling</w:t>
      </w:r>
      <w:r>
        <w:t xml:space="preserve"> (London: Pimlico, 2006), 21.</w:t>
      </w:r>
    </w:p>
  </w:footnote>
  <w:footnote w:id="795">
    <w:p w14:paraId="00DC18DB" w14:textId="77777777" w:rsidR="00182EED" w:rsidRDefault="00182EED" w:rsidP="00310CB2">
      <w:pPr>
        <w:pStyle w:val="FootnoteText"/>
      </w:pPr>
      <w:r w:rsidRPr="00D72450">
        <w:rPr>
          <w:rStyle w:val="FootnoteReference"/>
        </w:rPr>
        <w:footnoteRef/>
      </w:r>
      <w:r>
        <w:t xml:space="preserve"> </w:t>
      </w:r>
      <w:r w:rsidRPr="00552FB2">
        <w:rPr>
          <w:rFonts w:cs="Times New Roman"/>
          <w:lang w:val="en-US"/>
        </w:rPr>
        <w:t xml:space="preserve">Schiaparelli, </w:t>
      </w:r>
      <w:r w:rsidRPr="00552FB2">
        <w:rPr>
          <w:rFonts w:cs="Times New Roman"/>
          <w:i/>
          <w:iCs/>
          <w:lang w:val="en-US"/>
        </w:rPr>
        <w:t xml:space="preserve">La casa </w:t>
      </w:r>
      <w:proofErr w:type="spellStart"/>
      <w:r w:rsidRPr="00552FB2">
        <w:rPr>
          <w:rFonts w:cs="Times New Roman"/>
          <w:i/>
          <w:iCs/>
          <w:lang w:val="en-US"/>
        </w:rPr>
        <w:t>fiorentina</w:t>
      </w:r>
      <w:proofErr w:type="spellEnd"/>
      <w:r w:rsidRPr="00552FB2">
        <w:rPr>
          <w:rFonts w:cs="Times New Roman"/>
          <w:i/>
          <w:iCs/>
          <w:lang w:val="en-US"/>
        </w:rPr>
        <w:t xml:space="preserve"> e </w:t>
      </w:r>
      <w:proofErr w:type="spellStart"/>
      <w:r w:rsidRPr="00552FB2">
        <w:rPr>
          <w:rFonts w:cs="Times New Roman"/>
          <w:i/>
          <w:iCs/>
          <w:lang w:val="en-US"/>
        </w:rPr>
        <w:t>i</w:t>
      </w:r>
      <w:proofErr w:type="spellEnd"/>
      <w:r w:rsidRPr="00552FB2">
        <w:rPr>
          <w:rFonts w:cs="Times New Roman"/>
          <w:i/>
          <w:iCs/>
          <w:lang w:val="en-US"/>
        </w:rPr>
        <w:t xml:space="preserve"> </w:t>
      </w:r>
      <w:proofErr w:type="spellStart"/>
      <w:r w:rsidRPr="00552FB2">
        <w:rPr>
          <w:rFonts w:cs="Times New Roman"/>
          <w:i/>
          <w:iCs/>
          <w:lang w:val="en-US"/>
        </w:rPr>
        <w:t>suoi</w:t>
      </w:r>
      <w:proofErr w:type="spellEnd"/>
      <w:r w:rsidRPr="00552FB2">
        <w:rPr>
          <w:rFonts w:cs="Times New Roman"/>
          <w:i/>
          <w:iCs/>
          <w:lang w:val="en-US"/>
        </w:rPr>
        <w:t xml:space="preserve"> </w:t>
      </w:r>
      <w:proofErr w:type="spellStart"/>
      <w:r w:rsidRPr="00552FB2">
        <w:rPr>
          <w:rFonts w:cs="Times New Roman"/>
          <w:i/>
          <w:iCs/>
          <w:lang w:val="en-US"/>
        </w:rPr>
        <w:t>arredi</w:t>
      </w:r>
      <w:proofErr w:type="spellEnd"/>
      <w:r w:rsidRPr="00552FB2">
        <w:rPr>
          <w:rFonts w:cs="Times New Roman"/>
          <w:i/>
          <w:iCs/>
          <w:lang w:val="en-US"/>
        </w:rPr>
        <w:t xml:space="preserve"> </w:t>
      </w:r>
      <w:proofErr w:type="spellStart"/>
      <w:r w:rsidRPr="00552FB2">
        <w:rPr>
          <w:rFonts w:cs="Times New Roman"/>
          <w:i/>
          <w:iCs/>
          <w:lang w:val="en-US"/>
        </w:rPr>
        <w:t>nei</w:t>
      </w:r>
      <w:proofErr w:type="spellEnd"/>
      <w:r w:rsidRPr="00552FB2">
        <w:rPr>
          <w:rFonts w:cs="Times New Roman"/>
          <w:i/>
          <w:iCs/>
          <w:lang w:val="en-US"/>
        </w:rPr>
        <w:t xml:space="preserve"> </w:t>
      </w:r>
      <w:proofErr w:type="spellStart"/>
      <w:r w:rsidRPr="00552FB2">
        <w:rPr>
          <w:rFonts w:cs="Times New Roman"/>
          <w:i/>
          <w:iCs/>
          <w:lang w:val="en-US"/>
        </w:rPr>
        <w:t>secoli</w:t>
      </w:r>
      <w:proofErr w:type="spellEnd"/>
      <w:r w:rsidRPr="00552FB2">
        <w:rPr>
          <w:rFonts w:cs="Times New Roman"/>
          <w:i/>
          <w:iCs/>
          <w:lang w:val="en-US"/>
        </w:rPr>
        <w:t xml:space="preserve"> XIV e XV</w:t>
      </w:r>
      <w:r w:rsidRPr="00552FB2">
        <w:rPr>
          <w:rFonts w:cs="Times New Roman"/>
          <w:lang w:val="en-US"/>
        </w:rPr>
        <w:t>, 1:174.</w:t>
      </w:r>
    </w:p>
  </w:footnote>
  <w:footnote w:id="796">
    <w:p w14:paraId="16B23D0A" w14:textId="77777777" w:rsidR="00182EED" w:rsidRDefault="00182EED" w:rsidP="00310CB2">
      <w:pPr>
        <w:pStyle w:val="FootnoteText"/>
      </w:pPr>
      <w:r w:rsidRPr="00D72450">
        <w:rPr>
          <w:rStyle w:val="FootnoteReference"/>
        </w:rPr>
        <w:footnoteRef/>
      </w:r>
      <w:r>
        <w:t xml:space="preserve"> </w:t>
      </w:r>
      <w:proofErr w:type="spellStart"/>
      <w:r w:rsidRPr="00552FB2">
        <w:rPr>
          <w:rFonts w:cs="Times New Roman"/>
          <w:lang w:val="en-US"/>
        </w:rPr>
        <w:t>Lindow</w:t>
      </w:r>
      <w:proofErr w:type="spellEnd"/>
      <w:r w:rsidRPr="00552FB2">
        <w:rPr>
          <w:rFonts w:cs="Times New Roman"/>
          <w:lang w:val="en-US"/>
        </w:rPr>
        <w:t xml:space="preserve">, </w:t>
      </w:r>
      <w:r w:rsidRPr="00552FB2">
        <w:rPr>
          <w:rFonts w:cs="Times New Roman"/>
          <w:i/>
          <w:iCs/>
          <w:lang w:val="en-US"/>
        </w:rPr>
        <w:t>The Renaissance Palace in Florence</w:t>
      </w:r>
      <w:r w:rsidRPr="00552FB2">
        <w:rPr>
          <w:rFonts w:cs="Times New Roman"/>
          <w:lang w:val="en-US"/>
        </w:rPr>
        <w:t>, 164–65.</w:t>
      </w:r>
    </w:p>
  </w:footnote>
  <w:footnote w:id="797">
    <w:p w14:paraId="4EDC53F1" w14:textId="5DE0DC8B" w:rsidR="00182EED" w:rsidRPr="004F4649" w:rsidRDefault="00182EED" w:rsidP="00310CB2">
      <w:pPr>
        <w:pStyle w:val="FootnoteText"/>
        <w:rPr>
          <w:iCs/>
        </w:rPr>
      </w:pPr>
      <w:r w:rsidRPr="00D72450">
        <w:rPr>
          <w:rStyle w:val="FootnoteReference"/>
        </w:rPr>
        <w:footnoteRef/>
      </w:r>
      <w:r w:rsidRPr="00EA64B2">
        <w:t xml:space="preserve"> </w:t>
      </w:r>
      <w:r w:rsidRPr="00350FD9">
        <w:rPr>
          <w:color w:val="000000" w:themeColor="text1"/>
        </w:rPr>
        <w:t xml:space="preserve">This association </w:t>
      </w:r>
      <w:r>
        <w:rPr>
          <w:color w:val="000000" w:themeColor="text1"/>
        </w:rPr>
        <w:t xml:space="preserve">appears </w:t>
      </w:r>
      <w:r w:rsidRPr="00350FD9">
        <w:rPr>
          <w:color w:val="000000" w:themeColor="text1"/>
        </w:rPr>
        <w:t xml:space="preserve">in the </w:t>
      </w:r>
      <w:proofErr w:type="spellStart"/>
      <w:r w:rsidRPr="00350FD9">
        <w:rPr>
          <w:i/>
          <w:color w:val="000000" w:themeColor="text1"/>
        </w:rPr>
        <w:t>Ammaestramenti</w:t>
      </w:r>
      <w:proofErr w:type="spellEnd"/>
      <w:r w:rsidRPr="00350FD9">
        <w:rPr>
          <w:i/>
          <w:color w:val="000000" w:themeColor="text1"/>
        </w:rPr>
        <w:t xml:space="preserve"> </w:t>
      </w:r>
      <w:proofErr w:type="spellStart"/>
      <w:r w:rsidRPr="00350FD9">
        <w:rPr>
          <w:i/>
          <w:color w:val="000000" w:themeColor="text1"/>
        </w:rPr>
        <w:t>degli</w:t>
      </w:r>
      <w:proofErr w:type="spellEnd"/>
      <w:r w:rsidRPr="00350FD9">
        <w:rPr>
          <w:i/>
          <w:color w:val="000000" w:themeColor="text1"/>
        </w:rPr>
        <w:t xml:space="preserve"> </w:t>
      </w:r>
      <w:proofErr w:type="spellStart"/>
      <w:r w:rsidRPr="00350FD9">
        <w:rPr>
          <w:i/>
          <w:color w:val="000000" w:themeColor="text1"/>
        </w:rPr>
        <w:t>antichi</w:t>
      </w:r>
      <w:proofErr w:type="spellEnd"/>
      <w:r w:rsidRPr="00350FD9">
        <w:rPr>
          <w:i/>
          <w:color w:val="000000" w:themeColor="text1"/>
        </w:rPr>
        <w:t xml:space="preserve"> </w:t>
      </w:r>
      <w:r w:rsidRPr="00350FD9">
        <w:rPr>
          <w:color w:val="000000" w:themeColor="text1"/>
        </w:rPr>
        <w:t xml:space="preserve">(Teachings from the ancients) written by the Dominican Bartolomeo da San </w:t>
      </w:r>
      <w:proofErr w:type="spellStart"/>
      <w:r w:rsidRPr="00350FD9">
        <w:rPr>
          <w:color w:val="000000" w:themeColor="text1"/>
        </w:rPr>
        <w:t>Concordio</w:t>
      </w:r>
      <w:proofErr w:type="spellEnd"/>
      <w:r w:rsidRPr="00350FD9">
        <w:rPr>
          <w:color w:val="000000" w:themeColor="text1"/>
        </w:rPr>
        <w:t xml:space="preserve"> (d. 1347)</w:t>
      </w:r>
      <w:r>
        <w:rPr>
          <w:color w:val="000000" w:themeColor="text1"/>
        </w:rPr>
        <w:t xml:space="preserve">, and in </w:t>
      </w:r>
      <w:r w:rsidRPr="00350FD9">
        <w:rPr>
          <w:color w:val="000000" w:themeColor="text1"/>
        </w:rPr>
        <w:t xml:space="preserve">Petrarch’s </w:t>
      </w:r>
      <w:r w:rsidRPr="00350FD9">
        <w:rPr>
          <w:i/>
          <w:color w:val="000000" w:themeColor="text1"/>
        </w:rPr>
        <w:t>Rime</w:t>
      </w:r>
      <w:r w:rsidRPr="00350FD9">
        <w:rPr>
          <w:color w:val="000000" w:themeColor="text1"/>
        </w:rPr>
        <w:t>, in which he explains that in his great love, Laura, was a rare sum of beauty (“</w:t>
      </w:r>
      <w:proofErr w:type="spellStart"/>
      <w:r w:rsidRPr="00350FD9">
        <w:rPr>
          <w:color w:val="000000" w:themeColor="text1"/>
        </w:rPr>
        <w:t>bellezza</w:t>
      </w:r>
      <w:proofErr w:type="spellEnd"/>
      <w:r w:rsidRPr="00350FD9">
        <w:rPr>
          <w:color w:val="000000" w:themeColor="text1"/>
        </w:rPr>
        <w:t>”) and honesty (“</w:t>
      </w:r>
      <w:proofErr w:type="spellStart"/>
      <w:r w:rsidRPr="00350FD9">
        <w:rPr>
          <w:color w:val="000000" w:themeColor="text1"/>
        </w:rPr>
        <w:t>onestà</w:t>
      </w:r>
      <w:proofErr w:type="spellEnd"/>
      <w:r w:rsidRPr="00350FD9">
        <w:rPr>
          <w:color w:val="000000" w:themeColor="text1"/>
        </w:rPr>
        <w:t>”), which are usually opponents</w:t>
      </w:r>
      <w:r>
        <w:rPr>
          <w:color w:val="000000" w:themeColor="text1"/>
        </w:rPr>
        <w:t xml:space="preserve">; </w:t>
      </w:r>
      <w:r w:rsidRPr="00552FB2">
        <w:rPr>
          <w:rFonts w:cs="Times New Roman"/>
          <w:color w:val="000000"/>
          <w:lang w:val="en-US"/>
        </w:rPr>
        <w:t xml:space="preserve">see Deborah L. </w:t>
      </w:r>
      <w:proofErr w:type="spellStart"/>
      <w:r w:rsidRPr="00552FB2">
        <w:rPr>
          <w:rFonts w:cs="Times New Roman"/>
          <w:color w:val="000000"/>
          <w:lang w:val="en-US"/>
        </w:rPr>
        <w:t>Krohn</w:t>
      </w:r>
      <w:proofErr w:type="spellEnd"/>
      <w:r w:rsidRPr="00552FB2">
        <w:rPr>
          <w:rFonts w:cs="Times New Roman"/>
          <w:color w:val="000000"/>
          <w:lang w:val="en-US"/>
        </w:rPr>
        <w:t xml:space="preserve">, “Entry 40,” in </w:t>
      </w:r>
      <w:r w:rsidRPr="00552FB2">
        <w:rPr>
          <w:rFonts w:cs="Times New Roman"/>
          <w:i/>
          <w:iCs/>
          <w:color w:val="000000"/>
          <w:lang w:val="en-US"/>
        </w:rPr>
        <w:t>Art and Love in Renaissance Italy</w:t>
      </w:r>
      <w:r w:rsidRPr="00552FB2">
        <w:rPr>
          <w:rFonts w:cs="Times New Roman"/>
          <w:color w:val="000000"/>
          <w:lang w:val="en-US"/>
        </w:rPr>
        <w:t>, ed. Andrea Bayer (New York, New Haven, Conn.; London: Metropolitan Museum of Art; Yale University Press, 2008), 110–11.</w:t>
      </w:r>
      <w:r>
        <w:rPr>
          <w:rFonts w:cs="Times New Roman"/>
          <w:color w:val="000000"/>
          <w:lang w:val="en-US"/>
        </w:rPr>
        <w:t xml:space="preserve"> On boxes and their association with brides see Randolph</w:t>
      </w:r>
      <w:r>
        <w:rPr>
          <w:lang w:val="en-US"/>
        </w:rPr>
        <w:t xml:space="preserve">, </w:t>
      </w:r>
      <w:r>
        <w:rPr>
          <w:i/>
          <w:lang w:val="en-US"/>
        </w:rPr>
        <w:t>Touching objects</w:t>
      </w:r>
      <w:r>
        <w:rPr>
          <w:iCs/>
          <w:lang w:val="en-US"/>
        </w:rPr>
        <w:t xml:space="preserve">, 103-137, esp. 111-113. </w:t>
      </w:r>
    </w:p>
  </w:footnote>
  <w:footnote w:id="798">
    <w:p w14:paraId="758D2970" w14:textId="77777777" w:rsidR="00182EED" w:rsidRDefault="00182EED" w:rsidP="00310CB2">
      <w:pPr>
        <w:pStyle w:val="FootnoteText"/>
      </w:pPr>
      <w:r w:rsidRPr="00D72450">
        <w:rPr>
          <w:rStyle w:val="FootnoteReference"/>
        </w:rPr>
        <w:footnoteRef/>
      </w:r>
      <w:r>
        <w:t xml:space="preserve"> </w:t>
      </w:r>
      <w:r w:rsidRPr="00552FB2">
        <w:rPr>
          <w:rFonts w:cs="Times New Roman"/>
          <w:lang w:val="en-US"/>
        </w:rPr>
        <w:t xml:space="preserve">Ellen </w:t>
      </w:r>
      <w:proofErr w:type="spellStart"/>
      <w:r w:rsidRPr="00552FB2">
        <w:rPr>
          <w:rFonts w:cs="Times New Roman"/>
          <w:lang w:val="en-US"/>
        </w:rPr>
        <w:t>Callmann</w:t>
      </w:r>
      <w:proofErr w:type="spellEnd"/>
      <w:r w:rsidRPr="00552FB2">
        <w:rPr>
          <w:rFonts w:cs="Times New Roman"/>
          <w:lang w:val="en-US"/>
        </w:rPr>
        <w:t xml:space="preserve">, </w:t>
      </w:r>
      <w:r w:rsidRPr="00552FB2">
        <w:rPr>
          <w:rFonts w:cs="Times New Roman"/>
          <w:i/>
          <w:iCs/>
          <w:lang w:val="en-US"/>
        </w:rPr>
        <w:t>Beyond Nobility: Art for the Private Citizen in the Early Renaissance</w:t>
      </w:r>
      <w:r w:rsidRPr="00552FB2">
        <w:rPr>
          <w:rFonts w:cs="Times New Roman"/>
          <w:lang w:val="en-US"/>
        </w:rPr>
        <w:t xml:space="preserve"> (Allentown: Allentown Art Museum, 1980), 76.</w:t>
      </w:r>
    </w:p>
  </w:footnote>
  <w:footnote w:id="799">
    <w:p w14:paraId="437BB0F6" w14:textId="77777777" w:rsidR="00182EED" w:rsidRDefault="00182EED" w:rsidP="003D0037">
      <w:pPr>
        <w:pStyle w:val="FootnoteText"/>
      </w:pPr>
      <w:r w:rsidRPr="009027E7">
        <w:rPr>
          <w:rStyle w:val="FootnoteReference"/>
        </w:rPr>
        <w:footnoteRef/>
      </w:r>
      <w:r w:rsidRPr="000E40C1">
        <w:rPr>
          <w:szCs w:val="18"/>
        </w:rPr>
        <w:t xml:space="preserve"> </w:t>
      </w:r>
      <w:r w:rsidRPr="00340BFA">
        <w:rPr>
          <w:szCs w:val="18"/>
        </w:rPr>
        <w:t>“La prima [</w:t>
      </w:r>
      <w:proofErr w:type="spellStart"/>
      <w:r w:rsidRPr="00340BFA">
        <w:rPr>
          <w:szCs w:val="18"/>
        </w:rPr>
        <w:t>regoluzza</w:t>
      </w:r>
      <w:proofErr w:type="spellEnd"/>
      <w:r w:rsidRPr="00340BFA">
        <w:rPr>
          <w:szCs w:val="18"/>
        </w:rPr>
        <w:t xml:space="preserve">] </w:t>
      </w:r>
      <w:proofErr w:type="spellStart"/>
      <w:r w:rsidRPr="00340BFA">
        <w:rPr>
          <w:szCs w:val="18"/>
        </w:rPr>
        <w:t>si</w:t>
      </w:r>
      <w:proofErr w:type="spellEnd"/>
      <w:r w:rsidRPr="00340BFA">
        <w:rPr>
          <w:szCs w:val="18"/>
        </w:rPr>
        <w:t xml:space="preserve"> è </w:t>
      </w:r>
      <w:proofErr w:type="spellStart"/>
      <w:r w:rsidRPr="00340BFA">
        <w:rPr>
          <w:szCs w:val="18"/>
        </w:rPr>
        <w:t>d’avere</w:t>
      </w:r>
      <w:proofErr w:type="spellEnd"/>
      <w:r w:rsidRPr="00340BFA">
        <w:rPr>
          <w:szCs w:val="18"/>
        </w:rPr>
        <w:t xml:space="preserve"> </w:t>
      </w:r>
      <w:proofErr w:type="spellStart"/>
      <w:r w:rsidRPr="00340BFA">
        <w:rPr>
          <w:szCs w:val="18"/>
        </w:rPr>
        <w:t>dipinture</w:t>
      </w:r>
      <w:proofErr w:type="spellEnd"/>
      <w:r w:rsidRPr="00340BFA">
        <w:rPr>
          <w:szCs w:val="18"/>
        </w:rPr>
        <w:t xml:space="preserve"> in casa di </w:t>
      </w:r>
      <w:proofErr w:type="spellStart"/>
      <w:r w:rsidRPr="00340BFA">
        <w:rPr>
          <w:szCs w:val="18"/>
        </w:rPr>
        <w:t>santi</w:t>
      </w:r>
      <w:proofErr w:type="spellEnd"/>
      <w:r w:rsidRPr="00340BFA">
        <w:rPr>
          <w:szCs w:val="18"/>
        </w:rPr>
        <w:t xml:space="preserve"> </w:t>
      </w:r>
      <w:proofErr w:type="spellStart"/>
      <w:r w:rsidRPr="00340BFA">
        <w:rPr>
          <w:szCs w:val="18"/>
        </w:rPr>
        <w:t>fanciulli</w:t>
      </w:r>
      <w:proofErr w:type="spellEnd"/>
      <w:r w:rsidRPr="00340BFA">
        <w:rPr>
          <w:szCs w:val="18"/>
        </w:rPr>
        <w:t xml:space="preserve"> o </w:t>
      </w:r>
      <w:proofErr w:type="spellStart"/>
      <w:r w:rsidRPr="00340BFA">
        <w:rPr>
          <w:szCs w:val="18"/>
        </w:rPr>
        <w:t>vergini</w:t>
      </w:r>
      <w:proofErr w:type="spellEnd"/>
      <w:r w:rsidRPr="00340BFA">
        <w:rPr>
          <w:szCs w:val="18"/>
        </w:rPr>
        <w:t xml:space="preserve"> </w:t>
      </w:r>
      <w:proofErr w:type="spellStart"/>
      <w:r w:rsidRPr="00340BFA">
        <w:rPr>
          <w:szCs w:val="18"/>
        </w:rPr>
        <w:t>giovanette</w:t>
      </w:r>
      <w:proofErr w:type="spellEnd"/>
      <w:r w:rsidRPr="00340BFA">
        <w:rPr>
          <w:szCs w:val="18"/>
        </w:rPr>
        <w:t xml:space="preserve">, </w:t>
      </w:r>
      <w:proofErr w:type="spellStart"/>
      <w:r w:rsidRPr="00340BFA">
        <w:rPr>
          <w:szCs w:val="18"/>
        </w:rPr>
        <w:t>nelle</w:t>
      </w:r>
      <w:proofErr w:type="spellEnd"/>
      <w:r w:rsidRPr="00340BFA">
        <w:rPr>
          <w:szCs w:val="18"/>
        </w:rPr>
        <w:t xml:space="preserve"> </w:t>
      </w:r>
      <w:proofErr w:type="spellStart"/>
      <w:r w:rsidRPr="00340BFA">
        <w:rPr>
          <w:szCs w:val="18"/>
        </w:rPr>
        <w:t>quali</w:t>
      </w:r>
      <w:proofErr w:type="spellEnd"/>
      <w:r w:rsidRPr="00340BFA">
        <w:rPr>
          <w:szCs w:val="18"/>
        </w:rPr>
        <w:t xml:space="preserve"> </w:t>
      </w:r>
      <w:proofErr w:type="spellStart"/>
      <w:r w:rsidRPr="00340BFA">
        <w:rPr>
          <w:szCs w:val="18"/>
        </w:rPr>
        <w:t>il</w:t>
      </w:r>
      <w:proofErr w:type="spellEnd"/>
      <w:r w:rsidRPr="00340BFA">
        <w:rPr>
          <w:szCs w:val="18"/>
        </w:rPr>
        <w:t xml:space="preserve"> </w:t>
      </w:r>
      <w:proofErr w:type="spellStart"/>
      <w:r w:rsidRPr="00340BFA">
        <w:rPr>
          <w:szCs w:val="18"/>
        </w:rPr>
        <w:t>tuo</w:t>
      </w:r>
      <w:proofErr w:type="spellEnd"/>
      <w:r w:rsidRPr="00340BFA">
        <w:rPr>
          <w:szCs w:val="18"/>
        </w:rPr>
        <w:t xml:space="preserve"> </w:t>
      </w:r>
      <w:proofErr w:type="spellStart"/>
      <w:r w:rsidRPr="00340BFA">
        <w:rPr>
          <w:szCs w:val="18"/>
        </w:rPr>
        <w:t>figliuolo</w:t>
      </w:r>
      <w:proofErr w:type="spellEnd"/>
      <w:r w:rsidRPr="00340BFA">
        <w:rPr>
          <w:szCs w:val="18"/>
        </w:rPr>
        <w:t xml:space="preserve">, </w:t>
      </w:r>
      <w:proofErr w:type="spellStart"/>
      <w:r w:rsidRPr="00340BFA">
        <w:rPr>
          <w:szCs w:val="18"/>
        </w:rPr>
        <w:t>ancor</w:t>
      </w:r>
      <w:proofErr w:type="spellEnd"/>
      <w:r w:rsidRPr="00340BFA">
        <w:rPr>
          <w:szCs w:val="18"/>
        </w:rPr>
        <w:t xml:space="preserve"> </w:t>
      </w:r>
      <w:proofErr w:type="spellStart"/>
      <w:r w:rsidRPr="00340BFA">
        <w:rPr>
          <w:szCs w:val="18"/>
        </w:rPr>
        <w:t>nelle</w:t>
      </w:r>
      <w:proofErr w:type="spellEnd"/>
      <w:r w:rsidRPr="00340BFA">
        <w:rPr>
          <w:szCs w:val="18"/>
        </w:rPr>
        <w:t xml:space="preserve"> </w:t>
      </w:r>
      <w:proofErr w:type="spellStart"/>
      <w:r w:rsidRPr="00340BFA">
        <w:rPr>
          <w:szCs w:val="18"/>
        </w:rPr>
        <w:t>fascie</w:t>
      </w:r>
      <w:proofErr w:type="spellEnd"/>
      <w:r w:rsidRPr="00340BFA">
        <w:rPr>
          <w:szCs w:val="18"/>
        </w:rPr>
        <w:t xml:space="preserve">, </w:t>
      </w:r>
      <w:proofErr w:type="spellStart"/>
      <w:r w:rsidRPr="00340BFA">
        <w:rPr>
          <w:szCs w:val="18"/>
        </w:rPr>
        <w:t>si</w:t>
      </w:r>
      <w:proofErr w:type="spellEnd"/>
      <w:r w:rsidRPr="00340BFA">
        <w:rPr>
          <w:szCs w:val="18"/>
        </w:rPr>
        <w:t xml:space="preserve"> </w:t>
      </w:r>
      <w:proofErr w:type="spellStart"/>
      <w:r w:rsidRPr="00340BFA">
        <w:rPr>
          <w:szCs w:val="18"/>
        </w:rPr>
        <w:t>diletti</w:t>
      </w:r>
      <w:proofErr w:type="spellEnd"/>
      <w:r w:rsidRPr="00340BFA">
        <w:rPr>
          <w:szCs w:val="18"/>
        </w:rPr>
        <w:t xml:space="preserve"> come simile e dal simile </w:t>
      </w:r>
      <w:proofErr w:type="spellStart"/>
      <w:r w:rsidRPr="00340BFA">
        <w:rPr>
          <w:szCs w:val="18"/>
        </w:rPr>
        <w:t>rapito</w:t>
      </w:r>
      <w:proofErr w:type="spellEnd"/>
      <w:r w:rsidRPr="00340BFA">
        <w:rPr>
          <w:szCs w:val="18"/>
        </w:rPr>
        <w:t xml:space="preserve">, con </w:t>
      </w:r>
      <w:proofErr w:type="spellStart"/>
      <w:r w:rsidRPr="00340BFA">
        <w:rPr>
          <w:szCs w:val="18"/>
        </w:rPr>
        <w:t>atti</w:t>
      </w:r>
      <w:proofErr w:type="spellEnd"/>
      <w:r w:rsidRPr="00340BFA">
        <w:rPr>
          <w:szCs w:val="18"/>
        </w:rPr>
        <w:t xml:space="preserve"> e </w:t>
      </w:r>
      <w:proofErr w:type="spellStart"/>
      <w:r w:rsidRPr="00340BFA">
        <w:rPr>
          <w:szCs w:val="18"/>
        </w:rPr>
        <w:t>segni</w:t>
      </w:r>
      <w:proofErr w:type="spellEnd"/>
      <w:r w:rsidRPr="00340BFA">
        <w:rPr>
          <w:szCs w:val="18"/>
        </w:rPr>
        <w:t xml:space="preserve"> </w:t>
      </w:r>
      <w:proofErr w:type="spellStart"/>
      <w:r w:rsidRPr="00340BFA">
        <w:rPr>
          <w:szCs w:val="18"/>
        </w:rPr>
        <w:t>grati</w:t>
      </w:r>
      <w:proofErr w:type="spellEnd"/>
      <w:r w:rsidRPr="00340BFA">
        <w:rPr>
          <w:szCs w:val="18"/>
        </w:rPr>
        <w:t xml:space="preserve"> </w:t>
      </w:r>
      <w:proofErr w:type="spellStart"/>
      <w:r w:rsidRPr="00340BFA">
        <w:rPr>
          <w:szCs w:val="18"/>
        </w:rPr>
        <w:t>all’infanzia</w:t>
      </w:r>
      <w:proofErr w:type="spellEnd"/>
      <w:r w:rsidRPr="00340BFA">
        <w:rPr>
          <w:szCs w:val="18"/>
        </w:rPr>
        <w:t xml:space="preserve">. E come </w:t>
      </w:r>
      <w:proofErr w:type="spellStart"/>
      <w:r w:rsidRPr="00340BFA">
        <w:rPr>
          <w:szCs w:val="18"/>
        </w:rPr>
        <w:t>dico</w:t>
      </w:r>
      <w:proofErr w:type="spellEnd"/>
      <w:r w:rsidRPr="00340BFA">
        <w:rPr>
          <w:szCs w:val="18"/>
        </w:rPr>
        <w:t xml:space="preserve"> di </w:t>
      </w:r>
      <w:proofErr w:type="spellStart"/>
      <w:r w:rsidRPr="00340BFA">
        <w:rPr>
          <w:szCs w:val="18"/>
        </w:rPr>
        <w:t>pinture</w:t>
      </w:r>
      <w:proofErr w:type="spellEnd"/>
      <w:r w:rsidRPr="00340BFA">
        <w:rPr>
          <w:szCs w:val="18"/>
        </w:rPr>
        <w:t xml:space="preserve">, </w:t>
      </w:r>
      <w:proofErr w:type="spellStart"/>
      <w:r w:rsidRPr="00340BFA">
        <w:rPr>
          <w:szCs w:val="18"/>
        </w:rPr>
        <w:t>così</w:t>
      </w:r>
      <w:proofErr w:type="spellEnd"/>
      <w:r w:rsidRPr="00340BFA">
        <w:rPr>
          <w:szCs w:val="18"/>
        </w:rPr>
        <w:t xml:space="preserve"> </w:t>
      </w:r>
      <w:proofErr w:type="spellStart"/>
      <w:r w:rsidRPr="00340BFA">
        <w:rPr>
          <w:szCs w:val="18"/>
        </w:rPr>
        <w:t>dico</w:t>
      </w:r>
      <w:proofErr w:type="spellEnd"/>
      <w:r w:rsidRPr="00340BFA">
        <w:rPr>
          <w:szCs w:val="18"/>
        </w:rPr>
        <w:t xml:space="preserve"> di </w:t>
      </w:r>
      <w:proofErr w:type="spellStart"/>
      <w:r w:rsidRPr="00340BFA">
        <w:rPr>
          <w:szCs w:val="18"/>
        </w:rPr>
        <w:t>scolture</w:t>
      </w:r>
      <w:proofErr w:type="spellEnd"/>
      <w:r w:rsidRPr="00340BFA">
        <w:rPr>
          <w:szCs w:val="18"/>
        </w:rPr>
        <w:t>”.</w:t>
      </w:r>
      <w:r>
        <w:rPr>
          <w:szCs w:val="18"/>
        </w:rPr>
        <w:t xml:space="preserve"> </w:t>
      </w:r>
      <w:r w:rsidRPr="000E40C1">
        <w:rPr>
          <w:szCs w:val="18"/>
          <w:lang w:val="it-IT"/>
        </w:rPr>
        <w:t xml:space="preserve">Giovanni Dominici, </w:t>
      </w:r>
      <w:r w:rsidRPr="000E40C1">
        <w:rPr>
          <w:i/>
          <w:szCs w:val="18"/>
          <w:lang w:val="it-IT"/>
        </w:rPr>
        <w:t>Regola del governo di cura familiare</w:t>
      </w:r>
      <w:r w:rsidRPr="000E40C1">
        <w:rPr>
          <w:szCs w:val="18"/>
          <w:lang w:val="it-IT"/>
        </w:rPr>
        <w:t xml:space="preserve">, ed. Donato Salvi, (Firenze: Angiolo Garinei Libraio,1860), </w:t>
      </w:r>
      <w:r w:rsidRPr="000E40C1">
        <w:rPr>
          <w:szCs w:val="18"/>
          <w:lang w:val="en-US"/>
        </w:rPr>
        <w:t>131–32</w:t>
      </w:r>
      <w:r>
        <w:rPr>
          <w:szCs w:val="18"/>
          <w:lang w:val="en-US"/>
        </w:rPr>
        <w:t>.</w:t>
      </w:r>
    </w:p>
  </w:footnote>
  <w:footnote w:id="800">
    <w:p w14:paraId="7B40B032" w14:textId="77777777" w:rsidR="00182EED" w:rsidRDefault="00182EED" w:rsidP="003D0037">
      <w:pPr>
        <w:pStyle w:val="FootnoteText"/>
      </w:pPr>
      <w:r w:rsidRPr="009027E7">
        <w:rPr>
          <w:rStyle w:val="FootnoteReference"/>
        </w:rPr>
        <w:footnoteRef/>
      </w:r>
      <w:r>
        <w:t xml:space="preserve"> </w:t>
      </w:r>
      <w:r w:rsidRPr="009E26C1">
        <w:rPr>
          <w:lang w:val="en-US"/>
        </w:rPr>
        <w:t>“</w:t>
      </w:r>
      <w:proofErr w:type="spellStart"/>
      <w:r w:rsidRPr="009E26C1">
        <w:rPr>
          <w:lang w:val="en-US"/>
        </w:rPr>
        <w:t>Moribus</w:t>
      </w:r>
      <w:proofErr w:type="spellEnd"/>
      <w:r w:rsidRPr="009E26C1">
        <w:rPr>
          <w:lang w:val="en-US"/>
        </w:rPr>
        <w:t xml:space="preserve"> </w:t>
      </w:r>
      <w:proofErr w:type="spellStart"/>
      <w:r w:rsidRPr="009E26C1">
        <w:rPr>
          <w:lang w:val="en-US"/>
        </w:rPr>
        <w:t>conferret</w:t>
      </w:r>
      <w:proofErr w:type="spellEnd"/>
      <w:r w:rsidRPr="009E26C1">
        <w:rPr>
          <w:lang w:val="en-US"/>
        </w:rPr>
        <w:t xml:space="preserve">.” </w:t>
      </w:r>
      <w:proofErr w:type="spellStart"/>
      <w:r w:rsidRPr="009E26C1">
        <w:rPr>
          <w:lang w:val="en-US"/>
        </w:rPr>
        <w:t>Franchinus</w:t>
      </w:r>
      <w:proofErr w:type="spellEnd"/>
      <w:r w:rsidRPr="009E26C1">
        <w:rPr>
          <w:lang w:val="en-US"/>
        </w:rPr>
        <w:t xml:space="preserve"> </w:t>
      </w:r>
      <w:proofErr w:type="spellStart"/>
      <w:r w:rsidRPr="009E26C1">
        <w:rPr>
          <w:lang w:val="en-US"/>
        </w:rPr>
        <w:t>Gaffurius</w:t>
      </w:r>
      <w:proofErr w:type="spellEnd"/>
      <w:r w:rsidRPr="009E26C1">
        <w:rPr>
          <w:lang w:val="en-US"/>
        </w:rPr>
        <w:t xml:space="preserve">, </w:t>
      </w:r>
      <w:proofErr w:type="spellStart"/>
      <w:r w:rsidRPr="009E26C1">
        <w:rPr>
          <w:i/>
          <w:iCs/>
          <w:lang w:val="en-US"/>
        </w:rPr>
        <w:t>Practica</w:t>
      </w:r>
      <w:proofErr w:type="spellEnd"/>
      <w:r w:rsidRPr="009E26C1">
        <w:rPr>
          <w:i/>
          <w:iCs/>
          <w:lang w:val="en-US"/>
        </w:rPr>
        <w:t xml:space="preserve"> </w:t>
      </w:r>
      <w:proofErr w:type="spellStart"/>
      <w:r w:rsidRPr="009E26C1">
        <w:rPr>
          <w:i/>
          <w:iCs/>
          <w:lang w:val="en-US"/>
        </w:rPr>
        <w:t>musicae</w:t>
      </w:r>
      <w:proofErr w:type="spellEnd"/>
      <w:r w:rsidRPr="009E26C1">
        <w:rPr>
          <w:lang w:val="en-US"/>
        </w:rPr>
        <w:t xml:space="preserve"> (Milan: Guillaume Le </w:t>
      </w:r>
      <w:proofErr w:type="spellStart"/>
      <w:r w:rsidRPr="009E26C1">
        <w:rPr>
          <w:lang w:val="en-US"/>
        </w:rPr>
        <w:t>Signerre</w:t>
      </w:r>
      <w:proofErr w:type="spellEnd"/>
      <w:r w:rsidRPr="009E26C1">
        <w:rPr>
          <w:lang w:val="en-US"/>
        </w:rPr>
        <w:t xml:space="preserve">, per Giovanni Pietro da </w:t>
      </w:r>
      <w:proofErr w:type="spellStart"/>
      <w:r w:rsidRPr="009E26C1">
        <w:rPr>
          <w:lang w:val="en-US"/>
        </w:rPr>
        <w:t>Lomazzo</w:t>
      </w:r>
      <w:proofErr w:type="spellEnd"/>
      <w:r w:rsidRPr="009E26C1">
        <w:rPr>
          <w:lang w:val="en-US"/>
        </w:rPr>
        <w:t xml:space="preserve">, 30 IX, 1496; Madison, Milwaukee and London: The University of Wisconsin Press, 1969), f. 3v; English translation from </w:t>
      </w:r>
      <w:proofErr w:type="spellStart"/>
      <w:r w:rsidRPr="009E26C1">
        <w:rPr>
          <w:lang w:val="en-US"/>
        </w:rPr>
        <w:t>Franchinus</w:t>
      </w:r>
      <w:proofErr w:type="spellEnd"/>
      <w:r w:rsidRPr="009E26C1">
        <w:rPr>
          <w:lang w:val="en-US"/>
        </w:rPr>
        <w:t xml:space="preserve"> </w:t>
      </w:r>
      <w:proofErr w:type="spellStart"/>
      <w:r w:rsidRPr="009E26C1">
        <w:rPr>
          <w:lang w:val="en-US"/>
        </w:rPr>
        <w:t>Gaffurius</w:t>
      </w:r>
      <w:proofErr w:type="spellEnd"/>
      <w:r w:rsidRPr="009E26C1">
        <w:rPr>
          <w:lang w:val="en-US"/>
        </w:rPr>
        <w:t xml:space="preserve">, </w:t>
      </w:r>
      <w:r w:rsidRPr="009E26C1">
        <w:rPr>
          <w:i/>
          <w:iCs/>
          <w:lang w:val="en-US"/>
        </w:rPr>
        <w:t xml:space="preserve">The </w:t>
      </w:r>
      <w:proofErr w:type="spellStart"/>
      <w:r w:rsidRPr="009E26C1">
        <w:rPr>
          <w:i/>
          <w:iCs/>
          <w:lang w:val="en-US"/>
        </w:rPr>
        <w:t>Practica</w:t>
      </w:r>
      <w:proofErr w:type="spellEnd"/>
      <w:r w:rsidRPr="009E26C1">
        <w:rPr>
          <w:i/>
          <w:iCs/>
          <w:lang w:val="en-US"/>
        </w:rPr>
        <w:t xml:space="preserve"> </w:t>
      </w:r>
      <w:proofErr w:type="spellStart"/>
      <w:r w:rsidRPr="009E26C1">
        <w:rPr>
          <w:i/>
          <w:iCs/>
          <w:lang w:val="en-US"/>
        </w:rPr>
        <w:t>Musicae</w:t>
      </w:r>
      <w:proofErr w:type="spellEnd"/>
      <w:r w:rsidRPr="009E26C1">
        <w:rPr>
          <w:i/>
          <w:iCs/>
          <w:lang w:val="en-US"/>
        </w:rPr>
        <w:t xml:space="preserve"> of </w:t>
      </w:r>
      <w:proofErr w:type="spellStart"/>
      <w:r w:rsidRPr="009E26C1">
        <w:rPr>
          <w:i/>
          <w:iCs/>
          <w:lang w:val="en-US"/>
        </w:rPr>
        <w:t>Franchinus</w:t>
      </w:r>
      <w:proofErr w:type="spellEnd"/>
      <w:r w:rsidRPr="009E26C1">
        <w:rPr>
          <w:i/>
          <w:iCs/>
          <w:lang w:val="en-US"/>
        </w:rPr>
        <w:t xml:space="preserve"> </w:t>
      </w:r>
      <w:proofErr w:type="spellStart"/>
      <w:r w:rsidRPr="009E26C1">
        <w:rPr>
          <w:i/>
          <w:iCs/>
          <w:lang w:val="en-US"/>
        </w:rPr>
        <w:t>Gafurius</w:t>
      </w:r>
      <w:proofErr w:type="spellEnd"/>
      <w:r w:rsidRPr="009E26C1">
        <w:rPr>
          <w:lang w:val="en-US"/>
        </w:rPr>
        <w:t>, ed. and trans. Irwin Young (Madison, Milwaukee and London: The University of Wisconsin Press, 1969), 5.</w:t>
      </w:r>
    </w:p>
  </w:footnote>
  <w:footnote w:id="801">
    <w:p w14:paraId="7BB45E67" w14:textId="77777777" w:rsidR="00182EED" w:rsidRPr="0090019F" w:rsidRDefault="00182EED" w:rsidP="003D0037">
      <w:pPr>
        <w:pStyle w:val="FootnoteText"/>
        <w:rPr>
          <w:szCs w:val="18"/>
        </w:rPr>
      </w:pPr>
      <w:r w:rsidRPr="009027E7">
        <w:rPr>
          <w:rStyle w:val="FootnoteReference"/>
        </w:rPr>
        <w:footnoteRef/>
      </w:r>
      <w:r w:rsidRPr="0090019F">
        <w:rPr>
          <w:szCs w:val="18"/>
        </w:rPr>
        <w:t xml:space="preserve"> </w:t>
      </w:r>
      <w:r w:rsidRPr="0090019F">
        <w:rPr>
          <w:szCs w:val="18"/>
          <w:lang w:val="en-US"/>
        </w:rPr>
        <w:t xml:space="preserve">“Ad </w:t>
      </w:r>
      <w:proofErr w:type="spellStart"/>
      <w:r w:rsidRPr="0090019F">
        <w:rPr>
          <w:szCs w:val="18"/>
          <w:lang w:val="en-US"/>
        </w:rPr>
        <w:t>motus</w:t>
      </w:r>
      <w:proofErr w:type="spellEnd"/>
      <w:r w:rsidRPr="0090019F">
        <w:rPr>
          <w:szCs w:val="18"/>
          <w:lang w:val="en-US"/>
        </w:rPr>
        <w:t xml:space="preserve"> </w:t>
      </w:r>
      <w:proofErr w:type="spellStart"/>
      <w:r w:rsidRPr="0090019F">
        <w:rPr>
          <w:szCs w:val="18"/>
          <w:lang w:val="en-US"/>
        </w:rPr>
        <w:t>animae</w:t>
      </w:r>
      <w:proofErr w:type="spellEnd"/>
      <w:r w:rsidRPr="0090019F">
        <w:rPr>
          <w:szCs w:val="18"/>
          <w:lang w:val="en-US"/>
        </w:rPr>
        <w:t xml:space="preserve"> sub </w:t>
      </w:r>
      <w:proofErr w:type="spellStart"/>
      <w:r w:rsidRPr="0090019F">
        <w:rPr>
          <w:szCs w:val="18"/>
          <w:lang w:val="en-US"/>
        </w:rPr>
        <w:t>regula</w:t>
      </w:r>
      <w:proofErr w:type="spellEnd"/>
      <w:r w:rsidRPr="0090019F">
        <w:rPr>
          <w:szCs w:val="18"/>
          <w:lang w:val="en-US"/>
        </w:rPr>
        <w:t xml:space="preserve"> </w:t>
      </w:r>
      <w:proofErr w:type="spellStart"/>
      <w:r w:rsidRPr="0090019F">
        <w:rPr>
          <w:szCs w:val="18"/>
          <w:lang w:val="en-US"/>
        </w:rPr>
        <w:t>rationeque</w:t>
      </w:r>
      <w:proofErr w:type="spellEnd"/>
      <w:r w:rsidRPr="0090019F">
        <w:rPr>
          <w:szCs w:val="18"/>
          <w:lang w:val="en-US"/>
        </w:rPr>
        <w:t xml:space="preserve"> </w:t>
      </w:r>
      <w:proofErr w:type="spellStart"/>
      <w:r w:rsidRPr="0090019F">
        <w:rPr>
          <w:szCs w:val="18"/>
          <w:lang w:val="en-US"/>
        </w:rPr>
        <w:t>moderandos</w:t>
      </w:r>
      <w:proofErr w:type="spellEnd"/>
      <w:r w:rsidRPr="0090019F">
        <w:rPr>
          <w:szCs w:val="18"/>
          <w:lang w:val="en-US"/>
        </w:rPr>
        <w:t xml:space="preserve">.” Pier Paolo </w:t>
      </w:r>
      <w:proofErr w:type="spellStart"/>
      <w:r w:rsidRPr="0090019F">
        <w:rPr>
          <w:szCs w:val="18"/>
          <w:lang w:val="en-US"/>
        </w:rPr>
        <w:t>Vergerio</w:t>
      </w:r>
      <w:proofErr w:type="spellEnd"/>
      <w:r w:rsidRPr="0090019F">
        <w:rPr>
          <w:szCs w:val="18"/>
          <w:lang w:val="en-US"/>
        </w:rPr>
        <w:t xml:space="preserve">, “The Character and Studies Befitting a Free-Born Youth,” in </w:t>
      </w:r>
      <w:r w:rsidRPr="0090019F">
        <w:rPr>
          <w:i/>
          <w:iCs/>
          <w:szCs w:val="18"/>
          <w:lang w:val="en-US"/>
        </w:rPr>
        <w:t>Humanist Educational Treatises</w:t>
      </w:r>
      <w:r w:rsidRPr="0090019F">
        <w:rPr>
          <w:szCs w:val="18"/>
          <w:lang w:val="en-US"/>
        </w:rPr>
        <w:t xml:space="preserve">, ed. Craig W. </w:t>
      </w:r>
      <w:proofErr w:type="spellStart"/>
      <w:r w:rsidRPr="0090019F">
        <w:rPr>
          <w:szCs w:val="18"/>
          <w:lang w:val="en-US"/>
        </w:rPr>
        <w:t>Kallendorf</w:t>
      </w:r>
      <w:proofErr w:type="spellEnd"/>
      <w:r w:rsidRPr="0090019F">
        <w:rPr>
          <w:szCs w:val="18"/>
          <w:lang w:val="en-US"/>
        </w:rPr>
        <w:t xml:space="preserve">, trans. Craig W </w:t>
      </w:r>
      <w:proofErr w:type="spellStart"/>
      <w:r w:rsidRPr="0090019F">
        <w:rPr>
          <w:szCs w:val="18"/>
          <w:lang w:val="en-US"/>
        </w:rPr>
        <w:t>Kallendorf</w:t>
      </w:r>
      <w:proofErr w:type="spellEnd"/>
      <w:r w:rsidRPr="0090019F">
        <w:rPr>
          <w:szCs w:val="18"/>
          <w:lang w:val="en-US"/>
        </w:rPr>
        <w:t xml:space="preserve"> (Cambridge, MA, and London: Harvard University Press, 2002), 51–52.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E6B71"/>
    <w:multiLevelType w:val="multilevel"/>
    <w:tmpl w:val="452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62C01"/>
    <w:multiLevelType w:val="hybridMultilevel"/>
    <w:tmpl w:val="DBF2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92"/>
    <w:rsid w:val="00000910"/>
    <w:rsid w:val="000025CE"/>
    <w:rsid w:val="0000316A"/>
    <w:rsid w:val="000073C3"/>
    <w:rsid w:val="0001084A"/>
    <w:rsid w:val="000160AC"/>
    <w:rsid w:val="000172B9"/>
    <w:rsid w:val="00020DB6"/>
    <w:rsid w:val="00024B96"/>
    <w:rsid w:val="00025A61"/>
    <w:rsid w:val="00032DE5"/>
    <w:rsid w:val="00036940"/>
    <w:rsid w:val="000443CC"/>
    <w:rsid w:val="0004672B"/>
    <w:rsid w:val="00047ED1"/>
    <w:rsid w:val="00051E3B"/>
    <w:rsid w:val="00055809"/>
    <w:rsid w:val="000601ED"/>
    <w:rsid w:val="0006224B"/>
    <w:rsid w:val="0006267E"/>
    <w:rsid w:val="00064E15"/>
    <w:rsid w:val="00066293"/>
    <w:rsid w:val="0006729D"/>
    <w:rsid w:val="00067553"/>
    <w:rsid w:val="00076B34"/>
    <w:rsid w:val="00077B34"/>
    <w:rsid w:val="00080A06"/>
    <w:rsid w:val="000817BC"/>
    <w:rsid w:val="000842F5"/>
    <w:rsid w:val="000855A2"/>
    <w:rsid w:val="00092416"/>
    <w:rsid w:val="00094F64"/>
    <w:rsid w:val="00096812"/>
    <w:rsid w:val="000971CC"/>
    <w:rsid w:val="000A5A28"/>
    <w:rsid w:val="000B0B71"/>
    <w:rsid w:val="000B2FC2"/>
    <w:rsid w:val="000B73C8"/>
    <w:rsid w:val="000C16F6"/>
    <w:rsid w:val="000C3333"/>
    <w:rsid w:val="000C33BE"/>
    <w:rsid w:val="000C66CF"/>
    <w:rsid w:val="000C7B53"/>
    <w:rsid w:val="000D40B6"/>
    <w:rsid w:val="000D56E0"/>
    <w:rsid w:val="000E0295"/>
    <w:rsid w:val="000E0EBB"/>
    <w:rsid w:val="000E2314"/>
    <w:rsid w:val="000E31FD"/>
    <w:rsid w:val="000E35B2"/>
    <w:rsid w:val="000E4256"/>
    <w:rsid w:val="000E4579"/>
    <w:rsid w:val="000E683A"/>
    <w:rsid w:val="000F0078"/>
    <w:rsid w:val="000F1F6D"/>
    <w:rsid w:val="000F4AF1"/>
    <w:rsid w:val="000F53FC"/>
    <w:rsid w:val="000F69B3"/>
    <w:rsid w:val="000F70E6"/>
    <w:rsid w:val="000F7BA1"/>
    <w:rsid w:val="00102408"/>
    <w:rsid w:val="00103F20"/>
    <w:rsid w:val="00105359"/>
    <w:rsid w:val="00106F99"/>
    <w:rsid w:val="001141E6"/>
    <w:rsid w:val="0011448B"/>
    <w:rsid w:val="00114904"/>
    <w:rsid w:val="0011619F"/>
    <w:rsid w:val="00120917"/>
    <w:rsid w:val="00120FC5"/>
    <w:rsid w:val="00122F0F"/>
    <w:rsid w:val="00123A6C"/>
    <w:rsid w:val="0013288E"/>
    <w:rsid w:val="001402EA"/>
    <w:rsid w:val="001420C6"/>
    <w:rsid w:val="00143AB7"/>
    <w:rsid w:val="001475BD"/>
    <w:rsid w:val="00150825"/>
    <w:rsid w:val="0015144F"/>
    <w:rsid w:val="00151AAC"/>
    <w:rsid w:val="0015426C"/>
    <w:rsid w:val="00156F10"/>
    <w:rsid w:val="00157396"/>
    <w:rsid w:val="00157642"/>
    <w:rsid w:val="0016208D"/>
    <w:rsid w:val="0016371A"/>
    <w:rsid w:val="001648E0"/>
    <w:rsid w:val="00164CCF"/>
    <w:rsid w:val="0017012D"/>
    <w:rsid w:val="00170751"/>
    <w:rsid w:val="00174F42"/>
    <w:rsid w:val="00180F58"/>
    <w:rsid w:val="00181FF9"/>
    <w:rsid w:val="001829C1"/>
    <w:rsid w:val="00182EED"/>
    <w:rsid w:val="001832E3"/>
    <w:rsid w:val="001836EE"/>
    <w:rsid w:val="00183980"/>
    <w:rsid w:val="001840E8"/>
    <w:rsid w:val="00192158"/>
    <w:rsid w:val="00192647"/>
    <w:rsid w:val="00193840"/>
    <w:rsid w:val="00193907"/>
    <w:rsid w:val="001952D1"/>
    <w:rsid w:val="00195FF9"/>
    <w:rsid w:val="00197EE8"/>
    <w:rsid w:val="001A0DA7"/>
    <w:rsid w:val="001A384D"/>
    <w:rsid w:val="001A520D"/>
    <w:rsid w:val="001A6966"/>
    <w:rsid w:val="001B169F"/>
    <w:rsid w:val="001B4497"/>
    <w:rsid w:val="001C0FED"/>
    <w:rsid w:val="001C23E8"/>
    <w:rsid w:val="001C3958"/>
    <w:rsid w:val="001C3EBB"/>
    <w:rsid w:val="001C4386"/>
    <w:rsid w:val="001C640B"/>
    <w:rsid w:val="001C7037"/>
    <w:rsid w:val="001D14A0"/>
    <w:rsid w:val="001D41C0"/>
    <w:rsid w:val="001D4B12"/>
    <w:rsid w:val="001D6B7D"/>
    <w:rsid w:val="001E15D7"/>
    <w:rsid w:val="001E194E"/>
    <w:rsid w:val="001E512A"/>
    <w:rsid w:val="001E5309"/>
    <w:rsid w:val="001E63CE"/>
    <w:rsid w:val="001F7676"/>
    <w:rsid w:val="00204D5B"/>
    <w:rsid w:val="0021150C"/>
    <w:rsid w:val="002115F4"/>
    <w:rsid w:val="00215290"/>
    <w:rsid w:val="002167E2"/>
    <w:rsid w:val="002168AD"/>
    <w:rsid w:val="00216CC9"/>
    <w:rsid w:val="00223F2C"/>
    <w:rsid w:val="002240AF"/>
    <w:rsid w:val="00224DD7"/>
    <w:rsid w:val="002310D3"/>
    <w:rsid w:val="0023710A"/>
    <w:rsid w:val="002446E5"/>
    <w:rsid w:val="00255824"/>
    <w:rsid w:val="00255DC5"/>
    <w:rsid w:val="00264139"/>
    <w:rsid w:val="00266A35"/>
    <w:rsid w:val="00274145"/>
    <w:rsid w:val="00276A38"/>
    <w:rsid w:val="00276D28"/>
    <w:rsid w:val="00277481"/>
    <w:rsid w:val="00281E64"/>
    <w:rsid w:val="002822E6"/>
    <w:rsid w:val="002844C2"/>
    <w:rsid w:val="00284782"/>
    <w:rsid w:val="00286200"/>
    <w:rsid w:val="0028768E"/>
    <w:rsid w:val="00290A18"/>
    <w:rsid w:val="00292865"/>
    <w:rsid w:val="00297B7C"/>
    <w:rsid w:val="002A032C"/>
    <w:rsid w:val="002A07D3"/>
    <w:rsid w:val="002A1766"/>
    <w:rsid w:val="002A4683"/>
    <w:rsid w:val="002A743C"/>
    <w:rsid w:val="002A75A8"/>
    <w:rsid w:val="002B19FE"/>
    <w:rsid w:val="002B2BE0"/>
    <w:rsid w:val="002B317F"/>
    <w:rsid w:val="002B4CAD"/>
    <w:rsid w:val="002B5D5C"/>
    <w:rsid w:val="002B7910"/>
    <w:rsid w:val="002C7CD5"/>
    <w:rsid w:val="002E2380"/>
    <w:rsid w:val="002E59C7"/>
    <w:rsid w:val="002E7221"/>
    <w:rsid w:val="002F02C0"/>
    <w:rsid w:val="002F0953"/>
    <w:rsid w:val="002F0CE8"/>
    <w:rsid w:val="002F25D8"/>
    <w:rsid w:val="002F5B18"/>
    <w:rsid w:val="002F7774"/>
    <w:rsid w:val="002F7ED3"/>
    <w:rsid w:val="00307C97"/>
    <w:rsid w:val="00310CB2"/>
    <w:rsid w:val="00317D72"/>
    <w:rsid w:val="0032288E"/>
    <w:rsid w:val="0032500C"/>
    <w:rsid w:val="00325303"/>
    <w:rsid w:val="00325C76"/>
    <w:rsid w:val="003307A2"/>
    <w:rsid w:val="00330A7F"/>
    <w:rsid w:val="00331498"/>
    <w:rsid w:val="0033301E"/>
    <w:rsid w:val="00337056"/>
    <w:rsid w:val="0034016B"/>
    <w:rsid w:val="003441EF"/>
    <w:rsid w:val="00344A71"/>
    <w:rsid w:val="00347B3B"/>
    <w:rsid w:val="003552AF"/>
    <w:rsid w:val="00362C81"/>
    <w:rsid w:val="00366F0E"/>
    <w:rsid w:val="00370EEC"/>
    <w:rsid w:val="003754BC"/>
    <w:rsid w:val="00376035"/>
    <w:rsid w:val="00383354"/>
    <w:rsid w:val="00386BF6"/>
    <w:rsid w:val="00387119"/>
    <w:rsid w:val="00387DB0"/>
    <w:rsid w:val="00395978"/>
    <w:rsid w:val="00395AAD"/>
    <w:rsid w:val="003A017B"/>
    <w:rsid w:val="003A3999"/>
    <w:rsid w:val="003B0A3F"/>
    <w:rsid w:val="003C08C3"/>
    <w:rsid w:val="003C1609"/>
    <w:rsid w:val="003C1F81"/>
    <w:rsid w:val="003C32CA"/>
    <w:rsid w:val="003C34EC"/>
    <w:rsid w:val="003C6738"/>
    <w:rsid w:val="003C7ED1"/>
    <w:rsid w:val="003D0037"/>
    <w:rsid w:val="003D174E"/>
    <w:rsid w:val="003D4053"/>
    <w:rsid w:val="003E0CDA"/>
    <w:rsid w:val="003E1398"/>
    <w:rsid w:val="003E2C16"/>
    <w:rsid w:val="003E34B1"/>
    <w:rsid w:val="003F25F4"/>
    <w:rsid w:val="003F3AE1"/>
    <w:rsid w:val="003F50E5"/>
    <w:rsid w:val="003F6253"/>
    <w:rsid w:val="003F64D4"/>
    <w:rsid w:val="003F75B4"/>
    <w:rsid w:val="003F7770"/>
    <w:rsid w:val="00404D40"/>
    <w:rsid w:val="004104B6"/>
    <w:rsid w:val="0041081C"/>
    <w:rsid w:val="0041676D"/>
    <w:rsid w:val="004172C4"/>
    <w:rsid w:val="00420635"/>
    <w:rsid w:val="00430022"/>
    <w:rsid w:val="00432A8D"/>
    <w:rsid w:val="00433E4A"/>
    <w:rsid w:val="00434A7A"/>
    <w:rsid w:val="00434F7F"/>
    <w:rsid w:val="00435576"/>
    <w:rsid w:val="004518AA"/>
    <w:rsid w:val="004528F4"/>
    <w:rsid w:val="0045410E"/>
    <w:rsid w:val="004544B7"/>
    <w:rsid w:val="00456152"/>
    <w:rsid w:val="0045621C"/>
    <w:rsid w:val="00456E9D"/>
    <w:rsid w:val="0046152C"/>
    <w:rsid w:val="004630A4"/>
    <w:rsid w:val="00465388"/>
    <w:rsid w:val="00465872"/>
    <w:rsid w:val="00473D1C"/>
    <w:rsid w:val="00475433"/>
    <w:rsid w:val="00494B1D"/>
    <w:rsid w:val="00496CA6"/>
    <w:rsid w:val="004A10DD"/>
    <w:rsid w:val="004A513B"/>
    <w:rsid w:val="004A5D83"/>
    <w:rsid w:val="004A6AEC"/>
    <w:rsid w:val="004B02AD"/>
    <w:rsid w:val="004B5762"/>
    <w:rsid w:val="004B7C36"/>
    <w:rsid w:val="004C54CA"/>
    <w:rsid w:val="004C65C5"/>
    <w:rsid w:val="004C754D"/>
    <w:rsid w:val="004D15D1"/>
    <w:rsid w:val="004D4B3F"/>
    <w:rsid w:val="004D6470"/>
    <w:rsid w:val="004E0BBC"/>
    <w:rsid w:val="004E4B58"/>
    <w:rsid w:val="004E5B86"/>
    <w:rsid w:val="004F08C9"/>
    <w:rsid w:val="004F18A3"/>
    <w:rsid w:val="004F1D25"/>
    <w:rsid w:val="004F4649"/>
    <w:rsid w:val="004F5533"/>
    <w:rsid w:val="004F588F"/>
    <w:rsid w:val="004F6A05"/>
    <w:rsid w:val="004F774D"/>
    <w:rsid w:val="005008E8"/>
    <w:rsid w:val="0050450C"/>
    <w:rsid w:val="00510563"/>
    <w:rsid w:val="00512F84"/>
    <w:rsid w:val="00514586"/>
    <w:rsid w:val="005147FA"/>
    <w:rsid w:val="00515013"/>
    <w:rsid w:val="0051611D"/>
    <w:rsid w:val="005169FE"/>
    <w:rsid w:val="00521E88"/>
    <w:rsid w:val="005222A5"/>
    <w:rsid w:val="00522AEC"/>
    <w:rsid w:val="00523F76"/>
    <w:rsid w:val="005240C5"/>
    <w:rsid w:val="005245B4"/>
    <w:rsid w:val="00533741"/>
    <w:rsid w:val="00535ED7"/>
    <w:rsid w:val="00536F4F"/>
    <w:rsid w:val="00544330"/>
    <w:rsid w:val="00545D1B"/>
    <w:rsid w:val="00551760"/>
    <w:rsid w:val="00551AE9"/>
    <w:rsid w:val="0055667B"/>
    <w:rsid w:val="00557E4D"/>
    <w:rsid w:val="005601AB"/>
    <w:rsid w:val="005618AF"/>
    <w:rsid w:val="00561DBC"/>
    <w:rsid w:val="00562F28"/>
    <w:rsid w:val="00567FE9"/>
    <w:rsid w:val="00575EC8"/>
    <w:rsid w:val="005820A3"/>
    <w:rsid w:val="0058275B"/>
    <w:rsid w:val="00582D37"/>
    <w:rsid w:val="0058359B"/>
    <w:rsid w:val="005848FC"/>
    <w:rsid w:val="005849E4"/>
    <w:rsid w:val="00586C70"/>
    <w:rsid w:val="005924AE"/>
    <w:rsid w:val="00593083"/>
    <w:rsid w:val="00593FD3"/>
    <w:rsid w:val="00597221"/>
    <w:rsid w:val="005A30E0"/>
    <w:rsid w:val="005A693F"/>
    <w:rsid w:val="005A69ED"/>
    <w:rsid w:val="005A788F"/>
    <w:rsid w:val="005B7428"/>
    <w:rsid w:val="005C0C5B"/>
    <w:rsid w:val="005C33B3"/>
    <w:rsid w:val="005C404E"/>
    <w:rsid w:val="005C581F"/>
    <w:rsid w:val="005C6AA4"/>
    <w:rsid w:val="005C737D"/>
    <w:rsid w:val="005D02E6"/>
    <w:rsid w:val="005D5ED0"/>
    <w:rsid w:val="005E2225"/>
    <w:rsid w:val="005E2789"/>
    <w:rsid w:val="005E6329"/>
    <w:rsid w:val="005E7E2D"/>
    <w:rsid w:val="005F0F8B"/>
    <w:rsid w:val="005F2B7C"/>
    <w:rsid w:val="005F5295"/>
    <w:rsid w:val="005F7455"/>
    <w:rsid w:val="006003AA"/>
    <w:rsid w:val="0060194A"/>
    <w:rsid w:val="00604DC3"/>
    <w:rsid w:val="00610359"/>
    <w:rsid w:val="006118CF"/>
    <w:rsid w:val="006145F5"/>
    <w:rsid w:val="006170EF"/>
    <w:rsid w:val="006229CB"/>
    <w:rsid w:val="00625BC1"/>
    <w:rsid w:val="00627E6B"/>
    <w:rsid w:val="00642641"/>
    <w:rsid w:val="006446A5"/>
    <w:rsid w:val="00644EE9"/>
    <w:rsid w:val="0064772C"/>
    <w:rsid w:val="00647AF6"/>
    <w:rsid w:val="0065120F"/>
    <w:rsid w:val="00651627"/>
    <w:rsid w:val="00656B2B"/>
    <w:rsid w:val="006646A9"/>
    <w:rsid w:val="006677B0"/>
    <w:rsid w:val="00670AD5"/>
    <w:rsid w:val="00672384"/>
    <w:rsid w:val="0067376A"/>
    <w:rsid w:val="00673CDB"/>
    <w:rsid w:val="00676082"/>
    <w:rsid w:val="0067627B"/>
    <w:rsid w:val="00681D69"/>
    <w:rsid w:val="00682832"/>
    <w:rsid w:val="00685A7F"/>
    <w:rsid w:val="00687CDF"/>
    <w:rsid w:val="0069382A"/>
    <w:rsid w:val="006A0974"/>
    <w:rsid w:val="006A1994"/>
    <w:rsid w:val="006A5FE7"/>
    <w:rsid w:val="006B0844"/>
    <w:rsid w:val="006B0F19"/>
    <w:rsid w:val="006B12F7"/>
    <w:rsid w:val="006C1433"/>
    <w:rsid w:val="006D3BBC"/>
    <w:rsid w:val="006D3F2E"/>
    <w:rsid w:val="006D7B54"/>
    <w:rsid w:val="006E162C"/>
    <w:rsid w:val="006E56AD"/>
    <w:rsid w:val="006E6A0B"/>
    <w:rsid w:val="006F52E3"/>
    <w:rsid w:val="007035EF"/>
    <w:rsid w:val="00710E1C"/>
    <w:rsid w:val="007131FC"/>
    <w:rsid w:val="0072028D"/>
    <w:rsid w:val="0072354E"/>
    <w:rsid w:val="00727F89"/>
    <w:rsid w:val="00731414"/>
    <w:rsid w:val="0074028F"/>
    <w:rsid w:val="00740327"/>
    <w:rsid w:val="00741D68"/>
    <w:rsid w:val="00742944"/>
    <w:rsid w:val="00751EC8"/>
    <w:rsid w:val="007535D7"/>
    <w:rsid w:val="007608F6"/>
    <w:rsid w:val="00764CB0"/>
    <w:rsid w:val="0076521D"/>
    <w:rsid w:val="00765A8B"/>
    <w:rsid w:val="00766BA0"/>
    <w:rsid w:val="0076762F"/>
    <w:rsid w:val="00771E6E"/>
    <w:rsid w:val="00777BFB"/>
    <w:rsid w:val="00780B50"/>
    <w:rsid w:val="00783FD9"/>
    <w:rsid w:val="00784EA5"/>
    <w:rsid w:val="00787D82"/>
    <w:rsid w:val="00792A3A"/>
    <w:rsid w:val="00794765"/>
    <w:rsid w:val="00796116"/>
    <w:rsid w:val="007977FC"/>
    <w:rsid w:val="007A361D"/>
    <w:rsid w:val="007A3BF0"/>
    <w:rsid w:val="007A3E14"/>
    <w:rsid w:val="007A5150"/>
    <w:rsid w:val="007B1ACC"/>
    <w:rsid w:val="007B5F16"/>
    <w:rsid w:val="007B7884"/>
    <w:rsid w:val="007C171C"/>
    <w:rsid w:val="007C2DC3"/>
    <w:rsid w:val="007C59E0"/>
    <w:rsid w:val="007C76AB"/>
    <w:rsid w:val="007D2F99"/>
    <w:rsid w:val="007D74A3"/>
    <w:rsid w:val="007E3073"/>
    <w:rsid w:val="007E30C0"/>
    <w:rsid w:val="007E6897"/>
    <w:rsid w:val="007F05C0"/>
    <w:rsid w:val="007F35B4"/>
    <w:rsid w:val="0080170D"/>
    <w:rsid w:val="00810741"/>
    <w:rsid w:val="00812484"/>
    <w:rsid w:val="0081424E"/>
    <w:rsid w:val="00815073"/>
    <w:rsid w:val="0081584F"/>
    <w:rsid w:val="0081601E"/>
    <w:rsid w:val="00817046"/>
    <w:rsid w:val="008202B5"/>
    <w:rsid w:val="008221B9"/>
    <w:rsid w:val="00824734"/>
    <w:rsid w:val="00824B72"/>
    <w:rsid w:val="00826481"/>
    <w:rsid w:val="0083061F"/>
    <w:rsid w:val="00831456"/>
    <w:rsid w:val="00831EEF"/>
    <w:rsid w:val="00841EFA"/>
    <w:rsid w:val="0084585B"/>
    <w:rsid w:val="008467F5"/>
    <w:rsid w:val="00846AA5"/>
    <w:rsid w:val="00852F19"/>
    <w:rsid w:val="00854AEA"/>
    <w:rsid w:val="00860251"/>
    <w:rsid w:val="00872621"/>
    <w:rsid w:val="00872EE8"/>
    <w:rsid w:val="008734E4"/>
    <w:rsid w:val="008764F9"/>
    <w:rsid w:val="00876DBB"/>
    <w:rsid w:val="008815C1"/>
    <w:rsid w:val="00882107"/>
    <w:rsid w:val="0088709F"/>
    <w:rsid w:val="00891181"/>
    <w:rsid w:val="0089202D"/>
    <w:rsid w:val="00892365"/>
    <w:rsid w:val="008A09AF"/>
    <w:rsid w:val="008A116C"/>
    <w:rsid w:val="008A5941"/>
    <w:rsid w:val="008B1DB8"/>
    <w:rsid w:val="008B237B"/>
    <w:rsid w:val="008B285A"/>
    <w:rsid w:val="008B2F9F"/>
    <w:rsid w:val="008B3E4C"/>
    <w:rsid w:val="008B49EC"/>
    <w:rsid w:val="008C1BB7"/>
    <w:rsid w:val="008C1DBA"/>
    <w:rsid w:val="008C3354"/>
    <w:rsid w:val="008C4E76"/>
    <w:rsid w:val="008E1712"/>
    <w:rsid w:val="008E23A9"/>
    <w:rsid w:val="008F008F"/>
    <w:rsid w:val="008F2BC6"/>
    <w:rsid w:val="008F3AC9"/>
    <w:rsid w:val="008F613B"/>
    <w:rsid w:val="008F66AE"/>
    <w:rsid w:val="0090546B"/>
    <w:rsid w:val="00905983"/>
    <w:rsid w:val="00907EA0"/>
    <w:rsid w:val="00910214"/>
    <w:rsid w:val="00911A4A"/>
    <w:rsid w:val="0091201A"/>
    <w:rsid w:val="00915885"/>
    <w:rsid w:val="009163E0"/>
    <w:rsid w:val="009178F0"/>
    <w:rsid w:val="009219F4"/>
    <w:rsid w:val="00921EA7"/>
    <w:rsid w:val="00925D1D"/>
    <w:rsid w:val="00926F0D"/>
    <w:rsid w:val="00930315"/>
    <w:rsid w:val="00930696"/>
    <w:rsid w:val="00932507"/>
    <w:rsid w:val="00936738"/>
    <w:rsid w:val="009368C8"/>
    <w:rsid w:val="00940258"/>
    <w:rsid w:val="00941A8A"/>
    <w:rsid w:val="00944525"/>
    <w:rsid w:val="009635BD"/>
    <w:rsid w:val="0096407A"/>
    <w:rsid w:val="00964CE9"/>
    <w:rsid w:val="0097236B"/>
    <w:rsid w:val="00973C16"/>
    <w:rsid w:val="00973FDA"/>
    <w:rsid w:val="00977629"/>
    <w:rsid w:val="00980326"/>
    <w:rsid w:val="00981399"/>
    <w:rsid w:val="0098594F"/>
    <w:rsid w:val="009860F2"/>
    <w:rsid w:val="00987E99"/>
    <w:rsid w:val="00991C9E"/>
    <w:rsid w:val="00992180"/>
    <w:rsid w:val="00996459"/>
    <w:rsid w:val="009A23C4"/>
    <w:rsid w:val="009A3428"/>
    <w:rsid w:val="009B0967"/>
    <w:rsid w:val="009B10DD"/>
    <w:rsid w:val="009B1D5A"/>
    <w:rsid w:val="009B3B03"/>
    <w:rsid w:val="009B60C0"/>
    <w:rsid w:val="009C071C"/>
    <w:rsid w:val="009C62F4"/>
    <w:rsid w:val="009D34A0"/>
    <w:rsid w:val="009E13F6"/>
    <w:rsid w:val="009E2935"/>
    <w:rsid w:val="009E49CD"/>
    <w:rsid w:val="009F2121"/>
    <w:rsid w:val="009F2FAE"/>
    <w:rsid w:val="009F3277"/>
    <w:rsid w:val="009F39A5"/>
    <w:rsid w:val="009F40FA"/>
    <w:rsid w:val="009F4B05"/>
    <w:rsid w:val="009F6711"/>
    <w:rsid w:val="009F7109"/>
    <w:rsid w:val="00A03F63"/>
    <w:rsid w:val="00A04400"/>
    <w:rsid w:val="00A05837"/>
    <w:rsid w:val="00A10489"/>
    <w:rsid w:val="00A1061D"/>
    <w:rsid w:val="00A11ED2"/>
    <w:rsid w:val="00A12031"/>
    <w:rsid w:val="00A15D0E"/>
    <w:rsid w:val="00A22E3A"/>
    <w:rsid w:val="00A23E51"/>
    <w:rsid w:val="00A27238"/>
    <w:rsid w:val="00A53A0C"/>
    <w:rsid w:val="00A548D8"/>
    <w:rsid w:val="00A54EB7"/>
    <w:rsid w:val="00A55FFD"/>
    <w:rsid w:val="00A565AB"/>
    <w:rsid w:val="00A5738D"/>
    <w:rsid w:val="00A6125D"/>
    <w:rsid w:val="00A63E01"/>
    <w:rsid w:val="00A6657E"/>
    <w:rsid w:val="00A707A5"/>
    <w:rsid w:val="00A713D3"/>
    <w:rsid w:val="00A71893"/>
    <w:rsid w:val="00A7425A"/>
    <w:rsid w:val="00A76BE2"/>
    <w:rsid w:val="00A771A6"/>
    <w:rsid w:val="00A823F8"/>
    <w:rsid w:val="00A84EFA"/>
    <w:rsid w:val="00A865B3"/>
    <w:rsid w:val="00A87E36"/>
    <w:rsid w:val="00A90888"/>
    <w:rsid w:val="00A91DB4"/>
    <w:rsid w:val="00A926B5"/>
    <w:rsid w:val="00A93219"/>
    <w:rsid w:val="00A94006"/>
    <w:rsid w:val="00A955DA"/>
    <w:rsid w:val="00A9601C"/>
    <w:rsid w:val="00AA01B3"/>
    <w:rsid w:val="00AA1BE3"/>
    <w:rsid w:val="00AB1335"/>
    <w:rsid w:val="00AB1AC1"/>
    <w:rsid w:val="00AB2839"/>
    <w:rsid w:val="00AB335D"/>
    <w:rsid w:val="00AB409C"/>
    <w:rsid w:val="00AB5007"/>
    <w:rsid w:val="00AC382C"/>
    <w:rsid w:val="00AC388C"/>
    <w:rsid w:val="00AC5EB0"/>
    <w:rsid w:val="00AC6E32"/>
    <w:rsid w:val="00AD148C"/>
    <w:rsid w:val="00AD330C"/>
    <w:rsid w:val="00AD615F"/>
    <w:rsid w:val="00AE049E"/>
    <w:rsid w:val="00AE0618"/>
    <w:rsid w:val="00AE53E2"/>
    <w:rsid w:val="00AE5F80"/>
    <w:rsid w:val="00AF0049"/>
    <w:rsid w:val="00AF1580"/>
    <w:rsid w:val="00AF656B"/>
    <w:rsid w:val="00AF799D"/>
    <w:rsid w:val="00B002E3"/>
    <w:rsid w:val="00B011E3"/>
    <w:rsid w:val="00B02F84"/>
    <w:rsid w:val="00B04AA3"/>
    <w:rsid w:val="00B06595"/>
    <w:rsid w:val="00B11662"/>
    <w:rsid w:val="00B11F6E"/>
    <w:rsid w:val="00B128C5"/>
    <w:rsid w:val="00B13162"/>
    <w:rsid w:val="00B14EEF"/>
    <w:rsid w:val="00B15559"/>
    <w:rsid w:val="00B21755"/>
    <w:rsid w:val="00B261E9"/>
    <w:rsid w:val="00B317F6"/>
    <w:rsid w:val="00B32637"/>
    <w:rsid w:val="00B34BAE"/>
    <w:rsid w:val="00B36A7F"/>
    <w:rsid w:val="00B37B77"/>
    <w:rsid w:val="00B455A1"/>
    <w:rsid w:val="00B52200"/>
    <w:rsid w:val="00B524B6"/>
    <w:rsid w:val="00B5554E"/>
    <w:rsid w:val="00B55DA5"/>
    <w:rsid w:val="00B8105A"/>
    <w:rsid w:val="00B818E1"/>
    <w:rsid w:val="00B82920"/>
    <w:rsid w:val="00B82F99"/>
    <w:rsid w:val="00B83601"/>
    <w:rsid w:val="00B84432"/>
    <w:rsid w:val="00B86810"/>
    <w:rsid w:val="00B8772A"/>
    <w:rsid w:val="00B90035"/>
    <w:rsid w:val="00B96009"/>
    <w:rsid w:val="00BA4DC9"/>
    <w:rsid w:val="00BA58FF"/>
    <w:rsid w:val="00BB3117"/>
    <w:rsid w:val="00BB3190"/>
    <w:rsid w:val="00BB70E0"/>
    <w:rsid w:val="00BC0E88"/>
    <w:rsid w:val="00BC1A56"/>
    <w:rsid w:val="00BE005F"/>
    <w:rsid w:val="00BE17BC"/>
    <w:rsid w:val="00BE4A64"/>
    <w:rsid w:val="00BE532A"/>
    <w:rsid w:val="00BF45CB"/>
    <w:rsid w:val="00BF5812"/>
    <w:rsid w:val="00BF612F"/>
    <w:rsid w:val="00BF73F1"/>
    <w:rsid w:val="00C00679"/>
    <w:rsid w:val="00C03C1E"/>
    <w:rsid w:val="00C045ED"/>
    <w:rsid w:val="00C0751C"/>
    <w:rsid w:val="00C10004"/>
    <w:rsid w:val="00C10931"/>
    <w:rsid w:val="00C11113"/>
    <w:rsid w:val="00C1183B"/>
    <w:rsid w:val="00C11A99"/>
    <w:rsid w:val="00C128AA"/>
    <w:rsid w:val="00C1385B"/>
    <w:rsid w:val="00C147A7"/>
    <w:rsid w:val="00C1528F"/>
    <w:rsid w:val="00C162D6"/>
    <w:rsid w:val="00C16E01"/>
    <w:rsid w:val="00C20D29"/>
    <w:rsid w:val="00C41389"/>
    <w:rsid w:val="00C41B7F"/>
    <w:rsid w:val="00C4494F"/>
    <w:rsid w:val="00C51FC9"/>
    <w:rsid w:val="00C531EE"/>
    <w:rsid w:val="00C5430C"/>
    <w:rsid w:val="00C551AC"/>
    <w:rsid w:val="00C60F30"/>
    <w:rsid w:val="00C62005"/>
    <w:rsid w:val="00C63595"/>
    <w:rsid w:val="00C642AC"/>
    <w:rsid w:val="00C77943"/>
    <w:rsid w:val="00C81E67"/>
    <w:rsid w:val="00C85E1C"/>
    <w:rsid w:val="00C86D23"/>
    <w:rsid w:val="00C87096"/>
    <w:rsid w:val="00C92717"/>
    <w:rsid w:val="00C96EC7"/>
    <w:rsid w:val="00CA4A46"/>
    <w:rsid w:val="00CA5C27"/>
    <w:rsid w:val="00CB0BA4"/>
    <w:rsid w:val="00CB0C87"/>
    <w:rsid w:val="00CB3F63"/>
    <w:rsid w:val="00CB4AFC"/>
    <w:rsid w:val="00CB5133"/>
    <w:rsid w:val="00CC5CD6"/>
    <w:rsid w:val="00CC61AB"/>
    <w:rsid w:val="00CC7152"/>
    <w:rsid w:val="00CC7FDA"/>
    <w:rsid w:val="00CE0683"/>
    <w:rsid w:val="00CE249A"/>
    <w:rsid w:val="00CE394F"/>
    <w:rsid w:val="00CF47CD"/>
    <w:rsid w:val="00CF4FAD"/>
    <w:rsid w:val="00CF6A42"/>
    <w:rsid w:val="00D01229"/>
    <w:rsid w:val="00D01B2F"/>
    <w:rsid w:val="00D03AFD"/>
    <w:rsid w:val="00D03C7D"/>
    <w:rsid w:val="00D03F6D"/>
    <w:rsid w:val="00D04DD6"/>
    <w:rsid w:val="00D06F9F"/>
    <w:rsid w:val="00D11CF6"/>
    <w:rsid w:val="00D15F60"/>
    <w:rsid w:val="00D164F6"/>
    <w:rsid w:val="00D221A4"/>
    <w:rsid w:val="00D25620"/>
    <w:rsid w:val="00D32EFC"/>
    <w:rsid w:val="00D42AB1"/>
    <w:rsid w:val="00D467BC"/>
    <w:rsid w:val="00D47D5F"/>
    <w:rsid w:val="00D51FB4"/>
    <w:rsid w:val="00D528B3"/>
    <w:rsid w:val="00D54F39"/>
    <w:rsid w:val="00D63884"/>
    <w:rsid w:val="00D668C5"/>
    <w:rsid w:val="00D715DA"/>
    <w:rsid w:val="00D71958"/>
    <w:rsid w:val="00D71982"/>
    <w:rsid w:val="00D71A59"/>
    <w:rsid w:val="00D72D65"/>
    <w:rsid w:val="00D73D6B"/>
    <w:rsid w:val="00D73DCA"/>
    <w:rsid w:val="00D74554"/>
    <w:rsid w:val="00D77462"/>
    <w:rsid w:val="00D84E21"/>
    <w:rsid w:val="00D8679F"/>
    <w:rsid w:val="00D90F36"/>
    <w:rsid w:val="00D92DD1"/>
    <w:rsid w:val="00DA26A4"/>
    <w:rsid w:val="00DA49E3"/>
    <w:rsid w:val="00DA563F"/>
    <w:rsid w:val="00DB2555"/>
    <w:rsid w:val="00DC0A69"/>
    <w:rsid w:val="00DC355F"/>
    <w:rsid w:val="00DC65E9"/>
    <w:rsid w:val="00DC780B"/>
    <w:rsid w:val="00DD464B"/>
    <w:rsid w:val="00DD6DE8"/>
    <w:rsid w:val="00DE2524"/>
    <w:rsid w:val="00DE2C5A"/>
    <w:rsid w:val="00DE48DC"/>
    <w:rsid w:val="00DE5B8F"/>
    <w:rsid w:val="00DE6788"/>
    <w:rsid w:val="00DE7118"/>
    <w:rsid w:val="00DF3BA3"/>
    <w:rsid w:val="00E015EB"/>
    <w:rsid w:val="00E01A31"/>
    <w:rsid w:val="00E02511"/>
    <w:rsid w:val="00E03F8D"/>
    <w:rsid w:val="00E06966"/>
    <w:rsid w:val="00E072F2"/>
    <w:rsid w:val="00E07CF8"/>
    <w:rsid w:val="00E20851"/>
    <w:rsid w:val="00E21149"/>
    <w:rsid w:val="00E250C9"/>
    <w:rsid w:val="00E272F8"/>
    <w:rsid w:val="00E40373"/>
    <w:rsid w:val="00E4059D"/>
    <w:rsid w:val="00E42D90"/>
    <w:rsid w:val="00E4423D"/>
    <w:rsid w:val="00E45172"/>
    <w:rsid w:val="00E478D8"/>
    <w:rsid w:val="00E60219"/>
    <w:rsid w:val="00E605FB"/>
    <w:rsid w:val="00E60A7D"/>
    <w:rsid w:val="00E60BFF"/>
    <w:rsid w:val="00E619A4"/>
    <w:rsid w:val="00E74D4F"/>
    <w:rsid w:val="00E7655E"/>
    <w:rsid w:val="00E8543F"/>
    <w:rsid w:val="00E9343A"/>
    <w:rsid w:val="00E95177"/>
    <w:rsid w:val="00E96B68"/>
    <w:rsid w:val="00E96D6A"/>
    <w:rsid w:val="00E972C9"/>
    <w:rsid w:val="00EA24CD"/>
    <w:rsid w:val="00EA4A13"/>
    <w:rsid w:val="00EA4F92"/>
    <w:rsid w:val="00EB1B3C"/>
    <w:rsid w:val="00EB1DA2"/>
    <w:rsid w:val="00EB48E6"/>
    <w:rsid w:val="00EB772C"/>
    <w:rsid w:val="00EB7C76"/>
    <w:rsid w:val="00EC0C7D"/>
    <w:rsid w:val="00EC1A7E"/>
    <w:rsid w:val="00EC2D1C"/>
    <w:rsid w:val="00EC317C"/>
    <w:rsid w:val="00EC4F7B"/>
    <w:rsid w:val="00ED00D2"/>
    <w:rsid w:val="00ED0FCB"/>
    <w:rsid w:val="00ED1D83"/>
    <w:rsid w:val="00ED1F31"/>
    <w:rsid w:val="00ED541F"/>
    <w:rsid w:val="00ED5672"/>
    <w:rsid w:val="00ED606D"/>
    <w:rsid w:val="00EE0997"/>
    <w:rsid w:val="00EE4942"/>
    <w:rsid w:val="00EF3245"/>
    <w:rsid w:val="00EF7449"/>
    <w:rsid w:val="00EF776D"/>
    <w:rsid w:val="00EF7B9B"/>
    <w:rsid w:val="00F00CDF"/>
    <w:rsid w:val="00F01DAC"/>
    <w:rsid w:val="00F020B7"/>
    <w:rsid w:val="00F021D2"/>
    <w:rsid w:val="00F04F32"/>
    <w:rsid w:val="00F055FB"/>
    <w:rsid w:val="00F11C98"/>
    <w:rsid w:val="00F13155"/>
    <w:rsid w:val="00F14FD8"/>
    <w:rsid w:val="00F1567F"/>
    <w:rsid w:val="00F16810"/>
    <w:rsid w:val="00F20467"/>
    <w:rsid w:val="00F25832"/>
    <w:rsid w:val="00F32F3B"/>
    <w:rsid w:val="00F32FE0"/>
    <w:rsid w:val="00F33779"/>
    <w:rsid w:val="00F363EF"/>
    <w:rsid w:val="00F36F9C"/>
    <w:rsid w:val="00F4794E"/>
    <w:rsid w:val="00F51263"/>
    <w:rsid w:val="00F528AA"/>
    <w:rsid w:val="00F566DF"/>
    <w:rsid w:val="00F56742"/>
    <w:rsid w:val="00F60192"/>
    <w:rsid w:val="00F61A6E"/>
    <w:rsid w:val="00F655EE"/>
    <w:rsid w:val="00F665A2"/>
    <w:rsid w:val="00F74063"/>
    <w:rsid w:val="00F75ACC"/>
    <w:rsid w:val="00F811A6"/>
    <w:rsid w:val="00F8361E"/>
    <w:rsid w:val="00F8374A"/>
    <w:rsid w:val="00F855BE"/>
    <w:rsid w:val="00F92E46"/>
    <w:rsid w:val="00F93464"/>
    <w:rsid w:val="00F94B6D"/>
    <w:rsid w:val="00FA5515"/>
    <w:rsid w:val="00FA67F2"/>
    <w:rsid w:val="00FB0CF9"/>
    <w:rsid w:val="00FB0EFE"/>
    <w:rsid w:val="00FB4EE3"/>
    <w:rsid w:val="00FC6D1F"/>
    <w:rsid w:val="00FD25A6"/>
    <w:rsid w:val="00FD3025"/>
    <w:rsid w:val="00FD39F7"/>
    <w:rsid w:val="00FD76DB"/>
    <w:rsid w:val="00FE0710"/>
    <w:rsid w:val="00FE1D82"/>
    <w:rsid w:val="00FE23C7"/>
    <w:rsid w:val="00FE2D88"/>
    <w:rsid w:val="00FE75B6"/>
    <w:rsid w:val="00FF3F91"/>
    <w:rsid w:val="00FF6B6E"/>
    <w:rsid w:val="00FF7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25FD4"/>
  <w14:defaultImageDpi w14:val="300"/>
  <w15:docId w15:val="{5F2594E8-AFBC-DE4A-8D9E-C06B6A33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772C"/>
    <w:pPr>
      <w:spacing w:line="360" w:lineRule="auto"/>
    </w:pPr>
  </w:style>
  <w:style w:type="paragraph" w:styleId="Heading1">
    <w:name w:val="heading 1"/>
    <w:basedOn w:val="Normal"/>
    <w:link w:val="Heading1Char"/>
    <w:uiPriority w:val="9"/>
    <w:qFormat/>
    <w:rsid w:val="00F74063"/>
    <w:pPr>
      <w:outlineLvl w:val="0"/>
    </w:pPr>
    <w:rPr>
      <w:rFonts w:cs="Times New Roman"/>
      <w:b/>
      <w:lang w:val="it-IT"/>
    </w:rPr>
  </w:style>
  <w:style w:type="paragraph" w:styleId="Heading2">
    <w:name w:val="heading 2"/>
    <w:basedOn w:val="Normal"/>
    <w:next w:val="Normal"/>
    <w:link w:val="Heading2Char"/>
    <w:uiPriority w:val="9"/>
    <w:unhideWhenUsed/>
    <w:qFormat/>
    <w:rsid w:val="00276A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Subchapter"/>
    <w:next w:val="Normal"/>
    <w:link w:val="Heading3Char"/>
    <w:uiPriority w:val="9"/>
    <w:unhideWhenUsed/>
    <w:qFormat/>
    <w:rsid w:val="00094F64"/>
    <w:pPr>
      <w:outlineLvl w:val="2"/>
    </w:pPr>
  </w:style>
  <w:style w:type="paragraph" w:styleId="Heading4">
    <w:name w:val="heading 4"/>
    <w:basedOn w:val="Normal"/>
    <w:next w:val="Normal"/>
    <w:link w:val="Heading4Char"/>
    <w:uiPriority w:val="9"/>
    <w:unhideWhenUsed/>
    <w:qFormat/>
    <w:rsid w:val="001840E8"/>
    <w:pPr>
      <w:keepNext/>
      <w:keepLines/>
      <w:spacing w:before="40" w:line="240" w:lineRule="auto"/>
      <w:outlineLvl w:val="3"/>
    </w:pPr>
    <w:rPr>
      <w:rFonts w:asciiTheme="majorHAnsi" w:eastAsiaTheme="majorEastAsia" w:hAnsiTheme="majorHAnsi" w:cstheme="majorBidi"/>
      <w:i/>
      <w:iCs/>
      <w:color w:val="365F91" w:themeColor="accent1" w:themeShade="BF"/>
      <w:lang w:val="en-GB"/>
    </w:rPr>
  </w:style>
  <w:style w:type="paragraph" w:styleId="Heading5">
    <w:name w:val="heading 5"/>
    <w:basedOn w:val="Subchapter"/>
    <w:next w:val="Normal"/>
    <w:link w:val="Heading5Char"/>
    <w:uiPriority w:val="9"/>
    <w:unhideWhenUsed/>
    <w:qFormat/>
    <w:rsid w:val="00094F64"/>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063"/>
    <w:rPr>
      <w:rFonts w:cs="Times New Roman"/>
      <w:b/>
      <w:lang w:val="it-IT"/>
    </w:rPr>
  </w:style>
  <w:style w:type="paragraph" w:styleId="FootnoteText">
    <w:name w:val="footnote text"/>
    <w:basedOn w:val="Normal"/>
    <w:link w:val="FootnoteTextChar"/>
    <w:uiPriority w:val="99"/>
    <w:unhideWhenUsed/>
    <w:qFormat/>
    <w:rsid w:val="001840E8"/>
    <w:pPr>
      <w:spacing w:line="240" w:lineRule="auto"/>
    </w:pPr>
    <w:rPr>
      <w:sz w:val="18"/>
      <w:lang w:val="en-GB"/>
    </w:rPr>
  </w:style>
  <w:style w:type="character" w:customStyle="1" w:styleId="FootnoteTextChar">
    <w:name w:val="Footnote Text Char"/>
    <w:basedOn w:val="DefaultParagraphFont"/>
    <w:link w:val="FootnoteText"/>
    <w:uiPriority w:val="99"/>
    <w:rsid w:val="001840E8"/>
    <w:rPr>
      <w:sz w:val="18"/>
      <w:lang w:val="en-GB"/>
    </w:rPr>
  </w:style>
  <w:style w:type="character" w:styleId="FootnoteReference">
    <w:name w:val="footnote reference"/>
    <w:basedOn w:val="DefaultParagraphFont"/>
    <w:uiPriority w:val="99"/>
    <w:unhideWhenUsed/>
    <w:rsid w:val="00F60192"/>
    <w:rPr>
      <w:vertAlign w:val="superscript"/>
    </w:rPr>
  </w:style>
  <w:style w:type="character" w:styleId="CommentReference">
    <w:name w:val="annotation reference"/>
    <w:basedOn w:val="DefaultParagraphFont"/>
    <w:uiPriority w:val="99"/>
    <w:semiHidden/>
    <w:unhideWhenUsed/>
    <w:rsid w:val="00F60192"/>
    <w:rPr>
      <w:sz w:val="18"/>
      <w:szCs w:val="18"/>
    </w:rPr>
  </w:style>
  <w:style w:type="paragraph" w:styleId="CommentText">
    <w:name w:val="annotation text"/>
    <w:basedOn w:val="Normal"/>
    <w:link w:val="CommentTextChar"/>
    <w:uiPriority w:val="99"/>
    <w:unhideWhenUsed/>
    <w:rsid w:val="00F60192"/>
  </w:style>
  <w:style w:type="character" w:customStyle="1" w:styleId="CommentTextChar">
    <w:name w:val="Comment Text Char"/>
    <w:basedOn w:val="DefaultParagraphFont"/>
    <w:link w:val="CommentText"/>
    <w:uiPriority w:val="99"/>
    <w:rsid w:val="00F60192"/>
  </w:style>
  <w:style w:type="character" w:customStyle="1" w:styleId="a-size-large">
    <w:name w:val="a-size-large"/>
    <w:basedOn w:val="DefaultParagraphFont"/>
    <w:rsid w:val="00F60192"/>
  </w:style>
  <w:style w:type="paragraph" w:styleId="BalloonText">
    <w:name w:val="Balloon Text"/>
    <w:basedOn w:val="Normal"/>
    <w:link w:val="BalloonTextChar"/>
    <w:uiPriority w:val="99"/>
    <w:semiHidden/>
    <w:unhideWhenUsed/>
    <w:rsid w:val="00F601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19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F66AE"/>
    <w:rPr>
      <w:b/>
      <w:bCs/>
      <w:sz w:val="20"/>
      <w:szCs w:val="20"/>
    </w:rPr>
  </w:style>
  <w:style w:type="character" w:customStyle="1" w:styleId="CommentSubjectChar">
    <w:name w:val="Comment Subject Char"/>
    <w:basedOn w:val="CommentTextChar"/>
    <w:link w:val="CommentSubject"/>
    <w:uiPriority w:val="99"/>
    <w:semiHidden/>
    <w:rsid w:val="008F66AE"/>
    <w:rPr>
      <w:b/>
      <w:bCs/>
      <w:sz w:val="20"/>
      <w:szCs w:val="20"/>
    </w:rPr>
  </w:style>
  <w:style w:type="character" w:customStyle="1" w:styleId="Heading2Char">
    <w:name w:val="Heading 2 Char"/>
    <w:basedOn w:val="DefaultParagraphFont"/>
    <w:link w:val="Heading2"/>
    <w:uiPriority w:val="9"/>
    <w:rsid w:val="00276A38"/>
    <w:rPr>
      <w:rFonts w:asciiTheme="majorHAnsi" w:eastAsiaTheme="majorEastAsia" w:hAnsiTheme="majorHAnsi" w:cstheme="majorBidi"/>
      <w:color w:val="365F91" w:themeColor="accent1" w:themeShade="BF"/>
      <w:sz w:val="26"/>
      <w:szCs w:val="26"/>
    </w:rPr>
  </w:style>
  <w:style w:type="paragraph" w:customStyle="1" w:styleId="post-meta">
    <w:name w:val="post-meta"/>
    <w:basedOn w:val="Normal"/>
    <w:rsid w:val="00276A38"/>
    <w:pPr>
      <w:spacing w:before="100" w:beforeAutospacing="1" w:after="100" w:afterAutospacing="1"/>
    </w:pPr>
    <w:rPr>
      <w:rFonts w:eastAsia="Times New Roman" w:cs="Times New Roman"/>
      <w:lang w:val="en-GB" w:eastAsia="en-GB"/>
    </w:rPr>
  </w:style>
  <w:style w:type="character" w:customStyle="1" w:styleId="apple-converted-space">
    <w:name w:val="apple-converted-space"/>
    <w:basedOn w:val="DefaultParagraphFont"/>
    <w:rsid w:val="00276A38"/>
  </w:style>
  <w:style w:type="character" w:customStyle="1" w:styleId="Date1">
    <w:name w:val="Date1"/>
    <w:basedOn w:val="DefaultParagraphFont"/>
    <w:rsid w:val="00276A38"/>
  </w:style>
  <w:style w:type="character" w:customStyle="1" w:styleId="vcardauthor">
    <w:name w:val="vcard_author"/>
    <w:basedOn w:val="DefaultParagraphFont"/>
    <w:rsid w:val="00276A38"/>
  </w:style>
  <w:style w:type="character" w:styleId="Hyperlink">
    <w:name w:val="Hyperlink"/>
    <w:basedOn w:val="DefaultParagraphFont"/>
    <w:uiPriority w:val="99"/>
    <w:unhideWhenUsed/>
    <w:rsid w:val="00276A38"/>
    <w:rPr>
      <w:color w:val="0000FF"/>
      <w:u w:val="single"/>
    </w:rPr>
  </w:style>
  <w:style w:type="paragraph" w:styleId="NormalWeb">
    <w:name w:val="Normal (Web)"/>
    <w:basedOn w:val="Normal"/>
    <w:uiPriority w:val="99"/>
    <w:unhideWhenUsed/>
    <w:rsid w:val="00276A38"/>
    <w:pPr>
      <w:spacing w:before="100" w:beforeAutospacing="1" w:after="100" w:afterAutospacing="1"/>
    </w:pPr>
    <w:rPr>
      <w:rFonts w:eastAsia="Times New Roman" w:cs="Times New Roman"/>
      <w:lang w:val="en-GB" w:eastAsia="en-GB"/>
    </w:rPr>
  </w:style>
  <w:style w:type="character" w:customStyle="1" w:styleId="d-inline-block">
    <w:name w:val="d-inline-block"/>
    <w:basedOn w:val="DefaultParagraphFont"/>
    <w:rsid w:val="00276A38"/>
  </w:style>
  <w:style w:type="character" w:styleId="Strong">
    <w:name w:val="Strong"/>
    <w:basedOn w:val="DefaultParagraphFont"/>
    <w:uiPriority w:val="22"/>
    <w:qFormat/>
    <w:rsid w:val="00276A38"/>
    <w:rPr>
      <w:b/>
      <w:bCs/>
    </w:rPr>
  </w:style>
  <w:style w:type="character" w:customStyle="1" w:styleId="checklistheadercount">
    <w:name w:val="checklist__header__count"/>
    <w:basedOn w:val="DefaultParagraphFont"/>
    <w:rsid w:val="00276A38"/>
  </w:style>
  <w:style w:type="character" w:customStyle="1" w:styleId="count-checked">
    <w:name w:val="count-checked"/>
    <w:basedOn w:val="DefaultParagraphFont"/>
    <w:rsid w:val="00276A38"/>
  </w:style>
  <w:style w:type="character" w:customStyle="1" w:styleId="count-total">
    <w:name w:val="count-total"/>
    <w:basedOn w:val="DefaultParagraphFont"/>
    <w:rsid w:val="00276A38"/>
  </w:style>
  <w:style w:type="character" w:styleId="FollowedHyperlink">
    <w:name w:val="FollowedHyperlink"/>
    <w:basedOn w:val="DefaultParagraphFont"/>
    <w:uiPriority w:val="99"/>
    <w:semiHidden/>
    <w:unhideWhenUsed/>
    <w:rsid w:val="00276A38"/>
    <w:rPr>
      <w:color w:val="800080" w:themeColor="followedHyperlink"/>
      <w:u w:val="single"/>
    </w:rPr>
  </w:style>
  <w:style w:type="paragraph" w:styleId="ListParagraph">
    <w:name w:val="List Paragraph"/>
    <w:basedOn w:val="Normal"/>
    <w:uiPriority w:val="34"/>
    <w:qFormat/>
    <w:rsid w:val="00915885"/>
    <w:pPr>
      <w:ind w:left="720"/>
      <w:contextualSpacing/>
    </w:pPr>
  </w:style>
  <w:style w:type="character" w:customStyle="1" w:styleId="fn">
    <w:name w:val="fn"/>
    <w:basedOn w:val="DefaultParagraphFont"/>
    <w:rsid w:val="00D467BC"/>
  </w:style>
  <w:style w:type="character" w:customStyle="1" w:styleId="Subtitle1">
    <w:name w:val="Subtitle1"/>
    <w:basedOn w:val="DefaultParagraphFont"/>
    <w:rsid w:val="00D467BC"/>
  </w:style>
  <w:style w:type="character" w:customStyle="1" w:styleId="adjust">
    <w:name w:val="adjust"/>
    <w:basedOn w:val="DefaultParagraphFont"/>
    <w:rsid w:val="00465872"/>
  </w:style>
  <w:style w:type="character" w:customStyle="1" w:styleId="a-size-medium">
    <w:name w:val="a-size-medium"/>
    <w:basedOn w:val="DefaultParagraphFont"/>
    <w:rsid w:val="00465872"/>
  </w:style>
  <w:style w:type="character" w:customStyle="1" w:styleId="a-declarative">
    <w:name w:val="a-declarative"/>
    <w:basedOn w:val="DefaultParagraphFont"/>
    <w:rsid w:val="00465872"/>
  </w:style>
  <w:style w:type="character" w:customStyle="1" w:styleId="details-biblio-hidden-view-list">
    <w:name w:val="details-biblio-hidden-view-list"/>
    <w:basedOn w:val="DefaultParagraphFont"/>
    <w:rsid w:val="00465872"/>
  </w:style>
  <w:style w:type="paragraph" w:customStyle="1" w:styleId="Footnote">
    <w:name w:val="Footnote"/>
    <w:basedOn w:val="FootnoteText"/>
    <w:qFormat/>
    <w:rsid w:val="00CF47CD"/>
    <w:rPr>
      <w:rFonts w:asciiTheme="majorBidi" w:eastAsia="Times New Roman" w:hAnsiTheme="majorBidi" w:cstheme="majorBidi"/>
      <w:szCs w:val="18"/>
    </w:rPr>
  </w:style>
  <w:style w:type="paragraph" w:styleId="Revision">
    <w:name w:val="Revision"/>
    <w:hidden/>
    <w:uiPriority w:val="99"/>
    <w:semiHidden/>
    <w:rsid w:val="00F61A6E"/>
  </w:style>
  <w:style w:type="character" w:styleId="EndnoteReference">
    <w:name w:val="endnote reference"/>
    <w:basedOn w:val="DefaultParagraphFont"/>
    <w:uiPriority w:val="99"/>
    <w:unhideWhenUsed/>
    <w:rsid w:val="005849E4"/>
    <w:rPr>
      <w:vertAlign w:val="superscript"/>
    </w:rPr>
  </w:style>
  <w:style w:type="paragraph" w:styleId="NoSpacing">
    <w:name w:val="No Spacing"/>
    <w:aliases w:val="Chapter"/>
    <w:uiPriority w:val="1"/>
    <w:qFormat/>
    <w:rsid w:val="005C33B3"/>
    <w:pPr>
      <w:outlineLvl w:val="0"/>
    </w:pPr>
    <w:rPr>
      <w:rFonts w:cs="Times New Roman"/>
      <w:lang w:val="en-GB" w:eastAsia="en-GB"/>
    </w:rPr>
  </w:style>
  <w:style w:type="paragraph" w:styleId="Quote">
    <w:name w:val="Quote"/>
    <w:basedOn w:val="Normal"/>
    <w:next w:val="Normal"/>
    <w:link w:val="QuoteChar"/>
    <w:uiPriority w:val="29"/>
    <w:qFormat/>
    <w:rsid w:val="0064772C"/>
    <w:pPr>
      <w:spacing w:line="240" w:lineRule="auto"/>
      <w:ind w:left="2835"/>
    </w:pPr>
    <w:rPr>
      <w:rFonts w:cs="Times New Roman"/>
      <w:lang w:val="en-GB"/>
    </w:rPr>
  </w:style>
  <w:style w:type="character" w:customStyle="1" w:styleId="QuoteChar">
    <w:name w:val="Quote Char"/>
    <w:basedOn w:val="DefaultParagraphFont"/>
    <w:link w:val="Quote"/>
    <w:uiPriority w:val="29"/>
    <w:rsid w:val="0064772C"/>
    <w:rPr>
      <w:rFonts w:cs="Times New Roman"/>
      <w:lang w:val="en-GB"/>
    </w:rPr>
  </w:style>
  <w:style w:type="character" w:customStyle="1" w:styleId="Heading3Char">
    <w:name w:val="Heading 3 Char"/>
    <w:basedOn w:val="DefaultParagraphFont"/>
    <w:link w:val="Heading3"/>
    <w:uiPriority w:val="9"/>
    <w:rsid w:val="00094F64"/>
    <w:rPr>
      <w:rFonts w:cs="Times New Roman"/>
      <w:i/>
      <w:lang w:val="en-GB" w:eastAsia="en-GB"/>
    </w:rPr>
  </w:style>
  <w:style w:type="character" w:customStyle="1" w:styleId="Heading4Char">
    <w:name w:val="Heading 4 Char"/>
    <w:basedOn w:val="DefaultParagraphFont"/>
    <w:link w:val="Heading4"/>
    <w:uiPriority w:val="9"/>
    <w:rsid w:val="001840E8"/>
    <w:rPr>
      <w:rFonts w:asciiTheme="majorHAnsi" w:eastAsiaTheme="majorEastAsia" w:hAnsiTheme="majorHAnsi" w:cstheme="majorBidi"/>
      <w:i/>
      <w:iCs/>
      <w:color w:val="365F91" w:themeColor="accent1" w:themeShade="BF"/>
      <w:lang w:val="en-GB"/>
    </w:rPr>
  </w:style>
  <w:style w:type="paragraph" w:customStyle="1" w:styleId="DateStyleRightFormatted">
    <w:name w:val="DateStyleRightFormatted"/>
    <w:basedOn w:val="Normal"/>
    <w:autoRedefine/>
    <w:qFormat/>
    <w:rsid w:val="001840E8"/>
    <w:pPr>
      <w:tabs>
        <w:tab w:val="right" w:pos="9923"/>
      </w:tabs>
      <w:spacing w:line="240" w:lineRule="auto"/>
      <w:jc w:val="both"/>
    </w:pPr>
    <w:rPr>
      <w:rFonts w:eastAsia="Times New Roman" w:cs="Times New Roman"/>
      <w:lang w:val="en-GB" w:eastAsia="it-IT"/>
    </w:rPr>
  </w:style>
  <w:style w:type="paragraph" w:styleId="Footer">
    <w:name w:val="footer"/>
    <w:basedOn w:val="Normal"/>
    <w:link w:val="FooterChar"/>
    <w:uiPriority w:val="99"/>
    <w:unhideWhenUsed/>
    <w:rsid w:val="001840E8"/>
    <w:pPr>
      <w:tabs>
        <w:tab w:val="center" w:pos="4320"/>
        <w:tab w:val="right" w:pos="8640"/>
      </w:tabs>
      <w:spacing w:line="240" w:lineRule="auto"/>
    </w:pPr>
    <w:rPr>
      <w:rFonts w:cs="Times New Roman"/>
      <w:lang w:val="en-GB" w:eastAsia="en-GB"/>
    </w:rPr>
  </w:style>
  <w:style w:type="character" w:customStyle="1" w:styleId="FooterChar">
    <w:name w:val="Footer Char"/>
    <w:basedOn w:val="DefaultParagraphFont"/>
    <w:link w:val="Footer"/>
    <w:uiPriority w:val="99"/>
    <w:rsid w:val="001840E8"/>
    <w:rPr>
      <w:rFonts w:cs="Times New Roman"/>
      <w:lang w:val="en-GB" w:eastAsia="en-GB"/>
    </w:rPr>
  </w:style>
  <w:style w:type="character" w:styleId="PageNumber">
    <w:name w:val="page number"/>
    <w:basedOn w:val="DefaultParagraphFont"/>
    <w:uiPriority w:val="99"/>
    <w:semiHidden/>
    <w:unhideWhenUsed/>
    <w:rsid w:val="001840E8"/>
  </w:style>
  <w:style w:type="paragraph" w:styleId="Header">
    <w:name w:val="header"/>
    <w:basedOn w:val="Normal"/>
    <w:link w:val="HeaderChar"/>
    <w:uiPriority w:val="99"/>
    <w:unhideWhenUsed/>
    <w:rsid w:val="001840E8"/>
    <w:pPr>
      <w:tabs>
        <w:tab w:val="center" w:pos="4320"/>
        <w:tab w:val="right" w:pos="8640"/>
      </w:tabs>
      <w:spacing w:line="240" w:lineRule="auto"/>
    </w:pPr>
    <w:rPr>
      <w:rFonts w:cs="Times New Roman"/>
      <w:lang w:val="en-GB" w:eastAsia="en-GB"/>
    </w:rPr>
  </w:style>
  <w:style w:type="character" w:customStyle="1" w:styleId="HeaderChar">
    <w:name w:val="Header Char"/>
    <w:basedOn w:val="DefaultParagraphFont"/>
    <w:link w:val="Header"/>
    <w:uiPriority w:val="99"/>
    <w:rsid w:val="001840E8"/>
    <w:rPr>
      <w:rFonts w:cs="Times New Roman"/>
      <w:lang w:val="en-GB" w:eastAsia="en-GB"/>
    </w:rPr>
  </w:style>
  <w:style w:type="character" w:customStyle="1" w:styleId="exldetailsdisplayval">
    <w:name w:val="exldetailsdisplayval"/>
    <w:basedOn w:val="DefaultParagraphFont"/>
    <w:rsid w:val="001840E8"/>
  </w:style>
  <w:style w:type="character" w:styleId="Emphasis">
    <w:name w:val="Emphasis"/>
    <w:basedOn w:val="DefaultParagraphFont"/>
    <w:uiPriority w:val="20"/>
    <w:qFormat/>
    <w:rsid w:val="001840E8"/>
    <w:rPr>
      <w:i/>
      <w:iCs/>
    </w:rPr>
  </w:style>
  <w:style w:type="paragraph" w:styleId="HTMLPreformatted">
    <w:name w:val="HTML Preformatted"/>
    <w:basedOn w:val="Normal"/>
    <w:link w:val="HTMLPreformattedChar"/>
    <w:uiPriority w:val="99"/>
    <w:semiHidden/>
    <w:unhideWhenUsed/>
    <w:rsid w:val="001840E8"/>
    <w:pPr>
      <w:spacing w:line="240" w:lineRule="auto"/>
    </w:pPr>
    <w:rPr>
      <w:rFonts w:ascii="Courier" w:eastAsia="Times New Roman" w:hAnsi="Courier" w:cs="Times New Roman"/>
      <w:sz w:val="20"/>
      <w:szCs w:val="20"/>
      <w:lang w:val="en-GB"/>
    </w:rPr>
  </w:style>
  <w:style w:type="character" w:customStyle="1" w:styleId="HTMLPreformattedChar">
    <w:name w:val="HTML Preformatted Char"/>
    <w:basedOn w:val="DefaultParagraphFont"/>
    <w:link w:val="HTMLPreformatted"/>
    <w:uiPriority w:val="99"/>
    <w:semiHidden/>
    <w:rsid w:val="001840E8"/>
    <w:rPr>
      <w:rFonts w:ascii="Courier" w:eastAsia="Times New Roman" w:hAnsi="Courier" w:cs="Times New Roman"/>
      <w:sz w:val="20"/>
      <w:szCs w:val="20"/>
      <w:lang w:val="en-GB"/>
    </w:rPr>
  </w:style>
  <w:style w:type="paragraph" w:styleId="DocumentMap">
    <w:name w:val="Document Map"/>
    <w:basedOn w:val="Normal"/>
    <w:link w:val="DocumentMapChar"/>
    <w:uiPriority w:val="99"/>
    <w:semiHidden/>
    <w:unhideWhenUsed/>
    <w:rsid w:val="001840E8"/>
    <w:pPr>
      <w:spacing w:line="240" w:lineRule="auto"/>
    </w:pPr>
    <w:rPr>
      <w:rFonts w:eastAsia="Times New Roman" w:cs="Times New Roman"/>
      <w:lang w:val="en-GB"/>
    </w:rPr>
  </w:style>
  <w:style w:type="character" w:customStyle="1" w:styleId="DocumentMapChar">
    <w:name w:val="Document Map Char"/>
    <w:basedOn w:val="DefaultParagraphFont"/>
    <w:link w:val="DocumentMap"/>
    <w:uiPriority w:val="99"/>
    <w:semiHidden/>
    <w:rsid w:val="001840E8"/>
    <w:rPr>
      <w:rFonts w:eastAsia="Times New Roman" w:cs="Times New Roman"/>
      <w:lang w:val="en-GB"/>
    </w:rPr>
  </w:style>
  <w:style w:type="paragraph" w:customStyle="1" w:styleId="Subchapter">
    <w:name w:val="Sub chapter"/>
    <w:basedOn w:val="Normal"/>
    <w:qFormat/>
    <w:rsid w:val="001840E8"/>
    <w:pPr>
      <w:spacing w:line="240" w:lineRule="auto"/>
      <w:outlineLvl w:val="1"/>
    </w:pPr>
    <w:rPr>
      <w:rFonts w:cs="Times New Roman"/>
      <w:i/>
      <w:lang w:val="en-GB" w:eastAsia="en-GB"/>
    </w:rPr>
  </w:style>
  <w:style w:type="paragraph" w:styleId="EndnoteText">
    <w:name w:val="endnote text"/>
    <w:basedOn w:val="Normal"/>
    <w:link w:val="EndnoteTextChar"/>
    <w:uiPriority w:val="99"/>
    <w:unhideWhenUsed/>
    <w:rsid w:val="001840E8"/>
    <w:pPr>
      <w:spacing w:line="240" w:lineRule="auto"/>
    </w:pPr>
    <w:rPr>
      <w:rFonts w:asciiTheme="minorHAnsi" w:eastAsiaTheme="minorHAnsi" w:hAnsiTheme="minorHAnsi" w:cs="Times New Roman"/>
      <w:sz w:val="20"/>
      <w:szCs w:val="20"/>
      <w:lang w:val="en-GB"/>
    </w:rPr>
  </w:style>
  <w:style w:type="character" w:customStyle="1" w:styleId="EndnoteTextChar">
    <w:name w:val="Endnote Text Char"/>
    <w:basedOn w:val="DefaultParagraphFont"/>
    <w:link w:val="EndnoteText"/>
    <w:uiPriority w:val="99"/>
    <w:rsid w:val="001840E8"/>
    <w:rPr>
      <w:rFonts w:asciiTheme="minorHAnsi" w:eastAsiaTheme="minorHAnsi" w:hAnsiTheme="minorHAnsi" w:cs="Times New Roman"/>
      <w:sz w:val="20"/>
      <w:szCs w:val="20"/>
      <w:lang w:val="en-GB"/>
    </w:rPr>
  </w:style>
  <w:style w:type="paragraph" w:styleId="TOCHeading">
    <w:name w:val="TOC Heading"/>
    <w:basedOn w:val="Heading1"/>
    <w:next w:val="Normal"/>
    <w:uiPriority w:val="39"/>
    <w:unhideWhenUsed/>
    <w:qFormat/>
    <w:rsid w:val="001840E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1840E8"/>
    <w:pPr>
      <w:tabs>
        <w:tab w:val="right" w:leader="dot" w:pos="8290"/>
      </w:tabs>
      <w:spacing w:after="100" w:line="240" w:lineRule="auto"/>
    </w:pPr>
    <w:rPr>
      <w:rFonts w:cs="Times New Roman"/>
      <w:lang w:val="en-GB" w:eastAsia="en-GB"/>
    </w:rPr>
  </w:style>
  <w:style w:type="paragraph" w:styleId="TOC2">
    <w:name w:val="toc 2"/>
    <w:basedOn w:val="Normal"/>
    <w:next w:val="Normal"/>
    <w:autoRedefine/>
    <w:uiPriority w:val="39"/>
    <w:unhideWhenUsed/>
    <w:rsid w:val="001840E8"/>
    <w:pPr>
      <w:spacing w:after="100" w:line="240" w:lineRule="auto"/>
      <w:ind w:left="240"/>
    </w:pPr>
    <w:rPr>
      <w:rFonts w:cs="Times New Roman"/>
      <w:lang w:val="en-GB" w:eastAsia="en-GB"/>
    </w:rPr>
  </w:style>
  <w:style w:type="character" w:customStyle="1" w:styleId="UnresolvedMention1">
    <w:name w:val="Unresolved Mention1"/>
    <w:basedOn w:val="DefaultParagraphFont"/>
    <w:uiPriority w:val="99"/>
    <w:rsid w:val="001840E8"/>
    <w:rPr>
      <w:color w:val="808080"/>
      <w:shd w:val="clear" w:color="auto" w:fill="E6E6E6"/>
    </w:rPr>
  </w:style>
  <w:style w:type="character" w:styleId="UnresolvedMention">
    <w:name w:val="Unresolved Mention"/>
    <w:basedOn w:val="DefaultParagraphFont"/>
    <w:uiPriority w:val="99"/>
    <w:semiHidden/>
    <w:unhideWhenUsed/>
    <w:rsid w:val="001840E8"/>
    <w:rPr>
      <w:color w:val="605E5C"/>
      <w:shd w:val="clear" w:color="auto" w:fill="E1DFDD"/>
    </w:rPr>
  </w:style>
  <w:style w:type="paragraph" w:styleId="Bibliography">
    <w:name w:val="Bibliography"/>
    <w:basedOn w:val="Normal"/>
    <w:next w:val="Normal"/>
    <w:uiPriority w:val="37"/>
    <w:unhideWhenUsed/>
    <w:rsid w:val="001840E8"/>
    <w:pPr>
      <w:spacing w:line="240" w:lineRule="auto"/>
      <w:ind w:left="720" w:hanging="720"/>
    </w:pPr>
    <w:rPr>
      <w:rFonts w:eastAsia="Times New Roman" w:cs="Times New Roman"/>
      <w:lang w:val="en-GB"/>
    </w:rPr>
  </w:style>
  <w:style w:type="paragraph" w:styleId="IntenseQuote">
    <w:name w:val="Intense Quote"/>
    <w:basedOn w:val="Normal"/>
    <w:next w:val="Normal"/>
    <w:link w:val="IntenseQuoteChar"/>
    <w:uiPriority w:val="30"/>
    <w:qFormat/>
    <w:rsid w:val="001840E8"/>
    <w:pPr>
      <w:spacing w:line="240" w:lineRule="auto"/>
      <w:ind w:left="720"/>
    </w:pPr>
  </w:style>
  <w:style w:type="character" w:customStyle="1" w:styleId="IntenseQuoteChar">
    <w:name w:val="Intense Quote Char"/>
    <w:basedOn w:val="DefaultParagraphFont"/>
    <w:link w:val="IntenseQuote"/>
    <w:uiPriority w:val="30"/>
    <w:rsid w:val="001840E8"/>
  </w:style>
  <w:style w:type="character" w:customStyle="1" w:styleId="text">
    <w:name w:val="text"/>
    <w:basedOn w:val="DefaultParagraphFont"/>
    <w:rsid w:val="008A116C"/>
  </w:style>
  <w:style w:type="paragraph" w:customStyle="1" w:styleId="gb-buy-options-link">
    <w:name w:val="gb-buy-options-link"/>
    <w:basedOn w:val="Normal"/>
    <w:rsid w:val="008A116C"/>
    <w:pPr>
      <w:spacing w:before="100" w:beforeAutospacing="1" w:after="100" w:afterAutospacing="1" w:line="240" w:lineRule="auto"/>
    </w:pPr>
    <w:rPr>
      <w:rFonts w:eastAsia="Times New Roman" w:cs="Times New Roman"/>
      <w:lang w:val="en-GB"/>
    </w:rPr>
  </w:style>
  <w:style w:type="character" w:customStyle="1" w:styleId="gb-buy-options-arrow">
    <w:name w:val="gb-buy-options-arrow"/>
    <w:basedOn w:val="DefaultParagraphFont"/>
    <w:rsid w:val="008A116C"/>
  </w:style>
  <w:style w:type="character" w:customStyle="1" w:styleId="a-color-secondary">
    <w:name w:val="a-color-secondary"/>
    <w:basedOn w:val="DefaultParagraphFont"/>
    <w:rsid w:val="008A116C"/>
  </w:style>
  <w:style w:type="paragraph" w:customStyle="1" w:styleId="details-cover">
    <w:name w:val="details-cover"/>
    <w:basedOn w:val="Normal"/>
    <w:rsid w:val="008A116C"/>
    <w:pPr>
      <w:spacing w:before="100" w:beforeAutospacing="1" w:after="100" w:afterAutospacing="1" w:line="240" w:lineRule="auto"/>
    </w:pPr>
    <w:rPr>
      <w:rFonts w:eastAsia="Times New Roman" w:cs="Times New Roman"/>
      <w:lang w:val="en-GB"/>
    </w:rPr>
  </w:style>
  <w:style w:type="character" w:customStyle="1" w:styleId="searchword">
    <w:name w:val="searchword"/>
    <w:basedOn w:val="DefaultParagraphFont"/>
    <w:rsid w:val="008A116C"/>
  </w:style>
  <w:style w:type="paragraph" w:styleId="TOC3">
    <w:name w:val="toc 3"/>
    <w:basedOn w:val="Normal"/>
    <w:next w:val="Normal"/>
    <w:autoRedefine/>
    <w:uiPriority w:val="39"/>
    <w:unhideWhenUsed/>
    <w:rsid w:val="008A116C"/>
    <w:pPr>
      <w:spacing w:after="100" w:line="240" w:lineRule="auto"/>
      <w:ind w:left="480"/>
    </w:pPr>
    <w:rPr>
      <w:rFonts w:eastAsia="Times New Roman" w:cs="Times New Roman"/>
      <w:lang w:val="en-GB"/>
    </w:rPr>
  </w:style>
  <w:style w:type="character" w:customStyle="1" w:styleId="UnresolvedMention2">
    <w:name w:val="Unresolved Mention2"/>
    <w:basedOn w:val="DefaultParagraphFont"/>
    <w:uiPriority w:val="99"/>
    <w:semiHidden/>
    <w:unhideWhenUsed/>
    <w:rsid w:val="008A116C"/>
    <w:rPr>
      <w:color w:val="605E5C"/>
      <w:shd w:val="clear" w:color="auto" w:fill="E1DFDD"/>
    </w:rPr>
  </w:style>
  <w:style w:type="character" w:customStyle="1" w:styleId="indent-1-breaks">
    <w:name w:val="indent-1-breaks"/>
    <w:basedOn w:val="DefaultParagraphFont"/>
    <w:rsid w:val="008A116C"/>
  </w:style>
  <w:style w:type="character" w:customStyle="1" w:styleId="name">
    <w:name w:val="name"/>
    <w:basedOn w:val="DefaultParagraphFont"/>
    <w:rsid w:val="00094F64"/>
  </w:style>
  <w:style w:type="paragraph" w:styleId="TOC4">
    <w:name w:val="toc 4"/>
    <w:basedOn w:val="Normal"/>
    <w:next w:val="Normal"/>
    <w:autoRedefine/>
    <w:uiPriority w:val="39"/>
    <w:unhideWhenUsed/>
    <w:rsid w:val="00094F64"/>
    <w:pPr>
      <w:spacing w:line="240" w:lineRule="auto"/>
      <w:ind w:left="720"/>
    </w:pPr>
    <w:rPr>
      <w:rFonts w:asciiTheme="minorHAnsi" w:eastAsia="Times New Roman" w:hAnsiTheme="minorHAnsi" w:cs="Times New Roman"/>
      <w:sz w:val="20"/>
      <w:szCs w:val="20"/>
      <w:lang w:val="en-GB"/>
    </w:rPr>
  </w:style>
  <w:style w:type="paragraph" w:styleId="TOC5">
    <w:name w:val="toc 5"/>
    <w:basedOn w:val="Normal"/>
    <w:next w:val="Normal"/>
    <w:autoRedefine/>
    <w:uiPriority w:val="39"/>
    <w:unhideWhenUsed/>
    <w:rsid w:val="00094F64"/>
    <w:pPr>
      <w:spacing w:line="240" w:lineRule="auto"/>
      <w:ind w:left="960"/>
    </w:pPr>
    <w:rPr>
      <w:rFonts w:asciiTheme="minorHAnsi" w:eastAsia="Times New Roman" w:hAnsiTheme="minorHAnsi" w:cs="Times New Roman"/>
      <w:sz w:val="20"/>
      <w:szCs w:val="20"/>
      <w:lang w:val="en-GB"/>
    </w:rPr>
  </w:style>
  <w:style w:type="paragraph" w:styleId="TOC6">
    <w:name w:val="toc 6"/>
    <w:basedOn w:val="Normal"/>
    <w:next w:val="Normal"/>
    <w:autoRedefine/>
    <w:uiPriority w:val="39"/>
    <w:unhideWhenUsed/>
    <w:rsid w:val="00094F64"/>
    <w:pPr>
      <w:spacing w:line="240" w:lineRule="auto"/>
      <w:ind w:left="1200"/>
    </w:pPr>
    <w:rPr>
      <w:rFonts w:asciiTheme="minorHAnsi" w:eastAsia="Times New Roman" w:hAnsiTheme="minorHAnsi" w:cs="Times New Roman"/>
      <w:sz w:val="20"/>
      <w:szCs w:val="20"/>
      <w:lang w:val="en-GB"/>
    </w:rPr>
  </w:style>
  <w:style w:type="paragraph" w:styleId="TOC7">
    <w:name w:val="toc 7"/>
    <w:basedOn w:val="Normal"/>
    <w:next w:val="Normal"/>
    <w:autoRedefine/>
    <w:uiPriority w:val="39"/>
    <w:unhideWhenUsed/>
    <w:rsid w:val="00094F64"/>
    <w:pPr>
      <w:spacing w:line="240" w:lineRule="auto"/>
      <w:ind w:left="1440"/>
    </w:pPr>
    <w:rPr>
      <w:rFonts w:asciiTheme="minorHAnsi" w:eastAsia="Times New Roman" w:hAnsiTheme="minorHAnsi" w:cs="Times New Roman"/>
      <w:sz w:val="20"/>
      <w:szCs w:val="20"/>
      <w:lang w:val="en-GB"/>
    </w:rPr>
  </w:style>
  <w:style w:type="paragraph" w:styleId="TOC8">
    <w:name w:val="toc 8"/>
    <w:basedOn w:val="Normal"/>
    <w:next w:val="Normal"/>
    <w:autoRedefine/>
    <w:uiPriority w:val="39"/>
    <w:unhideWhenUsed/>
    <w:rsid w:val="00094F64"/>
    <w:pPr>
      <w:spacing w:line="240" w:lineRule="auto"/>
      <w:ind w:left="1680"/>
    </w:pPr>
    <w:rPr>
      <w:rFonts w:asciiTheme="minorHAnsi" w:eastAsia="Times New Roman" w:hAnsiTheme="minorHAnsi" w:cs="Times New Roman"/>
      <w:sz w:val="20"/>
      <w:szCs w:val="20"/>
      <w:lang w:val="en-GB"/>
    </w:rPr>
  </w:style>
  <w:style w:type="paragraph" w:styleId="TOC9">
    <w:name w:val="toc 9"/>
    <w:basedOn w:val="Normal"/>
    <w:next w:val="Normal"/>
    <w:autoRedefine/>
    <w:uiPriority w:val="39"/>
    <w:unhideWhenUsed/>
    <w:rsid w:val="00094F64"/>
    <w:pPr>
      <w:spacing w:line="240" w:lineRule="auto"/>
      <w:ind w:left="1920"/>
    </w:pPr>
    <w:rPr>
      <w:rFonts w:asciiTheme="minorHAnsi" w:eastAsia="Times New Roman" w:hAnsiTheme="minorHAnsi" w:cs="Times New Roman"/>
      <w:sz w:val="20"/>
      <w:szCs w:val="20"/>
      <w:lang w:val="en-GB"/>
    </w:rPr>
  </w:style>
  <w:style w:type="character" w:customStyle="1" w:styleId="briefcittitle">
    <w:name w:val="briefcittitle"/>
    <w:basedOn w:val="DefaultParagraphFont"/>
    <w:rsid w:val="00094F64"/>
  </w:style>
  <w:style w:type="paragraph" w:styleId="Caption">
    <w:name w:val="caption"/>
    <w:basedOn w:val="Normal"/>
    <w:next w:val="Normal"/>
    <w:uiPriority w:val="35"/>
    <w:unhideWhenUsed/>
    <w:qFormat/>
    <w:rsid w:val="00094F64"/>
    <w:pPr>
      <w:spacing w:after="200" w:line="240" w:lineRule="auto"/>
    </w:pPr>
    <w:rPr>
      <w:rFonts w:eastAsia="Times New Roman" w:cs="Times New Roman"/>
      <w:i/>
      <w:iCs/>
      <w:color w:val="1F497D" w:themeColor="text2"/>
      <w:sz w:val="18"/>
      <w:szCs w:val="18"/>
      <w:lang w:val="en-GB"/>
    </w:rPr>
  </w:style>
  <w:style w:type="character" w:customStyle="1" w:styleId="personname">
    <w:name w:val="person_name"/>
    <w:basedOn w:val="DefaultParagraphFont"/>
    <w:rsid w:val="00094F64"/>
  </w:style>
  <w:style w:type="character" w:customStyle="1" w:styleId="Heading5Char">
    <w:name w:val="Heading 5 Char"/>
    <w:basedOn w:val="DefaultParagraphFont"/>
    <w:link w:val="Heading5"/>
    <w:uiPriority w:val="9"/>
    <w:rsid w:val="00094F64"/>
    <w:rPr>
      <w:rFonts w:cs="Times New Roman"/>
      <w:i/>
      <w:lang w:val="en-GB" w:eastAsia="en-GB"/>
    </w:rPr>
  </w:style>
  <w:style w:type="paragraph" w:customStyle="1" w:styleId="sub-title">
    <w:name w:val="sub-title"/>
    <w:basedOn w:val="Normal"/>
    <w:rsid w:val="00310CB2"/>
    <w:pPr>
      <w:spacing w:before="100" w:beforeAutospacing="1" w:after="100" w:afterAutospacing="1" w:line="240" w:lineRule="auto"/>
    </w:pPr>
    <w:rPr>
      <w:rFonts w:eastAsia="Times New Roman" w:cs="Times New Roman"/>
      <w:lang w:val="en-GB"/>
    </w:rPr>
  </w:style>
  <w:style w:type="paragraph" w:customStyle="1" w:styleId="artworktombstone--row">
    <w:name w:val="artwork__tombstone--row"/>
    <w:basedOn w:val="Normal"/>
    <w:rsid w:val="00310CB2"/>
    <w:pPr>
      <w:spacing w:before="100" w:beforeAutospacing="1" w:after="100" w:afterAutospacing="1" w:line="240" w:lineRule="auto"/>
    </w:pPr>
    <w:rPr>
      <w:rFonts w:eastAsia="Times New Roman" w:cs="Times New Roman"/>
      <w:lang w:val="en-GB"/>
    </w:rPr>
  </w:style>
  <w:style w:type="character" w:customStyle="1" w:styleId="artworktombstone--value">
    <w:name w:val="artwork__tombstone--value"/>
    <w:basedOn w:val="DefaultParagraphFont"/>
    <w:rsid w:val="00310CB2"/>
  </w:style>
  <w:style w:type="character" w:customStyle="1" w:styleId="artworktombstone--label">
    <w:name w:val="artwork__tombstone--label"/>
    <w:basedOn w:val="DefaultParagraphFont"/>
    <w:rsid w:val="00310CB2"/>
  </w:style>
  <w:style w:type="character" w:customStyle="1" w:styleId="gd">
    <w:name w:val="gd"/>
    <w:basedOn w:val="DefaultParagraphFont"/>
    <w:rsid w:val="00E015EB"/>
  </w:style>
  <w:style w:type="character" w:customStyle="1" w:styleId="go">
    <w:name w:val="go"/>
    <w:basedOn w:val="DefaultParagraphFont"/>
    <w:rsid w:val="00E015EB"/>
  </w:style>
  <w:style w:type="character" w:customStyle="1" w:styleId="g3">
    <w:name w:val="g3"/>
    <w:basedOn w:val="DefaultParagraphFont"/>
    <w:rsid w:val="00E015EB"/>
  </w:style>
  <w:style w:type="character" w:customStyle="1" w:styleId="hb">
    <w:name w:val="hb"/>
    <w:basedOn w:val="DefaultParagraphFont"/>
    <w:rsid w:val="00E015EB"/>
  </w:style>
  <w:style w:type="character" w:customStyle="1" w:styleId="g2">
    <w:name w:val="g2"/>
    <w:basedOn w:val="DefaultParagraphFont"/>
    <w:rsid w:val="00E0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0327">
      <w:bodyDiv w:val="1"/>
      <w:marLeft w:val="0"/>
      <w:marRight w:val="0"/>
      <w:marTop w:val="0"/>
      <w:marBottom w:val="0"/>
      <w:divBdr>
        <w:top w:val="none" w:sz="0" w:space="0" w:color="auto"/>
        <w:left w:val="none" w:sz="0" w:space="0" w:color="auto"/>
        <w:bottom w:val="none" w:sz="0" w:space="0" w:color="auto"/>
        <w:right w:val="none" w:sz="0" w:space="0" w:color="auto"/>
      </w:divBdr>
    </w:div>
    <w:div w:id="43608258">
      <w:bodyDiv w:val="1"/>
      <w:marLeft w:val="0"/>
      <w:marRight w:val="0"/>
      <w:marTop w:val="0"/>
      <w:marBottom w:val="0"/>
      <w:divBdr>
        <w:top w:val="none" w:sz="0" w:space="0" w:color="auto"/>
        <w:left w:val="none" w:sz="0" w:space="0" w:color="auto"/>
        <w:bottom w:val="none" w:sz="0" w:space="0" w:color="auto"/>
        <w:right w:val="none" w:sz="0" w:space="0" w:color="auto"/>
      </w:divBdr>
    </w:div>
    <w:div w:id="249656687">
      <w:bodyDiv w:val="1"/>
      <w:marLeft w:val="0"/>
      <w:marRight w:val="0"/>
      <w:marTop w:val="0"/>
      <w:marBottom w:val="0"/>
      <w:divBdr>
        <w:top w:val="none" w:sz="0" w:space="0" w:color="auto"/>
        <w:left w:val="none" w:sz="0" w:space="0" w:color="auto"/>
        <w:bottom w:val="none" w:sz="0" w:space="0" w:color="auto"/>
        <w:right w:val="none" w:sz="0" w:space="0" w:color="auto"/>
      </w:divBdr>
      <w:divsChild>
        <w:div w:id="2095004656">
          <w:marLeft w:val="0"/>
          <w:marRight w:val="0"/>
          <w:marTop w:val="0"/>
          <w:marBottom w:val="0"/>
          <w:divBdr>
            <w:top w:val="none" w:sz="0" w:space="0" w:color="auto"/>
            <w:left w:val="none" w:sz="0" w:space="0" w:color="auto"/>
            <w:bottom w:val="none" w:sz="0" w:space="0" w:color="auto"/>
            <w:right w:val="none" w:sz="0" w:space="0" w:color="auto"/>
          </w:divBdr>
          <w:divsChild>
            <w:div w:id="1147674402">
              <w:marLeft w:val="0"/>
              <w:marRight w:val="0"/>
              <w:marTop w:val="0"/>
              <w:marBottom w:val="0"/>
              <w:divBdr>
                <w:top w:val="none" w:sz="0" w:space="0" w:color="auto"/>
                <w:left w:val="none" w:sz="0" w:space="0" w:color="auto"/>
                <w:bottom w:val="none" w:sz="0" w:space="0" w:color="auto"/>
                <w:right w:val="none" w:sz="0" w:space="0" w:color="auto"/>
              </w:divBdr>
              <w:divsChild>
                <w:div w:id="682975900">
                  <w:marLeft w:val="0"/>
                  <w:marRight w:val="0"/>
                  <w:marTop w:val="0"/>
                  <w:marBottom w:val="0"/>
                  <w:divBdr>
                    <w:top w:val="none" w:sz="0" w:space="0" w:color="auto"/>
                    <w:left w:val="none" w:sz="0" w:space="0" w:color="auto"/>
                    <w:bottom w:val="none" w:sz="0" w:space="0" w:color="auto"/>
                    <w:right w:val="none" w:sz="0" w:space="0" w:color="auto"/>
                  </w:divBdr>
                  <w:divsChild>
                    <w:div w:id="1201821943">
                      <w:marLeft w:val="0"/>
                      <w:marRight w:val="0"/>
                      <w:marTop w:val="0"/>
                      <w:marBottom w:val="0"/>
                      <w:divBdr>
                        <w:top w:val="none" w:sz="0" w:space="0" w:color="auto"/>
                        <w:left w:val="none" w:sz="0" w:space="0" w:color="auto"/>
                        <w:bottom w:val="none" w:sz="0" w:space="0" w:color="auto"/>
                        <w:right w:val="none" w:sz="0" w:space="0" w:color="auto"/>
                      </w:divBdr>
                    </w:div>
                  </w:divsChild>
                </w:div>
                <w:div w:id="1674644129">
                  <w:marLeft w:val="0"/>
                  <w:marRight w:val="0"/>
                  <w:marTop w:val="0"/>
                  <w:marBottom w:val="0"/>
                  <w:divBdr>
                    <w:top w:val="none" w:sz="0" w:space="0" w:color="auto"/>
                    <w:left w:val="none" w:sz="0" w:space="0" w:color="auto"/>
                    <w:bottom w:val="none" w:sz="0" w:space="0" w:color="auto"/>
                    <w:right w:val="none" w:sz="0" w:space="0" w:color="auto"/>
                  </w:divBdr>
                  <w:divsChild>
                    <w:div w:id="6633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9479">
      <w:bodyDiv w:val="1"/>
      <w:marLeft w:val="0"/>
      <w:marRight w:val="0"/>
      <w:marTop w:val="0"/>
      <w:marBottom w:val="0"/>
      <w:divBdr>
        <w:top w:val="none" w:sz="0" w:space="0" w:color="auto"/>
        <w:left w:val="none" w:sz="0" w:space="0" w:color="auto"/>
        <w:bottom w:val="none" w:sz="0" w:space="0" w:color="auto"/>
        <w:right w:val="none" w:sz="0" w:space="0" w:color="auto"/>
      </w:divBdr>
      <w:divsChild>
        <w:div w:id="2086881399">
          <w:marLeft w:val="1275"/>
          <w:marRight w:val="1350"/>
          <w:marTop w:val="0"/>
          <w:marBottom w:val="0"/>
          <w:divBdr>
            <w:top w:val="none" w:sz="0" w:space="0" w:color="auto"/>
            <w:left w:val="none" w:sz="0" w:space="0" w:color="auto"/>
            <w:bottom w:val="none" w:sz="0" w:space="0" w:color="auto"/>
            <w:right w:val="none" w:sz="0" w:space="0" w:color="auto"/>
          </w:divBdr>
        </w:div>
      </w:divsChild>
    </w:div>
    <w:div w:id="518470188">
      <w:bodyDiv w:val="1"/>
      <w:marLeft w:val="0"/>
      <w:marRight w:val="0"/>
      <w:marTop w:val="0"/>
      <w:marBottom w:val="0"/>
      <w:divBdr>
        <w:top w:val="none" w:sz="0" w:space="0" w:color="auto"/>
        <w:left w:val="none" w:sz="0" w:space="0" w:color="auto"/>
        <w:bottom w:val="none" w:sz="0" w:space="0" w:color="auto"/>
        <w:right w:val="none" w:sz="0" w:space="0" w:color="auto"/>
      </w:divBdr>
      <w:divsChild>
        <w:div w:id="599339452">
          <w:marLeft w:val="0"/>
          <w:marRight w:val="0"/>
          <w:marTop w:val="0"/>
          <w:marBottom w:val="0"/>
          <w:divBdr>
            <w:top w:val="none" w:sz="0" w:space="0" w:color="auto"/>
            <w:left w:val="none" w:sz="0" w:space="0" w:color="auto"/>
            <w:bottom w:val="none" w:sz="0" w:space="0" w:color="auto"/>
            <w:right w:val="none" w:sz="0" w:space="0" w:color="auto"/>
          </w:divBdr>
          <w:divsChild>
            <w:div w:id="726951117">
              <w:marLeft w:val="0"/>
              <w:marRight w:val="0"/>
              <w:marTop w:val="0"/>
              <w:marBottom w:val="0"/>
              <w:divBdr>
                <w:top w:val="none" w:sz="0" w:space="0" w:color="auto"/>
                <w:left w:val="none" w:sz="0" w:space="0" w:color="auto"/>
                <w:bottom w:val="none" w:sz="0" w:space="0" w:color="auto"/>
                <w:right w:val="none" w:sz="0" w:space="0" w:color="auto"/>
              </w:divBdr>
              <w:divsChild>
                <w:div w:id="39282029">
                  <w:marLeft w:val="0"/>
                  <w:marRight w:val="0"/>
                  <w:marTop w:val="0"/>
                  <w:marBottom w:val="0"/>
                  <w:divBdr>
                    <w:top w:val="none" w:sz="0" w:space="0" w:color="auto"/>
                    <w:left w:val="none" w:sz="0" w:space="0" w:color="auto"/>
                    <w:bottom w:val="none" w:sz="0" w:space="0" w:color="auto"/>
                    <w:right w:val="none" w:sz="0" w:space="0" w:color="auto"/>
                  </w:divBdr>
                  <w:divsChild>
                    <w:div w:id="6718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29032">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2">
          <w:marLeft w:val="0"/>
          <w:marRight w:val="0"/>
          <w:marTop w:val="0"/>
          <w:marBottom w:val="0"/>
          <w:divBdr>
            <w:top w:val="none" w:sz="0" w:space="0" w:color="auto"/>
            <w:left w:val="none" w:sz="0" w:space="0" w:color="auto"/>
            <w:bottom w:val="none" w:sz="0" w:space="0" w:color="auto"/>
            <w:right w:val="none" w:sz="0" w:space="0" w:color="auto"/>
          </w:divBdr>
          <w:divsChild>
            <w:div w:id="623780088">
              <w:marLeft w:val="0"/>
              <w:marRight w:val="0"/>
              <w:marTop w:val="0"/>
              <w:marBottom w:val="0"/>
              <w:divBdr>
                <w:top w:val="none" w:sz="0" w:space="0" w:color="auto"/>
                <w:left w:val="none" w:sz="0" w:space="0" w:color="auto"/>
                <w:bottom w:val="none" w:sz="0" w:space="0" w:color="auto"/>
                <w:right w:val="none" w:sz="0" w:space="0" w:color="auto"/>
              </w:divBdr>
              <w:divsChild>
                <w:div w:id="12339089">
                  <w:marLeft w:val="0"/>
                  <w:marRight w:val="0"/>
                  <w:marTop w:val="0"/>
                  <w:marBottom w:val="0"/>
                  <w:divBdr>
                    <w:top w:val="none" w:sz="0" w:space="0" w:color="auto"/>
                    <w:left w:val="none" w:sz="0" w:space="0" w:color="auto"/>
                    <w:bottom w:val="none" w:sz="0" w:space="0" w:color="auto"/>
                    <w:right w:val="none" w:sz="0" w:space="0" w:color="auto"/>
                  </w:divBdr>
                  <w:divsChild>
                    <w:div w:id="1153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758546">
      <w:bodyDiv w:val="1"/>
      <w:marLeft w:val="0"/>
      <w:marRight w:val="0"/>
      <w:marTop w:val="0"/>
      <w:marBottom w:val="0"/>
      <w:divBdr>
        <w:top w:val="none" w:sz="0" w:space="0" w:color="auto"/>
        <w:left w:val="none" w:sz="0" w:space="0" w:color="auto"/>
        <w:bottom w:val="none" w:sz="0" w:space="0" w:color="auto"/>
        <w:right w:val="none" w:sz="0" w:space="0" w:color="auto"/>
      </w:divBdr>
    </w:div>
    <w:div w:id="638270102">
      <w:bodyDiv w:val="1"/>
      <w:marLeft w:val="0"/>
      <w:marRight w:val="0"/>
      <w:marTop w:val="0"/>
      <w:marBottom w:val="0"/>
      <w:divBdr>
        <w:top w:val="none" w:sz="0" w:space="0" w:color="auto"/>
        <w:left w:val="none" w:sz="0" w:space="0" w:color="auto"/>
        <w:bottom w:val="none" w:sz="0" w:space="0" w:color="auto"/>
        <w:right w:val="none" w:sz="0" w:space="0" w:color="auto"/>
      </w:divBdr>
    </w:div>
    <w:div w:id="650214372">
      <w:bodyDiv w:val="1"/>
      <w:marLeft w:val="0"/>
      <w:marRight w:val="0"/>
      <w:marTop w:val="0"/>
      <w:marBottom w:val="0"/>
      <w:divBdr>
        <w:top w:val="none" w:sz="0" w:space="0" w:color="auto"/>
        <w:left w:val="none" w:sz="0" w:space="0" w:color="auto"/>
        <w:bottom w:val="none" w:sz="0" w:space="0" w:color="auto"/>
        <w:right w:val="none" w:sz="0" w:space="0" w:color="auto"/>
      </w:divBdr>
    </w:div>
    <w:div w:id="65780481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328973">
              <w:marLeft w:val="0"/>
              <w:marRight w:val="0"/>
              <w:marTop w:val="0"/>
              <w:marBottom w:val="0"/>
              <w:divBdr>
                <w:top w:val="none" w:sz="0" w:space="0" w:color="auto"/>
                <w:left w:val="none" w:sz="0" w:space="0" w:color="auto"/>
                <w:bottom w:val="none" w:sz="0" w:space="0" w:color="auto"/>
                <w:right w:val="none" w:sz="0" w:space="0" w:color="auto"/>
              </w:divBdr>
              <w:divsChild>
                <w:div w:id="1255741947">
                  <w:marLeft w:val="0"/>
                  <w:marRight w:val="0"/>
                  <w:marTop w:val="0"/>
                  <w:marBottom w:val="0"/>
                  <w:divBdr>
                    <w:top w:val="none" w:sz="0" w:space="0" w:color="auto"/>
                    <w:left w:val="none" w:sz="0" w:space="0" w:color="auto"/>
                    <w:bottom w:val="none" w:sz="0" w:space="0" w:color="auto"/>
                    <w:right w:val="none" w:sz="0" w:space="0" w:color="auto"/>
                  </w:divBdr>
                  <w:divsChild>
                    <w:div w:id="3950822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4446657">
                          <w:marLeft w:val="0"/>
                          <w:marRight w:val="0"/>
                          <w:marTop w:val="0"/>
                          <w:marBottom w:val="0"/>
                          <w:divBdr>
                            <w:top w:val="none" w:sz="0" w:space="0" w:color="auto"/>
                            <w:left w:val="none" w:sz="0" w:space="0" w:color="auto"/>
                            <w:bottom w:val="none" w:sz="0" w:space="0" w:color="auto"/>
                            <w:right w:val="none" w:sz="0" w:space="0" w:color="auto"/>
                          </w:divBdr>
                          <w:divsChild>
                            <w:div w:id="8756988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4369075">
                                  <w:marLeft w:val="0"/>
                                  <w:marRight w:val="0"/>
                                  <w:marTop w:val="0"/>
                                  <w:marBottom w:val="0"/>
                                  <w:divBdr>
                                    <w:top w:val="none" w:sz="0" w:space="0" w:color="auto"/>
                                    <w:left w:val="none" w:sz="0" w:space="0" w:color="auto"/>
                                    <w:bottom w:val="none" w:sz="0" w:space="0" w:color="auto"/>
                                    <w:right w:val="none" w:sz="0" w:space="0" w:color="auto"/>
                                  </w:divBdr>
                                  <w:divsChild>
                                    <w:div w:id="1126196796">
                                      <w:marLeft w:val="0"/>
                                      <w:marRight w:val="0"/>
                                      <w:marTop w:val="0"/>
                                      <w:marBottom w:val="0"/>
                                      <w:divBdr>
                                        <w:top w:val="none" w:sz="0" w:space="0" w:color="auto"/>
                                        <w:left w:val="none" w:sz="0" w:space="0" w:color="auto"/>
                                        <w:bottom w:val="none" w:sz="0" w:space="0" w:color="auto"/>
                                        <w:right w:val="none" w:sz="0" w:space="0" w:color="auto"/>
                                      </w:divBdr>
                                      <w:divsChild>
                                        <w:div w:id="928851185">
                                          <w:marLeft w:val="0"/>
                                          <w:marRight w:val="0"/>
                                          <w:marTop w:val="0"/>
                                          <w:marBottom w:val="0"/>
                                          <w:divBdr>
                                            <w:top w:val="none" w:sz="0" w:space="0" w:color="auto"/>
                                            <w:left w:val="none" w:sz="0" w:space="0" w:color="auto"/>
                                            <w:bottom w:val="none" w:sz="0" w:space="0" w:color="auto"/>
                                            <w:right w:val="none" w:sz="0" w:space="0" w:color="auto"/>
                                          </w:divBdr>
                                        </w:div>
                                        <w:div w:id="1166439365">
                                          <w:marLeft w:val="0"/>
                                          <w:marRight w:val="0"/>
                                          <w:marTop w:val="0"/>
                                          <w:marBottom w:val="0"/>
                                          <w:divBdr>
                                            <w:top w:val="none" w:sz="0" w:space="0" w:color="auto"/>
                                            <w:left w:val="none" w:sz="0" w:space="0" w:color="auto"/>
                                            <w:bottom w:val="none" w:sz="0" w:space="0" w:color="auto"/>
                                            <w:right w:val="none" w:sz="0" w:space="0" w:color="auto"/>
                                          </w:divBdr>
                                        </w:div>
                                        <w:div w:id="1703047573">
                                          <w:marLeft w:val="0"/>
                                          <w:marRight w:val="0"/>
                                          <w:marTop w:val="0"/>
                                          <w:marBottom w:val="0"/>
                                          <w:divBdr>
                                            <w:top w:val="none" w:sz="0" w:space="0" w:color="auto"/>
                                            <w:left w:val="none" w:sz="0" w:space="0" w:color="auto"/>
                                            <w:bottom w:val="none" w:sz="0" w:space="0" w:color="auto"/>
                                            <w:right w:val="none" w:sz="0" w:space="0" w:color="auto"/>
                                          </w:divBdr>
                                        </w:div>
                                        <w:div w:id="336158483">
                                          <w:marLeft w:val="0"/>
                                          <w:marRight w:val="0"/>
                                          <w:marTop w:val="0"/>
                                          <w:marBottom w:val="0"/>
                                          <w:divBdr>
                                            <w:top w:val="none" w:sz="0" w:space="0" w:color="auto"/>
                                            <w:left w:val="none" w:sz="0" w:space="0" w:color="auto"/>
                                            <w:bottom w:val="none" w:sz="0" w:space="0" w:color="auto"/>
                                            <w:right w:val="none" w:sz="0" w:space="0" w:color="auto"/>
                                          </w:divBdr>
                                        </w:div>
                                        <w:div w:id="1893618752">
                                          <w:marLeft w:val="0"/>
                                          <w:marRight w:val="0"/>
                                          <w:marTop w:val="0"/>
                                          <w:marBottom w:val="0"/>
                                          <w:divBdr>
                                            <w:top w:val="none" w:sz="0" w:space="0" w:color="auto"/>
                                            <w:left w:val="none" w:sz="0" w:space="0" w:color="auto"/>
                                            <w:bottom w:val="none" w:sz="0" w:space="0" w:color="auto"/>
                                            <w:right w:val="none" w:sz="0" w:space="0" w:color="auto"/>
                                          </w:divBdr>
                                        </w:div>
                                        <w:div w:id="752971083">
                                          <w:marLeft w:val="0"/>
                                          <w:marRight w:val="0"/>
                                          <w:marTop w:val="0"/>
                                          <w:marBottom w:val="0"/>
                                          <w:divBdr>
                                            <w:top w:val="none" w:sz="0" w:space="0" w:color="auto"/>
                                            <w:left w:val="none" w:sz="0" w:space="0" w:color="auto"/>
                                            <w:bottom w:val="none" w:sz="0" w:space="0" w:color="auto"/>
                                            <w:right w:val="none" w:sz="0" w:space="0" w:color="auto"/>
                                          </w:divBdr>
                                        </w:div>
                                        <w:div w:id="1959411519">
                                          <w:marLeft w:val="0"/>
                                          <w:marRight w:val="0"/>
                                          <w:marTop w:val="0"/>
                                          <w:marBottom w:val="0"/>
                                          <w:divBdr>
                                            <w:top w:val="none" w:sz="0" w:space="0" w:color="auto"/>
                                            <w:left w:val="none" w:sz="0" w:space="0" w:color="auto"/>
                                            <w:bottom w:val="none" w:sz="0" w:space="0" w:color="auto"/>
                                            <w:right w:val="none" w:sz="0" w:space="0" w:color="auto"/>
                                          </w:divBdr>
                                        </w:div>
                                        <w:div w:id="2136170419">
                                          <w:marLeft w:val="0"/>
                                          <w:marRight w:val="0"/>
                                          <w:marTop w:val="0"/>
                                          <w:marBottom w:val="0"/>
                                          <w:divBdr>
                                            <w:top w:val="none" w:sz="0" w:space="0" w:color="auto"/>
                                            <w:left w:val="none" w:sz="0" w:space="0" w:color="auto"/>
                                            <w:bottom w:val="none" w:sz="0" w:space="0" w:color="auto"/>
                                            <w:right w:val="none" w:sz="0" w:space="0" w:color="auto"/>
                                          </w:divBdr>
                                        </w:div>
                                        <w:div w:id="2113083258">
                                          <w:marLeft w:val="0"/>
                                          <w:marRight w:val="0"/>
                                          <w:marTop w:val="0"/>
                                          <w:marBottom w:val="0"/>
                                          <w:divBdr>
                                            <w:top w:val="none" w:sz="0" w:space="0" w:color="auto"/>
                                            <w:left w:val="none" w:sz="0" w:space="0" w:color="auto"/>
                                            <w:bottom w:val="none" w:sz="0" w:space="0" w:color="auto"/>
                                            <w:right w:val="none" w:sz="0" w:space="0" w:color="auto"/>
                                          </w:divBdr>
                                        </w:div>
                                        <w:div w:id="793451643">
                                          <w:marLeft w:val="0"/>
                                          <w:marRight w:val="0"/>
                                          <w:marTop w:val="0"/>
                                          <w:marBottom w:val="0"/>
                                          <w:divBdr>
                                            <w:top w:val="none" w:sz="0" w:space="0" w:color="auto"/>
                                            <w:left w:val="none" w:sz="0" w:space="0" w:color="auto"/>
                                            <w:bottom w:val="none" w:sz="0" w:space="0" w:color="auto"/>
                                            <w:right w:val="none" w:sz="0" w:space="0" w:color="auto"/>
                                          </w:divBdr>
                                        </w:div>
                                        <w:div w:id="413673457">
                                          <w:marLeft w:val="0"/>
                                          <w:marRight w:val="0"/>
                                          <w:marTop w:val="0"/>
                                          <w:marBottom w:val="0"/>
                                          <w:divBdr>
                                            <w:top w:val="none" w:sz="0" w:space="0" w:color="auto"/>
                                            <w:left w:val="none" w:sz="0" w:space="0" w:color="auto"/>
                                            <w:bottom w:val="none" w:sz="0" w:space="0" w:color="auto"/>
                                            <w:right w:val="none" w:sz="0" w:space="0" w:color="auto"/>
                                          </w:divBdr>
                                        </w:div>
                                        <w:div w:id="1271165682">
                                          <w:marLeft w:val="0"/>
                                          <w:marRight w:val="0"/>
                                          <w:marTop w:val="0"/>
                                          <w:marBottom w:val="0"/>
                                          <w:divBdr>
                                            <w:top w:val="none" w:sz="0" w:space="0" w:color="auto"/>
                                            <w:left w:val="none" w:sz="0" w:space="0" w:color="auto"/>
                                            <w:bottom w:val="none" w:sz="0" w:space="0" w:color="auto"/>
                                            <w:right w:val="none" w:sz="0" w:space="0" w:color="auto"/>
                                          </w:divBdr>
                                        </w:div>
                                        <w:div w:id="1250309606">
                                          <w:marLeft w:val="0"/>
                                          <w:marRight w:val="0"/>
                                          <w:marTop w:val="0"/>
                                          <w:marBottom w:val="0"/>
                                          <w:divBdr>
                                            <w:top w:val="none" w:sz="0" w:space="0" w:color="auto"/>
                                            <w:left w:val="none" w:sz="0" w:space="0" w:color="auto"/>
                                            <w:bottom w:val="none" w:sz="0" w:space="0" w:color="auto"/>
                                            <w:right w:val="none" w:sz="0" w:space="0" w:color="auto"/>
                                          </w:divBdr>
                                        </w:div>
                                        <w:div w:id="1443719426">
                                          <w:marLeft w:val="0"/>
                                          <w:marRight w:val="0"/>
                                          <w:marTop w:val="0"/>
                                          <w:marBottom w:val="0"/>
                                          <w:divBdr>
                                            <w:top w:val="none" w:sz="0" w:space="0" w:color="auto"/>
                                            <w:left w:val="none" w:sz="0" w:space="0" w:color="auto"/>
                                            <w:bottom w:val="none" w:sz="0" w:space="0" w:color="auto"/>
                                            <w:right w:val="none" w:sz="0" w:space="0" w:color="auto"/>
                                          </w:divBdr>
                                        </w:div>
                                        <w:div w:id="664479974">
                                          <w:marLeft w:val="0"/>
                                          <w:marRight w:val="0"/>
                                          <w:marTop w:val="0"/>
                                          <w:marBottom w:val="0"/>
                                          <w:divBdr>
                                            <w:top w:val="none" w:sz="0" w:space="0" w:color="auto"/>
                                            <w:left w:val="none" w:sz="0" w:space="0" w:color="auto"/>
                                            <w:bottom w:val="none" w:sz="0" w:space="0" w:color="auto"/>
                                            <w:right w:val="none" w:sz="0" w:space="0" w:color="auto"/>
                                          </w:divBdr>
                                        </w:div>
                                        <w:div w:id="6253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283632">
      <w:bodyDiv w:val="1"/>
      <w:marLeft w:val="0"/>
      <w:marRight w:val="0"/>
      <w:marTop w:val="0"/>
      <w:marBottom w:val="0"/>
      <w:divBdr>
        <w:top w:val="none" w:sz="0" w:space="0" w:color="auto"/>
        <w:left w:val="none" w:sz="0" w:space="0" w:color="auto"/>
        <w:bottom w:val="none" w:sz="0" w:space="0" w:color="auto"/>
        <w:right w:val="none" w:sz="0" w:space="0" w:color="auto"/>
      </w:divBdr>
    </w:div>
    <w:div w:id="761143456">
      <w:bodyDiv w:val="1"/>
      <w:marLeft w:val="0"/>
      <w:marRight w:val="0"/>
      <w:marTop w:val="0"/>
      <w:marBottom w:val="0"/>
      <w:divBdr>
        <w:top w:val="none" w:sz="0" w:space="0" w:color="auto"/>
        <w:left w:val="none" w:sz="0" w:space="0" w:color="auto"/>
        <w:bottom w:val="none" w:sz="0" w:space="0" w:color="auto"/>
        <w:right w:val="none" w:sz="0" w:space="0" w:color="auto"/>
      </w:divBdr>
    </w:div>
    <w:div w:id="761948499">
      <w:bodyDiv w:val="1"/>
      <w:marLeft w:val="0"/>
      <w:marRight w:val="0"/>
      <w:marTop w:val="0"/>
      <w:marBottom w:val="0"/>
      <w:divBdr>
        <w:top w:val="none" w:sz="0" w:space="0" w:color="auto"/>
        <w:left w:val="none" w:sz="0" w:space="0" w:color="auto"/>
        <w:bottom w:val="none" w:sz="0" w:space="0" w:color="auto"/>
        <w:right w:val="none" w:sz="0" w:space="0" w:color="auto"/>
      </w:divBdr>
      <w:divsChild>
        <w:div w:id="2099865795">
          <w:marLeft w:val="0"/>
          <w:marRight w:val="0"/>
          <w:marTop w:val="0"/>
          <w:marBottom w:val="0"/>
          <w:divBdr>
            <w:top w:val="none" w:sz="0" w:space="0" w:color="auto"/>
            <w:left w:val="none" w:sz="0" w:space="0" w:color="auto"/>
            <w:bottom w:val="none" w:sz="0" w:space="0" w:color="auto"/>
            <w:right w:val="none" w:sz="0" w:space="0" w:color="auto"/>
          </w:divBdr>
          <w:divsChild>
            <w:div w:id="246115886">
              <w:marLeft w:val="0"/>
              <w:marRight w:val="0"/>
              <w:marTop w:val="0"/>
              <w:marBottom w:val="0"/>
              <w:divBdr>
                <w:top w:val="none" w:sz="0" w:space="0" w:color="auto"/>
                <w:left w:val="none" w:sz="0" w:space="0" w:color="auto"/>
                <w:bottom w:val="none" w:sz="0" w:space="0" w:color="auto"/>
                <w:right w:val="none" w:sz="0" w:space="0" w:color="auto"/>
              </w:divBdr>
              <w:divsChild>
                <w:div w:id="3918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255">
      <w:bodyDiv w:val="1"/>
      <w:marLeft w:val="0"/>
      <w:marRight w:val="0"/>
      <w:marTop w:val="0"/>
      <w:marBottom w:val="0"/>
      <w:divBdr>
        <w:top w:val="none" w:sz="0" w:space="0" w:color="auto"/>
        <w:left w:val="none" w:sz="0" w:space="0" w:color="auto"/>
        <w:bottom w:val="none" w:sz="0" w:space="0" w:color="auto"/>
        <w:right w:val="none" w:sz="0" w:space="0" w:color="auto"/>
      </w:divBdr>
    </w:div>
    <w:div w:id="803233325">
      <w:bodyDiv w:val="1"/>
      <w:marLeft w:val="0"/>
      <w:marRight w:val="0"/>
      <w:marTop w:val="0"/>
      <w:marBottom w:val="0"/>
      <w:divBdr>
        <w:top w:val="none" w:sz="0" w:space="0" w:color="auto"/>
        <w:left w:val="none" w:sz="0" w:space="0" w:color="auto"/>
        <w:bottom w:val="none" w:sz="0" w:space="0" w:color="auto"/>
        <w:right w:val="none" w:sz="0" w:space="0" w:color="auto"/>
      </w:divBdr>
      <w:divsChild>
        <w:div w:id="1507356918">
          <w:marLeft w:val="0"/>
          <w:marRight w:val="0"/>
          <w:marTop w:val="0"/>
          <w:marBottom w:val="0"/>
          <w:divBdr>
            <w:top w:val="none" w:sz="0" w:space="0" w:color="auto"/>
            <w:left w:val="none" w:sz="0" w:space="0" w:color="auto"/>
            <w:bottom w:val="none" w:sz="0" w:space="0" w:color="auto"/>
            <w:right w:val="none" w:sz="0" w:space="0" w:color="auto"/>
          </w:divBdr>
          <w:divsChild>
            <w:div w:id="1700810746">
              <w:marLeft w:val="0"/>
              <w:marRight w:val="0"/>
              <w:marTop w:val="0"/>
              <w:marBottom w:val="0"/>
              <w:divBdr>
                <w:top w:val="none" w:sz="0" w:space="0" w:color="auto"/>
                <w:left w:val="none" w:sz="0" w:space="0" w:color="auto"/>
                <w:bottom w:val="none" w:sz="0" w:space="0" w:color="auto"/>
                <w:right w:val="none" w:sz="0" w:space="0" w:color="auto"/>
              </w:divBdr>
              <w:divsChild>
                <w:div w:id="897014056">
                  <w:marLeft w:val="0"/>
                  <w:marRight w:val="0"/>
                  <w:marTop w:val="0"/>
                  <w:marBottom w:val="0"/>
                  <w:divBdr>
                    <w:top w:val="none" w:sz="0" w:space="0" w:color="auto"/>
                    <w:left w:val="none" w:sz="0" w:space="0" w:color="auto"/>
                    <w:bottom w:val="none" w:sz="0" w:space="0" w:color="auto"/>
                    <w:right w:val="none" w:sz="0" w:space="0" w:color="auto"/>
                  </w:divBdr>
                  <w:divsChild>
                    <w:div w:id="9099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9428">
      <w:bodyDiv w:val="1"/>
      <w:marLeft w:val="0"/>
      <w:marRight w:val="0"/>
      <w:marTop w:val="0"/>
      <w:marBottom w:val="0"/>
      <w:divBdr>
        <w:top w:val="none" w:sz="0" w:space="0" w:color="auto"/>
        <w:left w:val="none" w:sz="0" w:space="0" w:color="auto"/>
        <w:bottom w:val="none" w:sz="0" w:space="0" w:color="auto"/>
        <w:right w:val="none" w:sz="0" w:space="0" w:color="auto"/>
      </w:divBdr>
      <w:divsChild>
        <w:div w:id="1013916042">
          <w:marLeft w:val="0"/>
          <w:marRight w:val="0"/>
          <w:marTop w:val="0"/>
          <w:marBottom w:val="0"/>
          <w:divBdr>
            <w:top w:val="none" w:sz="0" w:space="0" w:color="auto"/>
            <w:left w:val="none" w:sz="0" w:space="0" w:color="auto"/>
            <w:bottom w:val="none" w:sz="0" w:space="0" w:color="auto"/>
            <w:right w:val="none" w:sz="0" w:space="0" w:color="auto"/>
          </w:divBdr>
          <w:divsChild>
            <w:div w:id="27338933">
              <w:marLeft w:val="0"/>
              <w:marRight w:val="0"/>
              <w:marTop w:val="0"/>
              <w:marBottom w:val="0"/>
              <w:divBdr>
                <w:top w:val="none" w:sz="0" w:space="0" w:color="auto"/>
                <w:left w:val="none" w:sz="0" w:space="0" w:color="auto"/>
                <w:bottom w:val="none" w:sz="0" w:space="0" w:color="auto"/>
                <w:right w:val="none" w:sz="0" w:space="0" w:color="auto"/>
              </w:divBdr>
              <w:divsChild>
                <w:div w:id="19367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16336">
      <w:bodyDiv w:val="1"/>
      <w:marLeft w:val="0"/>
      <w:marRight w:val="0"/>
      <w:marTop w:val="0"/>
      <w:marBottom w:val="0"/>
      <w:divBdr>
        <w:top w:val="none" w:sz="0" w:space="0" w:color="auto"/>
        <w:left w:val="none" w:sz="0" w:space="0" w:color="auto"/>
        <w:bottom w:val="none" w:sz="0" w:space="0" w:color="auto"/>
        <w:right w:val="none" w:sz="0" w:space="0" w:color="auto"/>
      </w:divBdr>
      <w:divsChild>
        <w:div w:id="1118330227">
          <w:marLeft w:val="0"/>
          <w:marRight w:val="0"/>
          <w:marTop w:val="0"/>
          <w:marBottom w:val="0"/>
          <w:divBdr>
            <w:top w:val="none" w:sz="0" w:space="0" w:color="auto"/>
            <w:left w:val="none" w:sz="0" w:space="0" w:color="auto"/>
            <w:bottom w:val="none" w:sz="0" w:space="0" w:color="auto"/>
            <w:right w:val="none" w:sz="0" w:space="0" w:color="auto"/>
          </w:divBdr>
          <w:divsChild>
            <w:div w:id="1693873615">
              <w:marLeft w:val="0"/>
              <w:marRight w:val="0"/>
              <w:marTop w:val="0"/>
              <w:marBottom w:val="0"/>
              <w:divBdr>
                <w:top w:val="none" w:sz="0" w:space="0" w:color="auto"/>
                <w:left w:val="none" w:sz="0" w:space="0" w:color="auto"/>
                <w:bottom w:val="none" w:sz="0" w:space="0" w:color="auto"/>
                <w:right w:val="none" w:sz="0" w:space="0" w:color="auto"/>
              </w:divBdr>
              <w:divsChild>
                <w:div w:id="1488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0528">
      <w:bodyDiv w:val="1"/>
      <w:marLeft w:val="0"/>
      <w:marRight w:val="0"/>
      <w:marTop w:val="0"/>
      <w:marBottom w:val="0"/>
      <w:divBdr>
        <w:top w:val="none" w:sz="0" w:space="0" w:color="auto"/>
        <w:left w:val="none" w:sz="0" w:space="0" w:color="auto"/>
        <w:bottom w:val="none" w:sz="0" w:space="0" w:color="auto"/>
        <w:right w:val="none" w:sz="0" w:space="0" w:color="auto"/>
      </w:divBdr>
    </w:div>
    <w:div w:id="1025324814">
      <w:bodyDiv w:val="1"/>
      <w:marLeft w:val="0"/>
      <w:marRight w:val="0"/>
      <w:marTop w:val="0"/>
      <w:marBottom w:val="0"/>
      <w:divBdr>
        <w:top w:val="none" w:sz="0" w:space="0" w:color="auto"/>
        <w:left w:val="none" w:sz="0" w:space="0" w:color="auto"/>
        <w:bottom w:val="none" w:sz="0" w:space="0" w:color="auto"/>
        <w:right w:val="none" w:sz="0" w:space="0" w:color="auto"/>
      </w:divBdr>
      <w:divsChild>
        <w:div w:id="1573390425">
          <w:marLeft w:val="0"/>
          <w:marRight w:val="0"/>
          <w:marTop w:val="0"/>
          <w:marBottom w:val="0"/>
          <w:divBdr>
            <w:top w:val="none" w:sz="0" w:space="0" w:color="auto"/>
            <w:left w:val="none" w:sz="0" w:space="0" w:color="auto"/>
            <w:bottom w:val="none" w:sz="0" w:space="0" w:color="auto"/>
            <w:right w:val="none" w:sz="0" w:space="0" w:color="auto"/>
          </w:divBdr>
          <w:divsChild>
            <w:div w:id="2020696033">
              <w:marLeft w:val="0"/>
              <w:marRight w:val="0"/>
              <w:marTop w:val="0"/>
              <w:marBottom w:val="0"/>
              <w:divBdr>
                <w:top w:val="none" w:sz="0" w:space="0" w:color="auto"/>
                <w:left w:val="none" w:sz="0" w:space="0" w:color="auto"/>
                <w:bottom w:val="none" w:sz="0" w:space="0" w:color="auto"/>
                <w:right w:val="none" w:sz="0" w:space="0" w:color="auto"/>
              </w:divBdr>
              <w:divsChild>
                <w:div w:id="1723480913">
                  <w:marLeft w:val="0"/>
                  <w:marRight w:val="0"/>
                  <w:marTop w:val="0"/>
                  <w:marBottom w:val="0"/>
                  <w:divBdr>
                    <w:top w:val="none" w:sz="0" w:space="0" w:color="auto"/>
                    <w:left w:val="none" w:sz="0" w:space="0" w:color="auto"/>
                    <w:bottom w:val="none" w:sz="0" w:space="0" w:color="auto"/>
                    <w:right w:val="none" w:sz="0" w:space="0" w:color="auto"/>
                  </w:divBdr>
                  <w:divsChild>
                    <w:div w:id="1431506931">
                      <w:marLeft w:val="0"/>
                      <w:marRight w:val="0"/>
                      <w:marTop w:val="0"/>
                      <w:marBottom w:val="0"/>
                      <w:divBdr>
                        <w:top w:val="none" w:sz="0" w:space="0" w:color="auto"/>
                        <w:left w:val="none" w:sz="0" w:space="0" w:color="auto"/>
                        <w:bottom w:val="none" w:sz="0" w:space="0" w:color="auto"/>
                        <w:right w:val="none" w:sz="0" w:space="0" w:color="auto"/>
                      </w:divBdr>
                    </w:div>
                  </w:divsChild>
                </w:div>
                <w:div w:id="1692802673">
                  <w:marLeft w:val="0"/>
                  <w:marRight w:val="0"/>
                  <w:marTop w:val="0"/>
                  <w:marBottom w:val="0"/>
                  <w:divBdr>
                    <w:top w:val="none" w:sz="0" w:space="0" w:color="auto"/>
                    <w:left w:val="none" w:sz="0" w:space="0" w:color="auto"/>
                    <w:bottom w:val="none" w:sz="0" w:space="0" w:color="auto"/>
                    <w:right w:val="none" w:sz="0" w:space="0" w:color="auto"/>
                  </w:divBdr>
                  <w:divsChild>
                    <w:div w:id="6290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721">
      <w:bodyDiv w:val="1"/>
      <w:marLeft w:val="0"/>
      <w:marRight w:val="0"/>
      <w:marTop w:val="0"/>
      <w:marBottom w:val="0"/>
      <w:divBdr>
        <w:top w:val="none" w:sz="0" w:space="0" w:color="auto"/>
        <w:left w:val="none" w:sz="0" w:space="0" w:color="auto"/>
        <w:bottom w:val="none" w:sz="0" w:space="0" w:color="auto"/>
        <w:right w:val="none" w:sz="0" w:space="0" w:color="auto"/>
      </w:divBdr>
    </w:div>
    <w:div w:id="1128358411">
      <w:bodyDiv w:val="1"/>
      <w:marLeft w:val="0"/>
      <w:marRight w:val="0"/>
      <w:marTop w:val="0"/>
      <w:marBottom w:val="0"/>
      <w:divBdr>
        <w:top w:val="none" w:sz="0" w:space="0" w:color="auto"/>
        <w:left w:val="none" w:sz="0" w:space="0" w:color="auto"/>
        <w:bottom w:val="none" w:sz="0" w:space="0" w:color="auto"/>
        <w:right w:val="none" w:sz="0" w:space="0" w:color="auto"/>
      </w:divBdr>
    </w:div>
    <w:div w:id="1192692613">
      <w:bodyDiv w:val="1"/>
      <w:marLeft w:val="0"/>
      <w:marRight w:val="0"/>
      <w:marTop w:val="0"/>
      <w:marBottom w:val="0"/>
      <w:divBdr>
        <w:top w:val="none" w:sz="0" w:space="0" w:color="auto"/>
        <w:left w:val="none" w:sz="0" w:space="0" w:color="auto"/>
        <w:bottom w:val="none" w:sz="0" w:space="0" w:color="auto"/>
        <w:right w:val="none" w:sz="0" w:space="0" w:color="auto"/>
      </w:divBdr>
      <w:divsChild>
        <w:div w:id="628779257">
          <w:marLeft w:val="0"/>
          <w:marRight w:val="0"/>
          <w:marTop w:val="0"/>
          <w:marBottom w:val="0"/>
          <w:divBdr>
            <w:top w:val="none" w:sz="0" w:space="0" w:color="auto"/>
            <w:left w:val="none" w:sz="0" w:space="0" w:color="auto"/>
            <w:bottom w:val="none" w:sz="0" w:space="0" w:color="auto"/>
            <w:right w:val="none" w:sz="0" w:space="0" w:color="auto"/>
          </w:divBdr>
          <w:divsChild>
            <w:div w:id="327943126">
              <w:marLeft w:val="0"/>
              <w:marRight w:val="0"/>
              <w:marTop w:val="0"/>
              <w:marBottom w:val="0"/>
              <w:divBdr>
                <w:top w:val="none" w:sz="0" w:space="0" w:color="auto"/>
                <w:left w:val="none" w:sz="0" w:space="0" w:color="auto"/>
                <w:bottom w:val="none" w:sz="0" w:space="0" w:color="auto"/>
                <w:right w:val="none" w:sz="0" w:space="0" w:color="auto"/>
              </w:divBdr>
              <w:divsChild>
                <w:div w:id="1463232602">
                  <w:marLeft w:val="0"/>
                  <w:marRight w:val="0"/>
                  <w:marTop w:val="0"/>
                  <w:marBottom w:val="0"/>
                  <w:divBdr>
                    <w:top w:val="none" w:sz="0" w:space="0" w:color="auto"/>
                    <w:left w:val="none" w:sz="0" w:space="0" w:color="auto"/>
                    <w:bottom w:val="none" w:sz="0" w:space="0" w:color="auto"/>
                    <w:right w:val="none" w:sz="0" w:space="0" w:color="auto"/>
                  </w:divBdr>
                  <w:divsChild>
                    <w:div w:id="1674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1095">
      <w:bodyDiv w:val="1"/>
      <w:marLeft w:val="0"/>
      <w:marRight w:val="0"/>
      <w:marTop w:val="0"/>
      <w:marBottom w:val="0"/>
      <w:divBdr>
        <w:top w:val="none" w:sz="0" w:space="0" w:color="auto"/>
        <w:left w:val="none" w:sz="0" w:space="0" w:color="auto"/>
        <w:bottom w:val="none" w:sz="0" w:space="0" w:color="auto"/>
        <w:right w:val="none" w:sz="0" w:space="0" w:color="auto"/>
      </w:divBdr>
      <w:divsChild>
        <w:div w:id="1436170109">
          <w:marLeft w:val="0"/>
          <w:marRight w:val="0"/>
          <w:marTop w:val="0"/>
          <w:marBottom w:val="0"/>
          <w:divBdr>
            <w:top w:val="none" w:sz="0" w:space="0" w:color="auto"/>
            <w:left w:val="none" w:sz="0" w:space="0" w:color="auto"/>
            <w:bottom w:val="none" w:sz="0" w:space="0" w:color="auto"/>
            <w:right w:val="none" w:sz="0" w:space="0" w:color="auto"/>
          </w:divBdr>
          <w:divsChild>
            <w:div w:id="2099323691">
              <w:marLeft w:val="0"/>
              <w:marRight w:val="0"/>
              <w:marTop w:val="0"/>
              <w:marBottom w:val="0"/>
              <w:divBdr>
                <w:top w:val="none" w:sz="0" w:space="0" w:color="auto"/>
                <w:left w:val="none" w:sz="0" w:space="0" w:color="auto"/>
                <w:bottom w:val="none" w:sz="0" w:space="0" w:color="auto"/>
                <w:right w:val="none" w:sz="0" w:space="0" w:color="auto"/>
              </w:divBdr>
            </w:div>
            <w:div w:id="813525509">
              <w:marLeft w:val="300"/>
              <w:marRight w:val="0"/>
              <w:marTop w:val="0"/>
              <w:marBottom w:val="0"/>
              <w:divBdr>
                <w:top w:val="none" w:sz="0" w:space="0" w:color="auto"/>
                <w:left w:val="none" w:sz="0" w:space="0" w:color="auto"/>
                <w:bottom w:val="none" w:sz="0" w:space="0" w:color="auto"/>
                <w:right w:val="none" w:sz="0" w:space="0" w:color="auto"/>
              </w:divBdr>
            </w:div>
            <w:div w:id="1800024494">
              <w:marLeft w:val="300"/>
              <w:marRight w:val="0"/>
              <w:marTop w:val="0"/>
              <w:marBottom w:val="0"/>
              <w:divBdr>
                <w:top w:val="none" w:sz="0" w:space="0" w:color="auto"/>
                <w:left w:val="none" w:sz="0" w:space="0" w:color="auto"/>
                <w:bottom w:val="none" w:sz="0" w:space="0" w:color="auto"/>
                <w:right w:val="none" w:sz="0" w:space="0" w:color="auto"/>
              </w:divBdr>
            </w:div>
            <w:div w:id="1755711655">
              <w:marLeft w:val="0"/>
              <w:marRight w:val="0"/>
              <w:marTop w:val="0"/>
              <w:marBottom w:val="0"/>
              <w:divBdr>
                <w:top w:val="none" w:sz="0" w:space="0" w:color="auto"/>
                <w:left w:val="none" w:sz="0" w:space="0" w:color="auto"/>
                <w:bottom w:val="none" w:sz="0" w:space="0" w:color="auto"/>
                <w:right w:val="none" w:sz="0" w:space="0" w:color="auto"/>
              </w:divBdr>
            </w:div>
            <w:div w:id="1900439027">
              <w:marLeft w:val="60"/>
              <w:marRight w:val="0"/>
              <w:marTop w:val="0"/>
              <w:marBottom w:val="0"/>
              <w:divBdr>
                <w:top w:val="none" w:sz="0" w:space="0" w:color="auto"/>
                <w:left w:val="none" w:sz="0" w:space="0" w:color="auto"/>
                <w:bottom w:val="none" w:sz="0" w:space="0" w:color="auto"/>
                <w:right w:val="none" w:sz="0" w:space="0" w:color="auto"/>
              </w:divBdr>
            </w:div>
          </w:divsChild>
        </w:div>
        <w:div w:id="1132290727">
          <w:marLeft w:val="0"/>
          <w:marRight w:val="0"/>
          <w:marTop w:val="0"/>
          <w:marBottom w:val="0"/>
          <w:divBdr>
            <w:top w:val="none" w:sz="0" w:space="0" w:color="auto"/>
            <w:left w:val="none" w:sz="0" w:space="0" w:color="auto"/>
            <w:bottom w:val="none" w:sz="0" w:space="0" w:color="auto"/>
            <w:right w:val="none" w:sz="0" w:space="0" w:color="auto"/>
          </w:divBdr>
          <w:divsChild>
            <w:div w:id="1462772373">
              <w:marLeft w:val="0"/>
              <w:marRight w:val="0"/>
              <w:marTop w:val="120"/>
              <w:marBottom w:val="0"/>
              <w:divBdr>
                <w:top w:val="none" w:sz="0" w:space="0" w:color="auto"/>
                <w:left w:val="none" w:sz="0" w:space="0" w:color="auto"/>
                <w:bottom w:val="none" w:sz="0" w:space="0" w:color="auto"/>
                <w:right w:val="none" w:sz="0" w:space="0" w:color="auto"/>
              </w:divBdr>
              <w:divsChild>
                <w:div w:id="953175291">
                  <w:marLeft w:val="0"/>
                  <w:marRight w:val="0"/>
                  <w:marTop w:val="0"/>
                  <w:marBottom w:val="0"/>
                  <w:divBdr>
                    <w:top w:val="none" w:sz="0" w:space="0" w:color="auto"/>
                    <w:left w:val="none" w:sz="0" w:space="0" w:color="auto"/>
                    <w:bottom w:val="none" w:sz="0" w:space="0" w:color="auto"/>
                    <w:right w:val="none" w:sz="0" w:space="0" w:color="auto"/>
                  </w:divBdr>
                  <w:divsChild>
                    <w:div w:id="1499148293">
                      <w:marLeft w:val="0"/>
                      <w:marRight w:val="0"/>
                      <w:marTop w:val="0"/>
                      <w:marBottom w:val="0"/>
                      <w:divBdr>
                        <w:top w:val="none" w:sz="0" w:space="0" w:color="auto"/>
                        <w:left w:val="none" w:sz="0" w:space="0" w:color="auto"/>
                        <w:bottom w:val="none" w:sz="0" w:space="0" w:color="auto"/>
                        <w:right w:val="none" w:sz="0" w:space="0" w:color="auto"/>
                      </w:divBdr>
                      <w:divsChild>
                        <w:div w:id="1287544615">
                          <w:marLeft w:val="0"/>
                          <w:marRight w:val="0"/>
                          <w:marTop w:val="0"/>
                          <w:marBottom w:val="0"/>
                          <w:divBdr>
                            <w:top w:val="none" w:sz="0" w:space="0" w:color="auto"/>
                            <w:left w:val="none" w:sz="0" w:space="0" w:color="auto"/>
                            <w:bottom w:val="none" w:sz="0" w:space="0" w:color="auto"/>
                            <w:right w:val="none" w:sz="0" w:space="0" w:color="auto"/>
                          </w:divBdr>
                        </w:div>
                        <w:div w:id="75397985">
                          <w:marLeft w:val="0"/>
                          <w:marRight w:val="0"/>
                          <w:marTop w:val="0"/>
                          <w:marBottom w:val="0"/>
                          <w:divBdr>
                            <w:top w:val="none" w:sz="0" w:space="0" w:color="auto"/>
                            <w:left w:val="none" w:sz="0" w:space="0" w:color="auto"/>
                            <w:bottom w:val="none" w:sz="0" w:space="0" w:color="auto"/>
                            <w:right w:val="none" w:sz="0" w:space="0" w:color="auto"/>
                          </w:divBdr>
                        </w:div>
                        <w:div w:id="1381973734">
                          <w:marLeft w:val="0"/>
                          <w:marRight w:val="0"/>
                          <w:marTop w:val="0"/>
                          <w:marBottom w:val="0"/>
                          <w:divBdr>
                            <w:top w:val="none" w:sz="0" w:space="0" w:color="auto"/>
                            <w:left w:val="none" w:sz="0" w:space="0" w:color="auto"/>
                            <w:bottom w:val="none" w:sz="0" w:space="0" w:color="auto"/>
                            <w:right w:val="none" w:sz="0" w:space="0" w:color="auto"/>
                          </w:divBdr>
                        </w:div>
                        <w:div w:id="591008475">
                          <w:marLeft w:val="0"/>
                          <w:marRight w:val="0"/>
                          <w:marTop w:val="0"/>
                          <w:marBottom w:val="0"/>
                          <w:divBdr>
                            <w:top w:val="none" w:sz="0" w:space="0" w:color="auto"/>
                            <w:left w:val="none" w:sz="0" w:space="0" w:color="auto"/>
                            <w:bottom w:val="none" w:sz="0" w:space="0" w:color="auto"/>
                            <w:right w:val="none" w:sz="0" w:space="0" w:color="auto"/>
                          </w:divBdr>
                        </w:div>
                        <w:div w:id="2021199204">
                          <w:marLeft w:val="0"/>
                          <w:marRight w:val="0"/>
                          <w:marTop w:val="0"/>
                          <w:marBottom w:val="0"/>
                          <w:divBdr>
                            <w:top w:val="none" w:sz="0" w:space="0" w:color="auto"/>
                            <w:left w:val="none" w:sz="0" w:space="0" w:color="auto"/>
                            <w:bottom w:val="none" w:sz="0" w:space="0" w:color="auto"/>
                            <w:right w:val="none" w:sz="0" w:space="0" w:color="auto"/>
                          </w:divBdr>
                        </w:div>
                        <w:div w:id="11241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013568">
      <w:bodyDiv w:val="1"/>
      <w:marLeft w:val="0"/>
      <w:marRight w:val="0"/>
      <w:marTop w:val="0"/>
      <w:marBottom w:val="0"/>
      <w:divBdr>
        <w:top w:val="none" w:sz="0" w:space="0" w:color="auto"/>
        <w:left w:val="none" w:sz="0" w:space="0" w:color="auto"/>
        <w:bottom w:val="none" w:sz="0" w:space="0" w:color="auto"/>
        <w:right w:val="none" w:sz="0" w:space="0" w:color="auto"/>
      </w:divBdr>
      <w:divsChild>
        <w:div w:id="450976052">
          <w:marLeft w:val="0"/>
          <w:marRight w:val="0"/>
          <w:marTop w:val="0"/>
          <w:marBottom w:val="0"/>
          <w:divBdr>
            <w:top w:val="none" w:sz="0" w:space="0" w:color="auto"/>
            <w:left w:val="none" w:sz="0" w:space="0" w:color="auto"/>
            <w:bottom w:val="none" w:sz="0" w:space="0" w:color="auto"/>
            <w:right w:val="none" w:sz="0" w:space="0" w:color="auto"/>
          </w:divBdr>
          <w:divsChild>
            <w:div w:id="1795438807">
              <w:marLeft w:val="0"/>
              <w:marRight w:val="0"/>
              <w:marTop w:val="0"/>
              <w:marBottom w:val="0"/>
              <w:divBdr>
                <w:top w:val="none" w:sz="0" w:space="0" w:color="auto"/>
                <w:left w:val="none" w:sz="0" w:space="0" w:color="auto"/>
                <w:bottom w:val="none" w:sz="0" w:space="0" w:color="auto"/>
                <w:right w:val="none" w:sz="0" w:space="0" w:color="auto"/>
              </w:divBdr>
              <w:divsChild>
                <w:div w:id="13697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29314">
      <w:bodyDiv w:val="1"/>
      <w:marLeft w:val="0"/>
      <w:marRight w:val="0"/>
      <w:marTop w:val="0"/>
      <w:marBottom w:val="0"/>
      <w:divBdr>
        <w:top w:val="none" w:sz="0" w:space="0" w:color="auto"/>
        <w:left w:val="none" w:sz="0" w:space="0" w:color="auto"/>
        <w:bottom w:val="none" w:sz="0" w:space="0" w:color="auto"/>
        <w:right w:val="none" w:sz="0" w:space="0" w:color="auto"/>
      </w:divBdr>
      <w:divsChild>
        <w:div w:id="893076607">
          <w:marLeft w:val="0"/>
          <w:marRight w:val="0"/>
          <w:marTop w:val="0"/>
          <w:marBottom w:val="0"/>
          <w:divBdr>
            <w:top w:val="none" w:sz="0" w:space="0" w:color="auto"/>
            <w:left w:val="none" w:sz="0" w:space="0" w:color="auto"/>
            <w:bottom w:val="none" w:sz="0" w:space="0" w:color="auto"/>
            <w:right w:val="none" w:sz="0" w:space="0" w:color="auto"/>
          </w:divBdr>
          <w:divsChild>
            <w:div w:id="370806369">
              <w:marLeft w:val="0"/>
              <w:marRight w:val="0"/>
              <w:marTop w:val="0"/>
              <w:marBottom w:val="0"/>
              <w:divBdr>
                <w:top w:val="none" w:sz="0" w:space="0" w:color="auto"/>
                <w:left w:val="none" w:sz="0" w:space="0" w:color="auto"/>
                <w:bottom w:val="none" w:sz="0" w:space="0" w:color="auto"/>
                <w:right w:val="none" w:sz="0" w:space="0" w:color="auto"/>
              </w:divBdr>
              <w:divsChild>
                <w:div w:id="9166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7211">
      <w:bodyDiv w:val="1"/>
      <w:marLeft w:val="0"/>
      <w:marRight w:val="0"/>
      <w:marTop w:val="0"/>
      <w:marBottom w:val="0"/>
      <w:divBdr>
        <w:top w:val="none" w:sz="0" w:space="0" w:color="auto"/>
        <w:left w:val="none" w:sz="0" w:space="0" w:color="auto"/>
        <w:bottom w:val="none" w:sz="0" w:space="0" w:color="auto"/>
        <w:right w:val="none" w:sz="0" w:space="0" w:color="auto"/>
      </w:divBdr>
      <w:divsChild>
        <w:div w:id="27534875">
          <w:marLeft w:val="0"/>
          <w:marRight w:val="0"/>
          <w:marTop w:val="0"/>
          <w:marBottom w:val="0"/>
          <w:divBdr>
            <w:top w:val="none" w:sz="0" w:space="0" w:color="auto"/>
            <w:left w:val="none" w:sz="0" w:space="0" w:color="auto"/>
            <w:bottom w:val="none" w:sz="0" w:space="0" w:color="auto"/>
            <w:right w:val="none" w:sz="0" w:space="0" w:color="auto"/>
          </w:divBdr>
          <w:divsChild>
            <w:div w:id="1539583933">
              <w:marLeft w:val="0"/>
              <w:marRight w:val="0"/>
              <w:marTop w:val="0"/>
              <w:marBottom w:val="0"/>
              <w:divBdr>
                <w:top w:val="none" w:sz="0" w:space="0" w:color="auto"/>
                <w:left w:val="none" w:sz="0" w:space="0" w:color="auto"/>
                <w:bottom w:val="none" w:sz="0" w:space="0" w:color="auto"/>
                <w:right w:val="none" w:sz="0" w:space="0" w:color="auto"/>
              </w:divBdr>
              <w:divsChild>
                <w:div w:id="21020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6211">
      <w:bodyDiv w:val="1"/>
      <w:marLeft w:val="0"/>
      <w:marRight w:val="0"/>
      <w:marTop w:val="0"/>
      <w:marBottom w:val="0"/>
      <w:divBdr>
        <w:top w:val="none" w:sz="0" w:space="0" w:color="auto"/>
        <w:left w:val="none" w:sz="0" w:space="0" w:color="auto"/>
        <w:bottom w:val="none" w:sz="0" w:space="0" w:color="auto"/>
        <w:right w:val="none" w:sz="0" w:space="0" w:color="auto"/>
      </w:divBdr>
      <w:divsChild>
        <w:div w:id="1041637401">
          <w:marLeft w:val="0"/>
          <w:marRight w:val="0"/>
          <w:marTop w:val="0"/>
          <w:marBottom w:val="0"/>
          <w:divBdr>
            <w:top w:val="none" w:sz="0" w:space="0" w:color="auto"/>
            <w:left w:val="none" w:sz="0" w:space="0" w:color="auto"/>
            <w:bottom w:val="none" w:sz="0" w:space="0" w:color="auto"/>
            <w:right w:val="none" w:sz="0" w:space="0" w:color="auto"/>
          </w:divBdr>
          <w:divsChild>
            <w:div w:id="884832002">
              <w:marLeft w:val="0"/>
              <w:marRight w:val="0"/>
              <w:marTop w:val="0"/>
              <w:marBottom w:val="0"/>
              <w:divBdr>
                <w:top w:val="none" w:sz="0" w:space="0" w:color="auto"/>
                <w:left w:val="none" w:sz="0" w:space="0" w:color="auto"/>
                <w:bottom w:val="none" w:sz="0" w:space="0" w:color="auto"/>
                <w:right w:val="none" w:sz="0" w:space="0" w:color="auto"/>
              </w:divBdr>
              <w:divsChild>
                <w:div w:id="835194485">
                  <w:marLeft w:val="0"/>
                  <w:marRight w:val="0"/>
                  <w:marTop w:val="0"/>
                  <w:marBottom w:val="0"/>
                  <w:divBdr>
                    <w:top w:val="none" w:sz="0" w:space="0" w:color="auto"/>
                    <w:left w:val="none" w:sz="0" w:space="0" w:color="auto"/>
                    <w:bottom w:val="none" w:sz="0" w:space="0" w:color="auto"/>
                    <w:right w:val="none" w:sz="0" w:space="0" w:color="auto"/>
                  </w:divBdr>
                  <w:divsChild>
                    <w:div w:id="12845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37708">
      <w:bodyDiv w:val="1"/>
      <w:marLeft w:val="0"/>
      <w:marRight w:val="0"/>
      <w:marTop w:val="0"/>
      <w:marBottom w:val="0"/>
      <w:divBdr>
        <w:top w:val="none" w:sz="0" w:space="0" w:color="auto"/>
        <w:left w:val="none" w:sz="0" w:space="0" w:color="auto"/>
        <w:bottom w:val="none" w:sz="0" w:space="0" w:color="auto"/>
        <w:right w:val="none" w:sz="0" w:space="0" w:color="auto"/>
      </w:divBdr>
    </w:div>
    <w:div w:id="1798990828">
      <w:bodyDiv w:val="1"/>
      <w:marLeft w:val="0"/>
      <w:marRight w:val="0"/>
      <w:marTop w:val="0"/>
      <w:marBottom w:val="0"/>
      <w:divBdr>
        <w:top w:val="none" w:sz="0" w:space="0" w:color="auto"/>
        <w:left w:val="none" w:sz="0" w:space="0" w:color="auto"/>
        <w:bottom w:val="none" w:sz="0" w:space="0" w:color="auto"/>
        <w:right w:val="none" w:sz="0" w:space="0" w:color="auto"/>
      </w:divBdr>
      <w:divsChild>
        <w:div w:id="13384677">
          <w:marLeft w:val="0"/>
          <w:marRight w:val="0"/>
          <w:marTop w:val="0"/>
          <w:marBottom w:val="0"/>
          <w:divBdr>
            <w:top w:val="none" w:sz="0" w:space="0" w:color="auto"/>
            <w:left w:val="none" w:sz="0" w:space="0" w:color="auto"/>
            <w:bottom w:val="none" w:sz="0" w:space="0" w:color="auto"/>
            <w:right w:val="none" w:sz="0" w:space="0" w:color="auto"/>
          </w:divBdr>
          <w:divsChild>
            <w:div w:id="1779520394">
              <w:marLeft w:val="0"/>
              <w:marRight w:val="0"/>
              <w:marTop w:val="0"/>
              <w:marBottom w:val="0"/>
              <w:divBdr>
                <w:top w:val="none" w:sz="0" w:space="0" w:color="auto"/>
                <w:left w:val="none" w:sz="0" w:space="0" w:color="auto"/>
                <w:bottom w:val="none" w:sz="0" w:space="0" w:color="auto"/>
                <w:right w:val="none" w:sz="0" w:space="0" w:color="auto"/>
              </w:divBdr>
              <w:divsChild>
                <w:div w:id="11993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4825">
      <w:bodyDiv w:val="1"/>
      <w:marLeft w:val="0"/>
      <w:marRight w:val="0"/>
      <w:marTop w:val="0"/>
      <w:marBottom w:val="0"/>
      <w:divBdr>
        <w:top w:val="none" w:sz="0" w:space="0" w:color="auto"/>
        <w:left w:val="none" w:sz="0" w:space="0" w:color="auto"/>
        <w:bottom w:val="none" w:sz="0" w:space="0" w:color="auto"/>
        <w:right w:val="none" w:sz="0" w:space="0" w:color="auto"/>
      </w:divBdr>
      <w:divsChild>
        <w:div w:id="1851413009">
          <w:marLeft w:val="0"/>
          <w:marRight w:val="0"/>
          <w:marTop w:val="0"/>
          <w:marBottom w:val="0"/>
          <w:divBdr>
            <w:top w:val="none" w:sz="0" w:space="0" w:color="auto"/>
            <w:left w:val="none" w:sz="0" w:space="0" w:color="auto"/>
            <w:bottom w:val="none" w:sz="0" w:space="0" w:color="auto"/>
            <w:right w:val="none" w:sz="0" w:space="0" w:color="auto"/>
          </w:divBdr>
          <w:divsChild>
            <w:div w:id="1922520309">
              <w:marLeft w:val="0"/>
              <w:marRight w:val="0"/>
              <w:marTop w:val="0"/>
              <w:marBottom w:val="0"/>
              <w:divBdr>
                <w:top w:val="none" w:sz="0" w:space="0" w:color="auto"/>
                <w:left w:val="none" w:sz="0" w:space="0" w:color="auto"/>
                <w:bottom w:val="none" w:sz="0" w:space="0" w:color="auto"/>
                <w:right w:val="none" w:sz="0" w:space="0" w:color="auto"/>
              </w:divBdr>
              <w:divsChild>
                <w:div w:id="18149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4031">
      <w:bodyDiv w:val="1"/>
      <w:marLeft w:val="0"/>
      <w:marRight w:val="0"/>
      <w:marTop w:val="0"/>
      <w:marBottom w:val="0"/>
      <w:divBdr>
        <w:top w:val="none" w:sz="0" w:space="0" w:color="auto"/>
        <w:left w:val="none" w:sz="0" w:space="0" w:color="auto"/>
        <w:bottom w:val="none" w:sz="0" w:space="0" w:color="auto"/>
        <w:right w:val="none" w:sz="0" w:space="0" w:color="auto"/>
      </w:divBdr>
      <w:divsChild>
        <w:div w:id="783424036">
          <w:marLeft w:val="0"/>
          <w:marRight w:val="0"/>
          <w:marTop w:val="0"/>
          <w:marBottom w:val="0"/>
          <w:divBdr>
            <w:top w:val="none" w:sz="0" w:space="0" w:color="auto"/>
            <w:left w:val="none" w:sz="0" w:space="0" w:color="auto"/>
            <w:bottom w:val="none" w:sz="0" w:space="0" w:color="auto"/>
            <w:right w:val="none" w:sz="0" w:space="0" w:color="auto"/>
          </w:divBdr>
          <w:divsChild>
            <w:div w:id="998656150">
              <w:marLeft w:val="0"/>
              <w:marRight w:val="0"/>
              <w:marTop w:val="0"/>
              <w:marBottom w:val="0"/>
              <w:divBdr>
                <w:top w:val="none" w:sz="0" w:space="0" w:color="auto"/>
                <w:left w:val="none" w:sz="0" w:space="0" w:color="auto"/>
                <w:bottom w:val="none" w:sz="0" w:space="0" w:color="auto"/>
                <w:right w:val="none" w:sz="0" w:space="0" w:color="auto"/>
              </w:divBdr>
              <w:divsChild>
                <w:div w:id="663897488">
                  <w:marLeft w:val="0"/>
                  <w:marRight w:val="0"/>
                  <w:marTop w:val="0"/>
                  <w:marBottom w:val="0"/>
                  <w:divBdr>
                    <w:top w:val="none" w:sz="0" w:space="0" w:color="auto"/>
                    <w:left w:val="none" w:sz="0" w:space="0" w:color="auto"/>
                    <w:bottom w:val="none" w:sz="0" w:space="0" w:color="auto"/>
                    <w:right w:val="none" w:sz="0" w:space="0" w:color="auto"/>
                  </w:divBdr>
                  <w:divsChild>
                    <w:div w:id="2678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40959">
      <w:bodyDiv w:val="1"/>
      <w:marLeft w:val="0"/>
      <w:marRight w:val="0"/>
      <w:marTop w:val="0"/>
      <w:marBottom w:val="0"/>
      <w:divBdr>
        <w:top w:val="none" w:sz="0" w:space="0" w:color="auto"/>
        <w:left w:val="none" w:sz="0" w:space="0" w:color="auto"/>
        <w:bottom w:val="none" w:sz="0" w:space="0" w:color="auto"/>
        <w:right w:val="none" w:sz="0" w:space="0" w:color="auto"/>
      </w:divBdr>
      <w:divsChild>
        <w:div w:id="49426995">
          <w:marLeft w:val="0"/>
          <w:marRight w:val="0"/>
          <w:marTop w:val="0"/>
          <w:marBottom w:val="0"/>
          <w:divBdr>
            <w:top w:val="none" w:sz="0" w:space="0" w:color="auto"/>
            <w:left w:val="none" w:sz="0" w:space="0" w:color="auto"/>
            <w:bottom w:val="none" w:sz="0" w:space="0" w:color="auto"/>
            <w:right w:val="none" w:sz="0" w:space="0" w:color="auto"/>
          </w:divBdr>
        </w:div>
        <w:div w:id="1675258603">
          <w:marLeft w:val="0"/>
          <w:marRight w:val="0"/>
          <w:marTop w:val="0"/>
          <w:marBottom w:val="0"/>
          <w:divBdr>
            <w:top w:val="none" w:sz="0" w:space="0" w:color="auto"/>
            <w:left w:val="none" w:sz="0" w:space="0" w:color="auto"/>
            <w:bottom w:val="none" w:sz="0" w:space="0" w:color="auto"/>
            <w:right w:val="none" w:sz="0" w:space="0" w:color="auto"/>
          </w:divBdr>
        </w:div>
      </w:divsChild>
    </w:div>
    <w:div w:id="1992295581">
      <w:bodyDiv w:val="1"/>
      <w:marLeft w:val="0"/>
      <w:marRight w:val="0"/>
      <w:marTop w:val="0"/>
      <w:marBottom w:val="0"/>
      <w:divBdr>
        <w:top w:val="none" w:sz="0" w:space="0" w:color="auto"/>
        <w:left w:val="none" w:sz="0" w:space="0" w:color="auto"/>
        <w:bottom w:val="none" w:sz="0" w:space="0" w:color="auto"/>
        <w:right w:val="none" w:sz="0" w:space="0" w:color="auto"/>
      </w:divBdr>
    </w:div>
    <w:div w:id="1997031948">
      <w:bodyDiv w:val="1"/>
      <w:marLeft w:val="0"/>
      <w:marRight w:val="0"/>
      <w:marTop w:val="0"/>
      <w:marBottom w:val="0"/>
      <w:divBdr>
        <w:top w:val="none" w:sz="0" w:space="0" w:color="auto"/>
        <w:left w:val="none" w:sz="0" w:space="0" w:color="auto"/>
        <w:bottom w:val="none" w:sz="0" w:space="0" w:color="auto"/>
        <w:right w:val="none" w:sz="0" w:space="0" w:color="auto"/>
      </w:divBdr>
    </w:div>
    <w:div w:id="2013989342">
      <w:bodyDiv w:val="1"/>
      <w:marLeft w:val="0"/>
      <w:marRight w:val="0"/>
      <w:marTop w:val="0"/>
      <w:marBottom w:val="0"/>
      <w:divBdr>
        <w:top w:val="none" w:sz="0" w:space="0" w:color="auto"/>
        <w:left w:val="none" w:sz="0" w:space="0" w:color="auto"/>
        <w:bottom w:val="none" w:sz="0" w:space="0" w:color="auto"/>
        <w:right w:val="none" w:sz="0" w:space="0" w:color="auto"/>
      </w:divBdr>
      <w:divsChild>
        <w:div w:id="1766686526">
          <w:marLeft w:val="0"/>
          <w:marRight w:val="0"/>
          <w:marTop w:val="0"/>
          <w:marBottom w:val="0"/>
          <w:divBdr>
            <w:top w:val="none" w:sz="0" w:space="0" w:color="auto"/>
            <w:left w:val="none" w:sz="0" w:space="0" w:color="auto"/>
            <w:bottom w:val="none" w:sz="0" w:space="0" w:color="auto"/>
            <w:right w:val="none" w:sz="0" w:space="0" w:color="auto"/>
          </w:divBdr>
        </w:div>
        <w:div w:id="2136752689">
          <w:marLeft w:val="0"/>
          <w:marRight w:val="0"/>
          <w:marTop w:val="0"/>
          <w:marBottom w:val="0"/>
          <w:divBdr>
            <w:top w:val="none" w:sz="0" w:space="0" w:color="auto"/>
            <w:left w:val="none" w:sz="0" w:space="0" w:color="auto"/>
            <w:bottom w:val="none" w:sz="0" w:space="0" w:color="auto"/>
            <w:right w:val="none" w:sz="0" w:space="0" w:color="auto"/>
          </w:divBdr>
          <w:divsChild>
            <w:div w:id="312560953">
              <w:marLeft w:val="0"/>
              <w:marRight w:val="0"/>
              <w:marTop w:val="0"/>
              <w:marBottom w:val="0"/>
              <w:divBdr>
                <w:top w:val="none" w:sz="0" w:space="0" w:color="auto"/>
                <w:left w:val="none" w:sz="0" w:space="0" w:color="auto"/>
                <w:bottom w:val="none" w:sz="0" w:space="0" w:color="auto"/>
                <w:right w:val="none" w:sz="0" w:space="0" w:color="auto"/>
              </w:divBdr>
            </w:div>
            <w:div w:id="1086413670">
              <w:marLeft w:val="0"/>
              <w:marRight w:val="0"/>
              <w:marTop w:val="0"/>
              <w:marBottom w:val="0"/>
              <w:divBdr>
                <w:top w:val="none" w:sz="0" w:space="0" w:color="auto"/>
                <w:left w:val="none" w:sz="0" w:space="0" w:color="auto"/>
                <w:bottom w:val="none" w:sz="0" w:space="0" w:color="auto"/>
                <w:right w:val="none" w:sz="0" w:space="0" w:color="auto"/>
              </w:divBdr>
            </w:div>
          </w:divsChild>
        </w:div>
        <w:div w:id="655644026">
          <w:marLeft w:val="0"/>
          <w:marRight w:val="0"/>
          <w:marTop w:val="0"/>
          <w:marBottom w:val="0"/>
          <w:divBdr>
            <w:top w:val="none" w:sz="0" w:space="0" w:color="auto"/>
            <w:left w:val="none" w:sz="0" w:space="0" w:color="auto"/>
            <w:bottom w:val="none" w:sz="0" w:space="0" w:color="auto"/>
            <w:right w:val="none" w:sz="0" w:space="0" w:color="auto"/>
          </w:divBdr>
          <w:divsChild>
            <w:div w:id="1680548488">
              <w:marLeft w:val="0"/>
              <w:marRight w:val="0"/>
              <w:marTop w:val="0"/>
              <w:marBottom w:val="0"/>
              <w:divBdr>
                <w:top w:val="none" w:sz="0" w:space="0" w:color="auto"/>
                <w:left w:val="none" w:sz="0" w:space="0" w:color="auto"/>
                <w:bottom w:val="none" w:sz="0" w:space="0" w:color="auto"/>
                <w:right w:val="none" w:sz="0" w:space="0" w:color="auto"/>
              </w:divBdr>
            </w:div>
            <w:div w:id="1458376936">
              <w:marLeft w:val="0"/>
              <w:marRight w:val="0"/>
              <w:marTop w:val="0"/>
              <w:marBottom w:val="0"/>
              <w:divBdr>
                <w:top w:val="none" w:sz="0" w:space="0" w:color="auto"/>
                <w:left w:val="none" w:sz="0" w:space="0" w:color="auto"/>
                <w:bottom w:val="none" w:sz="0" w:space="0" w:color="auto"/>
                <w:right w:val="none" w:sz="0" w:space="0" w:color="auto"/>
              </w:divBdr>
            </w:div>
          </w:divsChild>
        </w:div>
        <w:div w:id="1971742640">
          <w:marLeft w:val="0"/>
          <w:marRight w:val="0"/>
          <w:marTop w:val="0"/>
          <w:marBottom w:val="0"/>
          <w:divBdr>
            <w:top w:val="none" w:sz="0" w:space="0" w:color="auto"/>
            <w:left w:val="none" w:sz="0" w:space="0" w:color="auto"/>
            <w:bottom w:val="none" w:sz="0" w:space="0" w:color="auto"/>
            <w:right w:val="none" w:sz="0" w:space="0" w:color="auto"/>
          </w:divBdr>
          <w:divsChild>
            <w:div w:id="1091659887">
              <w:marLeft w:val="0"/>
              <w:marRight w:val="0"/>
              <w:marTop w:val="0"/>
              <w:marBottom w:val="0"/>
              <w:divBdr>
                <w:top w:val="none" w:sz="0" w:space="0" w:color="auto"/>
                <w:left w:val="none" w:sz="0" w:space="0" w:color="auto"/>
                <w:bottom w:val="none" w:sz="0" w:space="0" w:color="auto"/>
                <w:right w:val="none" w:sz="0" w:space="0" w:color="auto"/>
              </w:divBdr>
            </w:div>
            <w:div w:id="424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5458">
      <w:bodyDiv w:val="1"/>
      <w:marLeft w:val="0"/>
      <w:marRight w:val="0"/>
      <w:marTop w:val="0"/>
      <w:marBottom w:val="0"/>
      <w:divBdr>
        <w:top w:val="none" w:sz="0" w:space="0" w:color="auto"/>
        <w:left w:val="none" w:sz="0" w:space="0" w:color="auto"/>
        <w:bottom w:val="none" w:sz="0" w:space="0" w:color="auto"/>
        <w:right w:val="none" w:sz="0" w:space="0" w:color="auto"/>
      </w:divBdr>
      <w:divsChild>
        <w:div w:id="489373752">
          <w:marLeft w:val="0"/>
          <w:marRight w:val="0"/>
          <w:marTop w:val="0"/>
          <w:marBottom w:val="0"/>
          <w:divBdr>
            <w:top w:val="none" w:sz="0" w:space="0" w:color="auto"/>
            <w:left w:val="none" w:sz="0" w:space="0" w:color="auto"/>
            <w:bottom w:val="none" w:sz="0" w:space="0" w:color="auto"/>
            <w:right w:val="none" w:sz="0" w:space="0" w:color="auto"/>
          </w:divBdr>
          <w:divsChild>
            <w:div w:id="371422550">
              <w:marLeft w:val="0"/>
              <w:marRight w:val="0"/>
              <w:marTop w:val="150"/>
              <w:marBottom w:val="450"/>
              <w:divBdr>
                <w:top w:val="single" w:sz="6" w:space="8" w:color="EFEEE9"/>
                <w:left w:val="single" w:sz="6" w:space="8" w:color="EFEEE9"/>
                <w:bottom w:val="single" w:sz="6" w:space="8" w:color="EFEEE9"/>
                <w:right w:val="single" w:sz="6" w:space="23" w:color="EFEEE9"/>
              </w:divBdr>
              <w:divsChild>
                <w:div w:id="17002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4171">
          <w:marLeft w:val="0"/>
          <w:marRight w:val="0"/>
          <w:marTop w:val="0"/>
          <w:marBottom w:val="480"/>
          <w:divBdr>
            <w:top w:val="single" w:sz="6" w:space="19" w:color="F2F2F2"/>
            <w:left w:val="single" w:sz="6" w:space="24" w:color="F2F2F2"/>
            <w:bottom w:val="single" w:sz="6" w:space="0" w:color="F2F2F2"/>
            <w:right w:val="single" w:sz="6" w:space="24" w:color="F2F2F2"/>
          </w:divBdr>
        </w:div>
      </w:divsChild>
    </w:div>
    <w:div w:id="2062094449">
      <w:bodyDiv w:val="1"/>
      <w:marLeft w:val="0"/>
      <w:marRight w:val="0"/>
      <w:marTop w:val="0"/>
      <w:marBottom w:val="0"/>
      <w:divBdr>
        <w:top w:val="none" w:sz="0" w:space="0" w:color="auto"/>
        <w:left w:val="none" w:sz="0" w:space="0" w:color="auto"/>
        <w:bottom w:val="none" w:sz="0" w:space="0" w:color="auto"/>
        <w:right w:val="none" w:sz="0" w:space="0" w:color="auto"/>
      </w:divBdr>
      <w:divsChild>
        <w:div w:id="1261374551">
          <w:marLeft w:val="0"/>
          <w:marRight w:val="0"/>
          <w:marTop w:val="0"/>
          <w:marBottom w:val="0"/>
          <w:divBdr>
            <w:top w:val="none" w:sz="0" w:space="0" w:color="auto"/>
            <w:left w:val="none" w:sz="0" w:space="0" w:color="auto"/>
            <w:bottom w:val="none" w:sz="0" w:space="0" w:color="auto"/>
            <w:right w:val="none" w:sz="0" w:space="0" w:color="auto"/>
          </w:divBdr>
          <w:divsChild>
            <w:div w:id="2065716168">
              <w:marLeft w:val="0"/>
              <w:marRight w:val="0"/>
              <w:marTop w:val="0"/>
              <w:marBottom w:val="0"/>
              <w:divBdr>
                <w:top w:val="none" w:sz="0" w:space="0" w:color="auto"/>
                <w:left w:val="none" w:sz="0" w:space="0" w:color="auto"/>
                <w:bottom w:val="none" w:sz="0" w:space="0" w:color="auto"/>
                <w:right w:val="none" w:sz="0" w:space="0" w:color="auto"/>
              </w:divBdr>
              <w:divsChild>
                <w:div w:id="6887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2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1.xml"/><Relationship Id="rId18" Type="http://schemas.openxmlformats.org/officeDocument/2006/relationships/customXml" Target="ink/ink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pn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reccani.it/enciclopedia/giovanni-pontano_%28Dizionario-Biografico%29/"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17T23:38:22.981"/>
    </inkml:context>
    <inkml:brush xml:id="br0">
      <inkml:brushProperty name="width" value="0.025" units="cm"/>
      <inkml:brushProperty name="height" value="0.15" units="cm"/>
      <inkml:brushProperty name="inkEffects" value="pencil"/>
    </inkml:brush>
  </inkml:definitions>
  <inkml:trace contextRef="#ctx0" brushRef="#br0">7 1 16383,'-4'0'0,"2"0"0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16T11:58:18.663"/>
    </inkml:context>
    <inkml:brush xml:id="br0">
      <inkml:brushProperty name="width" value="0.025" units="cm"/>
      <inkml:brushProperty name="height" value="0.15" units="cm"/>
      <inkml:brushProperty name="inkEffects" value="pencil"/>
    </inkml:brush>
  </inkml:definitions>
  <inkml:trace contextRef="#ctx0" brushRef="#br0">1 0 16383,'0'0'0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51DF-2CA1-5A49-B8ED-8A80DB9B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237</Pages>
  <Words>76974</Words>
  <Characters>438758</Characters>
  <Application>Microsoft Office Word</Application>
  <DocSecurity>0</DocSecurity>
  <Lines>3656</Lines>
  <Paragraphs>1029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Serenella Sessini</dc:creator>
  <cp:keywords/>
  <dc:description/>
  <cp:lastModifiedBy>Serenella Sessini</cp:lastModifiedBy>
  <cp:revision>79</cp:revision>
  <cp:lastPrinted>2019-03-28T10:38:00Z</cp:lastPrinted>
  <dcterms:created xsi:type="dcterms:W3CDTF">2019-09-09T21:49:00Z</dcterms:created>
  <dcterms:modified xsi:type="dcterms:W3CDTF">2019-10-09T19:58:00Z</dcterms:modified>
</cp:coreProperties>
</file>